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43F1B" w14:textId="77777777" w:rsidR="00A15B22" w:rsidRPr="00E14919" w:rsidRDefault="00A15B22" w:rsidP="00A15B22">
      <w:pPr>
        <w:tabs>
          <w:tab w:val="center" w:pos="1800"/>
        </w:tabs>
        <w:spacing w:after="0" w:line="240" w:lineRule="auto"/>
        <w:jc w:val="center"/>
        <w:rPr>
          <w:rFonts w:ascii="Century Gothic" w:hAnsi="Century Gothic"/>
          <w:b/>
          <w:bCs/>
          <w:smallCaps/>
          <w:color w:val="3E3E67"/>
          <w:sz w:val="40"/>
          <w:szCs w:val="40"/>
          <w:lang w:val="en-US"/>
        </w:rPr>
      </w:pPr>
    </w:p>
    <w:p w14:paraId="2ED4BE73" w14:textId="60B9E7A6" w:rsidR="00A15B22" w:rsidRDefault="00A15B22" w:rsidP="00A15B22">
      <w:pPr>
        <w:tabs>
          <w:tab w:val="center" w:pos="1800"/>
        </w:tabs>
        <w:spacing w:after="0" w:line="240" w:lineRule="auto"/>
        <w:jc w:val="center"/>
        <w:rPr>
          <w:rFonts w:ascii="Century Gothic" w:hAnsi="Century Gothic"/>
          <w:b/>
          <w:bCs/>
          <w:smallCaps/>
          <w:color w:val="3E3E67"/>
          <w:sz w:val="40"/>
          <w:szCs w:val="40"/>
        </w:rPr>
      </w:pPr>
      <w:r w:rsidRPr="003603C1">
        <w:rPr>
          <w:b/>
          <w:bCs/>
          <w:smallCaps/>
          <w:noProof/>
          <w:color w:val="3E3E67"/>
          <w:sz w:val="40"/>
          <w:szCs w:val="40"/>
          <w:lang w:val="en-US" w:eastAsia="en-US"/>
        </w:rPr>
        <w:drawing>
          <wp:anchor distT="0" distB="0" distL="114300" distR="114300" simplePos="0" relativeHeight="251658240" behindDoc="1" locked="0" layoutInCell="1" allowOverlap="1" wp14:anchorId="22140A1B" wp14:editId="75D4622E">
            <wp:simplePos x="0" y="0"/>
            <wp:positionH relativeFrom="column">
              <wp:posOffset>2581275</wp:posOffset>
            </wp:positionH>
            <wp:positionV relativeFrom="paragraph">
              <wp:posOffset>-581025</wp:posOffset>
            </wp:positionV>
            <wp:extent cx="866775" cy="866775"/>
            <wp:effectExtent l="19050" t="0" r="9525" b="0"/>
            <wp:wrapNone/>
            <wp:docPr id="3" name="Picture 1" descr="Î£ÏÎµÏÎ¹ÎºÎ® ÎµÎ¹ÎºÏÎ½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Î£ÏÎµÏÎ¹ÎºÎ® ÎµÎ¹ÎºÏÎ½Î±"/>
                    <pic:cNvPicPr>
                      <a:picLocks noChangeAspect="1" noChangeArrowheads="1"/>
                    </pic:cNvPicPr>
                  </pic:nvPicPr>
                  <pic:blipFill>
                    <a:blip r:embed="rId9" cstate="print"/>
                    <a:srcRect/>
                    <a:stretch>
                      <a:fillRect/>
                    </a:stretch>
                  </pic:blipFill>
                  <pic:spPr bwMode="auto">
                    <a:xfrm>
                      <a:off x="0" y="0"/>
                      <a:ext cx="866775" cy="866775"/>
                    </a:xfrm>
                    <a:prstGeom prst="rect">
                      <a:avLst/>
                    </a:prstGeom>
                    <a:noFill/>
                    <a:ln w="9525">
                      <a:noFill/>
                      <a:miter lim="800000"/>
                      <a:headEnd/>
                      <a:tailEnd/>
                    </a:ln>
                  </pic:spPr>
                </pic:pic>
              </a:graphicData>
            </a:graphic>
          </wp:anchor>
        </w:drawing>
      </w:r>
    </w:p>
    <w:p w14:paraId="6E4EEB24" w14:textId="4245BE14" w:rsidR="00A15B22" w:rsidRPr="007003F8" w:rsidRDefault="007872F5" w:rsidP="007872F5">
      <w:pPr>
        <w:spacing w:after="0"/>
        <w:ind w:right="-382"/>
        <w:jc w:val="center"/>
        <w:rPr>
          <w:rFonts w:ascii="Arial Narrow" w:hAnsi="Arial Narrow"/>
          <w:b/>
          <w:color w:val="0070C0"/>
          <w:sz w:val="28"/>
          <w:szCs w:val="28"/>
        </w:rPr>
      </w:pPr>
      <w:r w:rsidRPr="007003F8">
        <w:rPr>
          <w:rFonts w:ascii="Arial Narrow" w:hAnsi="Arial Narrow"/>
          <w:b/>
          <w:color w:val="0070C0"/>
          <w:sz w:val="28"/>
          <w:szCs w:val="28"/>
        </w:rPr>
        <w:t xml:space="preserve">Πρεσβεία της Ελλάδος στο </w:t>
      </w:r>
      <w:r w:rsidR="00317253" w:rsidRPr="007003F8">
        <w:rPr>
          <w:rFonts w:ascii="Arial Narrow" w:hAnsi="Arial Narrow"/>
          <w:b/>
          <w:color w:val="0070C0"/>
          <w:sz w:val="28"/>
          <w:szCs w:val="28"/>
        </w:rPr>
        <w:t>Αμπού Ντάμπι</w:t>
      </w:r>
    </w:p>
    <w:p w14:paraId="2D4E826B" w14:textId="77DC585F" w:rsidR="007872F5" w:rsidRPr="001B7B6B" w:rsidRDefault="007872F5" w:rsidP="007872F5">
      <w:pPr>
        <w:spacing w:after="0"/>
        <w:ind w:right="-382"/>
        <w:jc w:val="center"/>
        <w:rPr>
          <w:rFonts w:ascii="Arial Narrow" w:hAnsi="Arial Narrow"/>
          <w:b/>
          <w:color w:val="0070C0"/>
          <w:sz w:val="28"/>
          <w:szCs w:val="28"/>
        </w:rPr>
      </w:pPr>
      <w:r w:rsidRPr="007003F8">
        <w:rPr>
          <w:rFonts w:ascii="Arial Narrow" w:hAnsi="Arial Narrow"/>
          <w:b/>
          <w:color w:val="0070C0"/>
          <w:sz w:val="28"/>
          <w:szCs w:val="28"/>
        </w:rPr>
        <w:t xml:space="preserve">Γραφείο Οικονομικών και Εμπορικών Υποθέσεων </w:t>
      </w:r>
      <w:r w:rsidR="00317253" w:rsidRPr="007003F8">
        <w:rPr>
          <w:rFonts w:ascii="Arial Narrow" w:hAnsi="Arial Narrow"/>
          <w:b/>
          <w:color w:val="0070C0"/>
          <w:sz w:val="28"/>
          <w:szCs w:val="28"/>
        </w:rPr>
        <w:t>Ντουμπά</w:t>
      </w:r>
      <w:r w:rsidR="001B7B6B">
        <w:rPr>
          <w:rFonts w:ascii="Arial Narrow" w:hAnsi="Arial Narrow"/>
          <w:b/>
          <w:color w:val="0070C0"/>
          <w:sz w:val="28"/>
          <w:szCs w:val="28"/>
        </w:rPr>
        <w:t>ϊ</w:t>
      </w:r>
    </w:p>
    <w:p w14:paraId="31B103C3" w14:textId="6EEA1645" w:rsidR="007872F5" w:rsidRPr="007B69F7" w:rsidRDefault="007872F5" w:rsidP="007872F5">
      <w:pPr>
        <w:spacing w:after="0"/>
        <w:ind w:right="-382"/>
        <w:jc w:val="center"/>
        <w:rPr>
          <w:rFonts w:ascii="Arial Narrow" w:hAnsi="Arial Narrow"/>
          <w:b/>
          <w:color w:val="0070C0"/>
          <w:sz w:val="24"/>
          <w:szCs w:val="24"/>
        </w:rPr>
      </w:pPr>
    </w:p>
    <w:p w14:paraId="125A9857" w14:textId="1A2BD8CC" w:rsidR="007872F5" w:rsidRPr="007B69F7" w:rsidRDefault="007872F5" w:rsidP="007872F5">
      <w:pPr>
        <w:spacing w:after="0"/>
        <w:ind w:right="-382"/>
        <w:jc w:val="center"/>
        <w:rPr>
          <w:rFonts w:ascii="Arial Narrow" w:hAnsi="Arial Narrow"/>
          <w:b/>
          <w:bCs/>
          <w:smallCaps/>
          <w:color w:val="92D050"/>
          <w:sz w:val="24"/>
          <w:szCs w:val="24"/>
        </w:rPr>
      </w:pPr>
      <w:r w:rsidRPr="007B69F7">
        <w:rPr>
          <w:rFonts w:ascii="Arial Narrow" w:hAnsi="Arial Narrow"/>
          <w:b/>
          <w:bCs/>
          <w:smallCaps/>
          <w:color w:val="92D050"/>
          <w:sz w:val="24"/>
          <w:szCs w:val="24"/>
        </w:rPr>
        <w:t>Ετησια εκθεση 20</w:t>
      </w:r>
      <w:r w:rsidR="00593780" w:rsidRPr="007B69F7">
        <w:rPr>
          <w:rFonts w:ascii="Arial Narrow" w:hAnsi="Arial Narrow"/>
          <w:b/>
          <w:bCs/>
          <w:smallCaps/>
          <w:color w:val="92D050"/>
          <w:sz w:val="24"/>
          <w:szCs w:val="24"/>
        </w:rPr>
        <w:t>25</w:t>
      </w:r>
    </w:p>
    <w:p w14:paraId="374CF3B8" w14:textId="1BE3EF28" w:rsidR="007872F5" w:rsidRPr="007B69F7" w:rsidRDefault="007872F5" w:rsidP="007872F5">
      <w:pPr>
        <w:spacing w:after="0"/>
        <w:ind w:right="-382"/>
        <w:jc w:val="center"/>
        <w:rPr>
          <w:rFonts w:ascii="Arial Narrow" w:hAnsi="Arial Narrow"/>
          <w:b/>
          <w:bCs/>
          <w:smallCaps/>
          <w:color w:val="92D050"/>
          <w:sz w:val="24"/>
          <w:szCs w:val="24"/>
        </w:rPr>
      </w:pPr>
      <w:r w:rsidRPr="007B69F7">
        <w:rPr>
          <w:rFonts w:ascii="Arial Narrow" w:hAnsi="Arial Narrow"/>
          <w:b/>
          <w:bCs/>
          <w:smallCaps/>
          <w:color w:val="92D050"/>
          <w:sz w:val="24"/>
          <w:szCs w:val="24"/>
        </w:rPr>
        <w:t>για την οικονομια των ηαε και τις οικονομικεσ και εμπορικεσ σχεσεισ ελλαδασ - ηαε</w:t>
      </w:r>
    </w:p>
    <w:tbl>
      <w:tblPr>
        <w:tblW w:w="0" w:type="auto"/>
        <w:tblLook w:val="01E0" w:firstRow="1" w:lastRow="1" w:firstColumn="1" w:lastColumn="1" w:noHBand="0" w:noVBand="0"/>
      </w:tblPr>
      <w:tblGrid>
        <w:gridCol w:w="4352"/>
        <w:gridCol w:w="4480"/>
      </w:tblGrid>
      <w:tr w:rsidR="00A15B22" w:rsidRPr="007B69F7" w14:paraId="79F73209" w14:textId="77777777" w:rsidTr="00A15B22">
        <w:tc>
          <w:tcPr>
            <w:tcW w:w="4788" w:type="dxa"/>
          </w:tcPr>
          <w:p w14:paraId="649FB4C5" w14:textId="77777777" w:rsidR="00A15B22" w:rsidRPr="007B69F7" w:rsidRDefault="00A15B22" w:rsidP="00A15B22">
            <w:pPr>
              <w:tabs>
                <w:tab w:val="center" w:pos="1800"/>
              </w:tabs>
              <w:spacing w:after="0" w:line="240" w:lineRule="auto"/>
              <w:jc w:val="center"/>
              <w:rPr>
                <w:rFonts w:ascii="Arial Narrow" w:hAnsi="Arial Narrow"/>
                <w:b/>
                <w:bCs/>
                <w:smallCaps/>
                <w:color w:val="3E3E67"/>
                <w:sz w:val="24"/>
                <w:szCs w:val="24"/>
              </w:rPr>
            </w:pPr>
            <w:r w:rsidRPr="007B69F7">
              <w:rPr>
                <w:rFonts w:ascii="Arial Narrow" w:hAnsi="Arial Narrow"/>
                <w:noProof/>
                <w:sz w:val="24"/>
                <w:szCs w:val="24"/>
                <w:lang w:val="en-US" w:eastAsia="en-US"/>
              </w:rPr>
              <w:drawing>
                <wp:inline distT="0" distB="0" distL="0" distR="0" wp14:anchorId="6FC77DA3" wp14:editId="532BCB07">
                  <wp:extent cx="1314450" cy="914400"/>
                  <wp:effectExtent l="19050" t="0" r="0" b="0"/>
                  <wp:docPr id="2" name="Picture 2" descr="Flag_of_Gre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of_Greece"/>
                          <pic:cNvPicPr preferRelativeResize="0">
                            <a:picLocks noChangeAspect="1" noChangeArrowheads="1"/>
                          </pic:cNvPicPr>
                        </pic:nvPicPr>
                        <pic:blipFill>
                          <a:blip r:embed="rId10" cstate="print"/>
                          <a:srcRect/>
                          <a:stretch>
                            <a:fillRect/>
                          </a:stretch>
                        </pic:blipFill>
                        <pic:spPr bwMode="auto">
                          <a:xfrm>
                            <a:off x="0" y="0"/>
                            <a:ext cx="1314450" cy="914400"/>
                          </a:xfrm>
                          <a:prstGeom prst="rect">
                            <a:avLst/>
                          </a:prstGeom>
                          <a:noFill/>
                          <a:ln w="9525">
                            <a:noFill/>
                            <a:miter lim="800000"/>
                            <a:headEnd/>
                            <a:tailEnd/>
                          </a:ln>
                        </pic:spPr>
                      </pic:pic>
                    </a:graphicData>
                  </a:graphic>
                </wp:inline>
              </w:drawing>
            </w:r>
          </w:p>
        </w:tc>
        <w:tc>
          <w:tcPr>
            <w:tcW w:w="4788" w:type="dxa"/>
          </w:tcPr>
          <w:p w14:paraId="5DE6CA99" w14:textId="77777777" w:rsidR="00A15B22" w:rsidRPr="007B69F7" w:rsidRDefault="00A15B22" w:rsidP="00A15B22">
            <w:pPr>
              <w:tabs>
                <w:tab w:val="center" w:pos="1800"/>
              </w:tabs>
              <w:spacing w:after="0" w:line="240" w:lineRule="auto"/>
              <w:jc w:val="center"/>
              <w:rPr>
                <w:rFonts w:ascii="Arial Narrow" w:hAnsi="Arial Narrow"/>
                <w:b/>
                <w:bCs/>
                <w:smallCaps/>
                <w:color w:val="3E3E67"/>
                <w:sz w:val="24"/>
                <w:szCs w:val="24"/>
              </w:rPr>
            </w:pPr>
            <w:r w:rsidRPr="007B69F7">
              <w:rPr>
                <w:rFonts w:ascii="Arial Narrow" w:hAnsi="Arial Narrow"/>
                <w:b/>
                <w:bCs/>
                <w:smallCaps/>
                <w:noProof/>
                <w:color w:val="3E3E67"/>
                <w:sz w:val="24"/>
                <w:szCs w:val="24"/>
                <w:lang w:val="en-US" w:eastAsia="en-US"/>
              </w:rPr>
              <w:drawing>
                <wp:inline distT="0" distB="0" distL="0" distR="0" wp14:anchorId="5218AC46" wp14:editId="1795E661">
                  <wp:extent cx="1457325" cy="914400"/>
                  <wp:effectExtent l="0" t="0" r="9525" b="0"/>
                  <wp:docPr id="6" name="Picture 6" descr="Flag of the United Arab Emirate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lag of the United Arab Emirates.sv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9304" cy="921916"/>
                          </a:xfrm>
                          <a:prstGeom prst="rect">
                            <a:avLst/>
                          </a:prstGeom>
                          <a:noFill/>
                          <a:ln>
                            <a:noFill/>
                          </a:ln>
                        </pic:spPr>
                      </pic:pic>
                    </a:graphicData>
                  </a:graphic>
                </wp:inline>
              </w:drawing>
            </w:r>
          </w:p>
        </w:tc>
      </w:tr>
      <w:tr w:rsidR="00A15B22" w:rsidRPr="007B69F7" w14:paraId="4CAFDCCB" w14:textId="77777777" w:rsidTr="00A15B22">
        <w:tc>
          <w:tcPr>
            <w:tcW w:w="9576" w:type="dxa"/>
            <w:gridSpan w:val="2"/>
          </w:tcPr>
          <w:p w14:paraId="1B477709" w14:textId="0D53E094" w:rsidR="00A15B22" w:rsidRDefault="00A15B22" w:rsidP="00A15B22">
            <w:pPr>
              <w:tabs>
                <w:tab w:val="center" w:pos="1800"/>
              </w:tabs>
              <w:spacing w:after="0" w:line="240" w:lineRule="auto"/>
              <w:jc w:val="center"/>
              <w:rPr>
                <w:rFonts w:ascii="Arial Narrow" w:hAnsi="Arial Narrow"/>
                <w:sz w:val="24"/>
                <w:szCs w:val="24"/>
              </w:rPr>
            </w:pPr>
          </w:p>
          <w:p w14:paraId="65DB5625" w14:textId="49240CCE" w:rsidR="00F52927" w:rsidRPr="00F52927" w:rsidRDefault="00F52927" w:rsidP="00A15B22">
            <w:pPr>
              <w:tabs>
                <w:tab w:val="center" w:pos="1800"/>
              </w:tabs>
              <w:spacing w:after="0" w:line="240" w:lineRule="auto"/>
              <w:jc w:val="center"/>
              <w:rPr>
                <w:rFonts w:ascii="Arial Narrow" w:hAnsi="Arial Narrow"/>
                <w:b/>
                <w:sz w:val="24"/>
                <w:szCs w:val="24"/>
              </w:rPr>
            </w:pPr>
            <w:r w:rsidRPr="00F52927">
              <w:rPr>
                <w:rFonts w:ascii="Arial Narrow" w:hAnsi="Arial Narrow"/>
                <w:b/>
                <w:sz w:val="24"/>
                <w:szCs w:val="24"/>
              </w:rPr>
              <w:t>ΕΤΗΣΙΑ ΟΙΚΟΝΟΜΙΚΗ ΕΚΘΕΣΗ 2026</w:t>
            </w:r>
          </w:p>
          <w:p w14:paraId="070C0DB6" w14:textId="1BFDE280" w:rsidR="00F52927" w:rsidRPr="00F52927" w:rsidRDefault="00F52927" w:rsidP="00A15B22">
            <w:pPr>
              <w:tabs>
                <w:tab w:val="center" w:pos="1800"/>
              </w:tabs>
              <w:spacing w:after="0" w:line="240" w:lineRule="auto"/>
              <w:jc w:val="center"/>
              <w:rPr>
                <w:rFonts w:ascii="Arial Narrow" w:hAnsi="Arial Narrow"/>
                <w:b/>
                <w:sz w:val="24"/>
                <w:szCs w:val="24"/>
              </w:rPr>
            </w:pPr>
            <w:r w:rsidRPr="00F52927">
              <w:rPr>
                <w:rFonts w:ascii="Arial Narrow" w:hAnsi="Arial Narrow"/>
                <w:b/>
                <w:sz w:val="24"/>
                <w:szCs w:val="24"/>
              </w:rPr>
              <w:t xml:space="preserve">ΓΙΑ ΤΗΝ ΟΙΚΟΝΟΜΙΑ ΤΩΝ ΗΝΩΜΕΝΩΝ ΑΡΑΒΙΚΩΝ ΕΜΙΡΑΤΩΝ ΚΑΙ ΤΙΣ ΔΙΜΕΡΕΙΣ ΟΙΚΟΝΟΜΙΚΕΣ ΚΑΙ ΕΜΠΟΡΙΚΕΣ ΣΧΕΣΕΙΣ ΕΛΛΑΔΑΣ ΚΑΙ ΗΝΩΜΕΝΩΝ ΑΡΑΒΙΚΩΝ ΕΜΙΡΑΤΩΝ </w:t>
            </w:r>
          </w:p>
          <w:p w14:paraId="1FAE602D" w14:textId="77777777" w:rsidR="00A15B22" w:rsidRPr="007B69F7" w:rsidRDefault="00A15B22" w:rsidP="00A15B22">
            <w:pPr>
              <w:tabs>
                <w:tab w:val="center" w:pos="1800"/>
              </w:tabs>
              <w:spacing w:after="0" w:line="240" w:lineRule="auto"/>
              <w:jc w:val="center"/>
              <w:rPr>
                <w:rFonts w:ascii="Arial Narrow" w:hAnsi="Arial Narrow"/>
                <w:noProof/>
                <w:sz w:val="24"/>
                <w:szCs w:val="24"/>
              </w:rPr>
            </w:pPr>
          </w:p>
          <w:p w14:paraId="7FAC51E5" w14:textId="77777777" w:rsidR="00A15B22" w:rsidRPr="007B69F7" w:rsidRDefault="00A15B22" w:rsidP="00A15B22">
            <w:pPr>
              <w:tabs>
                <w:tab w:val="center" w:pos="1800"/>
              </w:tabs>
              <w:spacing w:after="0" w:line="240" w:lineRule="auto"/>
              <w:jc w:val="center"/>
              <w:rPr>
                <w:rFonts w:ascii="Arial Narrow" w:hAnsi="Arial Narrow"/>
                <w:noProof/>
                <w:sz w:val="24"/>
                <w:szCs w:val="24"/>
              </w:rPr>
            </w:pPr>
            <w:r w:rsidRPr="007B69F7">
              <w:rPr>
                <w:rFonts w:ascii="Arial Narrow" w:hAnsi="Arial Narrow"/>
                <w:noProof/>
                <w:sz w:val="24"/>
                <w:szCs w:val="24"/>
                <w:lang w:val="en-US" w:eastAsia="en-US"/>
              </w:rPr>
              <w:drawing>
                <wp:inline distT="0" distB="0" distL="0" distR="0" wp14:anchorId="6CB3CEC2" wp14:editId="490FD92B">
                  <wp:extent cx="5988377" cy="3784862"/>
                  <wp:effectExtent l="0" t="19050" r="0" b="44450"/>
                  <wp:docPr id="1027"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Grp="1" noChangeAspect="1" noChangeArrowheads="1"/>
                          </pic:cNvPicPr>
                        </pic:nvPicPr>
                        <pic:blipFill>
                          <a:blip r:embed="rId12" cstate="print">
                            <a:clrChange>
                              <a:clrFrom>
                                <a:srgbClr val="FFFFFF"/>
                              </a:clrFrom>
                              <a:clrTo>
                                <a:srgbClr val="FFFFFF">
                                  <a:alpha val="0"/>
                                </a:srgbClr>
                              </a:clrTo>
                            </a:clrChange>
                          </a:blip>
                          <a:stretch>
                            <a:fillRect/>
                          </a:stretch>
                        </pic:blipFill>
                        <pic:spPr bwMode="auto">
                          <a:xfrm>
                            <a:off x="0" y="0"/>
                            <a:ext cx="5988377" cy="3784862"/>
                          </a:xfrm>
                          <a:prstGeom prst="rect">
                            <a:avLst/>
                          </a:prstGeom>
                          <a:noFill/>
                          <a:ln w="9525">
                            <a:noFill/>
                            <a:miter lim="800000"/>
                            <a:headEnd/>
                            <a:tailEnd/>
                          </a:ln>
                          <a:scene3d>
                            <a:camera prst="orthographicFront"/>
                            <a:lightRig rig="threePt" dir="t"/>
                          </a:scene3d>
                          <a:sp3d>
                            <a:bevelT/>
                          </a:sp3d>
                        </pic:spPr>
                      </pic:pic>
                    </a:graphicData>
                  </a:graphic>
                </wp:inline>
              </w:drawing>
            </w:r>
          </w:p>
          <w:p w14:paraId="10CEBD33" w14:textId="77777777" w:rsidR="00A15B22" w:rsidRPr="007B69F7" w:rsidRDefault="00A15B22" w:rsidP="00A15B22">
            <w:pPr>
              <w:tabs>
                <w:tab w:val="center" w:pos="1800"/>
              </w:tabs>
              <w:spacing w:after="0" w:line="240" w:lineRule="auto"/>
              <w:jc w:val="center"/>
              <w:rPr>
                <w:rFonts w:ascii="Arial Narrow" w:hAnsi="Arial Narrow"/>
                <w:noProof/>
                <w:sz w:val="24"/>
                <w:szCs w:val="24"/>
              </w:rPr>
            </w:pPr>
          </w:p>
          <w:p w14:paraId="663CFC81" w14:textId="77777777" w:rsidR="00A15B22" w:rsidRPr="007B69F7" w:rsidRDefault="00A15B22" w:rsidP="00A15B22">
            <w:pPr>
              <w:tabs>
                <w:tab w:val="center" w:pos="1800"/>
              </w:tabs>
              <w:spacing w:after="0" w:line="240" w:lineRule="auto"/>
              <w:jc w:val="center"/>
              <w:rPr>
                <w:rFonts w:ascii="Arial Narrow" w:hAnsi="Arial Narrow"/>
                <w:b/>
                <w:bCs/>
                <w:smallCaps/>
                <w:color w:val="3E3E67"/>
                <w:sz w:val="24"/>
                <w:szCs w:val="24"/>
              </w:rPr>
            </w:pPr>
          </w:p>
        </w:tc>
      </w:tr>
    </w:tbl>
    <w:p w14:paraId="11B64239" w14:textId="77777777" w:rsidR="00A15B22" w:rsidRPr="007B69F7" w:rsidRDefault="00A15B22" w:rsidP="00A15B22">
      <w:pPr>
        <w:spacing w:after="0" w:line="240" w:lineRule="auto"/>
        <w:jc w:val="center"/>
        <w:rPr>
          <w:rFonts w:ascii="Arial Narrow" w:hAnsi="Arial Narrow"/>
          <w:color w:val="000000" w:themeColor="text1"/>
          <w:sz w:val="24"/>
          <w:szCs w:val="24"/>
        </w:rPr>
      </w:pPr>
    </w:p>
    <w:p w14:paraId="4E770D60" w14:textId="3DBED75F" w:rsidR="00A15B22" w:rsidRPr="007003F8" w:rsidRDefault="00A15B22" w:rsidP="00EB6E63">
      <w:pPr>
        <w:spacing w:after="0" w:line="240" w:lineRule="auto"/>
        <w:jc w:val="center"/>
        <w:rPr>
          <w:rFonts w:ascii="Arial Narrow" w:hAnsi="Arial Narrow"/>
          <w:b/>
          <w:color w:val="0070C0"/>
          <w:sz w:val="28"/>
          <w:szCs w:val="28"/>
        </w:rPr>
      </w:pPr>
      <w:r w:rsidRPr="007003F8">
        <w:rPr>
          <w:rFonts w:ascii="Arial Narrow" w:hAnsi="Arial Narrow"/>
          <w:b/>
          <w:color w:val="0070C0"/>
          <w:sz w:val="28"/>
          <w:szCs w:val="28"/>
        </w:rPr>
        <w:t>Συντάκτ</w:t>
      </w:r>
      <w:r w:rsidR="00EB6E63" w:rsidRPr="007003F8">
        <w:rPr>
          <w:rFonts w:ascii="Arial Narrow" w:hAnsi="Arial Narrow"/>
          <w:b/>
          <w:color w:val="0070C0"/>
          <w:sz w:val="28"/>
          <w:szCs w:val="28"/>
        </w:rPr>
        <w:t>ης: Θεόδωρος Ξυπολιάς, Γενικός Σύμβουλος ΟΕΥ Α΄</w:t>
      </w:r>
    </w:p>
    <w:p w14:paraId="4848F08B" w14:textId="77777777" w:rsidR="00A15B22" w:rsidRPr="007003F8" w:rsidRDefault="00A15B22" w:rsidP="00A15B22">
      <w:pPr>
        <w:spacing w:after="0" w:line="240" w:lineRule="auto"/>
        <w:rPr>
          <w:rFonts w:ascii="Arial Narrow" w:hAnsi="Arial Narrow"/>
          <w:color w:val="000000" w:themeColor="text1"/>
          <w:sz w:val="28"/>
          <w:szCs w:val="28"/>
        </w:rPr>
      </w:pPr>
      <w:r w:rsidRPr="007003F8">
        <w:rPr>
          <w:rFonts w:ascii="Arial Narrow" w:hAnsi="Arial Narrow"/>
          <w:color w:val="000000" w:themeColor="text1"/>
          <w:sz w:val="28"/>
          <w:szCs w:val="28"/>
        </w:rPr>
        <w:t xml:space="preserve"> </w:t>
      </w:r>
    </w:p>
    <w:p w14:paraId="3140E814" w14:textId="5BBBACFF" w:rsidR="00A15B22" w:rsidRPr="007003F8" w:rsidRDefault="00105241" w:rsidP="00A15B22">
      <w:pPr>
        <w:spacing w:after="0" w:line="240" w:lineRule="auto"/>
        <w:jc w:val="center"/>
        <w:rPr>
          <w:rFonts w:ascii="Arial Narrow" w:hAnsi="Arial Narrow"/>
          <w:b/>
          <w:i/>
          <w:iCs/>
          <w:color w:val="92D050"/>
          <w:sz w:val="28"/>
          <w:szCs w:val="28"/>
        </w:rPr>
      </w:pPr>
      <w:r w:rsidRPr="007003F8">
        <w:rPr>
          <w:rFonts w:ascii="Arial Narrow" w:hAnsi="Arial Narrow"/>
          <w:b/>
          <w:i/>
          <w:iCs/>
          <w:color w:val="92D050"/>
          <w:sz w:val="28"/>
          <w:szCs w:val="28"/>
        </w:rPr>
        <w:t>Ντουμπάι</w:t>
      </w:r>
      <w:r w:rsidR="00A15B22" w:rsidRPr="007003F8">
        <w:rPr>
          <w:rFonts w:ascii="Arial Narrow" w:hAnsi="Arial Narrow"/>
          <w:b/>
          <w:i/>
          <w:iCs/>
          <w:color w:val="92D050"/>
          <w:sz w:val="28"/>
          <w:szCs w:val="28"/>
        </w:rPr>
        <w:t xml:space="preserve">, </w:t>
      </w:r>
      <w:r w:rsidR="00201DB5" w:rsidRPr="007003F8">
        <w:rPr>
          <w:rFonts w:ascii="Arial Narrow" w:hAnsi="Arial Narrow"/>
          <w:b/>
          <w:i/>
          <w:iCs/>
          <w:color w:val="92D050"/>
          <w:sz w:val="28"/>
          <w:szCs w:val="28"/>
        </w:rPr>
        <w:t>Ιο</w:t>
      </w:r>
      <w:r w:rsidR="00F52927">
        <w:rPr>
          <w:rFonts w:ascii="Arial Narrow" w:hAnsi="Arial Narrow"/>
          <w:b/>
          <w:i/>
          <w:iCs/>
          <w:color w:val="92D050"/>
          <w:sz w:val="28"/>
          <w:szCs w:val="28"/>
        </w:rPr>
        <w:t>ύλιος  2026</w:t>
      </w:r>
    </w:p>
    <w:p w14:paraId="21369776" w14:textId="6923582F" w:rsidR="00A36517" w:rsidRDefault="00A36517" w:rsidP="00364C14">
      <w:pPr>
        <w:spacing w:after="0" w:line="240" w:lineRule="auto"/>
        <w:rPr>
          <w:rFonts w:ascii="Arial Narrow" w:hAnsi="Arial Narrow"/>
          <w:color w:val="000000" w:themeColor="text1"/>
          <w:sz w:val="24"/>
          <w:szCs w:val="24"/>
        </w:rPr>
      </w:pPr>
    </w:p>
    <w:p w14:paraId="0BFAFB0A" w14:textId="367D5AB1" w:rsidR="00025D9B" w:rsidRDefault="00025D9B" w:rsidP="00364C14">
      <w:pPr>
        <w:spacing w:after="0" w:line="240" w:lineRule="auto"/>
        <w:rPr>
          <w:rFonts w:ascii="Arial Narrow" w:hAnsi="Arial Narrow"/>
          <w:color w:val="000000" w:themeColor="text1"/>
          <w:sz w:val="24"/>
          <w:szCs w:val="24"/>
        </w:rPr>
      </w:pPr>
    </w:p>
    <w:p w14:paraId="020D0AA7" w14:textId="77777777" w:rsidR="00025D9B" w:rsidRPr="007B69F7" w:rsidRDefault="00025D9B" w:rsidP="00364C14">
      <w:pPr>
        <w:spacing w:after="0" w:line="240" w:lineRule="auto"/>
        <w:rPr>
          <w:rFonts w:ascii="Arial Narrow" w:hAnsi="Arial Narrow"/>
          <w:color w:val="000000" w:themeColor="text1"/>
          <w:sz w:val="24"/>
          <w:szCs w:val="24"/>
        </w:rPr>
      </w:pPr>
    </w:p>
    <w:sdt>
      <w:sdtPr>
        <w:rPr>
          <w:rFonts w:ascii="Arial Narrow" w:eastAsiaTheme="minorEastAsia" w:hAnsi="Arial Narrow" w:cs="Times New Roman"/>
          <w:b w:val="0"/>
          <w:bCs w:val="0"/>
          <w:color w:val="auto"/>
          <w:sz w:val="24"/>
          <w:szCs w:val="24"/>
          <w:lang w:val="el-GR" w:eastAsia="el-GR"/>
        </w:rPr>
        <w:id w:val="24016360"/>
        <w:docPartObj>
          <w:docPartGallery w:val="Table of Contents"/>
          <w:docPartUnique/>
        </w:docPartObj>
      </w:sdtPr>
      <w:sdtContent>
        <w:p w14:paraId="00F89916" w14:textId="147CB012" w:rsidR="00A13180" w:rsidRPr="00F52927" w:rsidRDefault="000D1516" w:rsidP="00F52927">
          <w:pPr>
            <w:pStyle w:val="TOCHeading1"/>
            <w:jc w:val="center"/>
            <w:rPr>
              <w:rFonts w:ascii="Arial Narrow" w:hAnsi="Arial Narrow" w:cs="Times New Roman"/>
              <w:sz w:val="24"/>
              <w:szCs w:val="24"/>
              <w:lang w:val="el-GR"/>
            </w:rPr>
          </w:pPr>
          <w:r w:rsidRPr="00F52927">
            <w:rPr>
              <w:rFonts w:ascii="Arial Narrow" w:hAnsi="Arial Narrow" w:cs="Times New Roman"/>
              <w:sz w:val="24"/>
              <w:szCs w:val="24"/>
              <w:lang w:val="el-GR"/>
            </w:rPr>
            <w:t>ΠΙΝΑΚΑΣ ΠΕΡΙΕΧΟΜΕΝΩΝ</w:t>
          </w:r>
        </w:p>
        <w:p w14:paraId="60EA0111" w14:textId="135FA045" w:rsidR="000D1516" w:rsidRPr="00F52927" w:rsidRDefault="00E62845"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 xml:space="preserve">1. </w:t>
          </w:r>
          <w:r w:rsidR="000D1516" w:rsidRPr="00F52927">
            <w:rPr>
              <w:rFonts w:ascii="Arial Narrow" w:hAnsi="Arial Narrow"/>
              <w:b/>
              <w:color w:val="4F81BD" w:themeColor="accent1"/>
              <w:sz w:val="24"/>
              <w:szCs w:val="24"/>
              <w:lang w:eastAsia="en-US"/>
            </w:rPr>
            <w:t xml:space="preserve"> Εισαγωγή                                                                      </w:t>
          </w:r>
          <w:r w:rsidR="00243379" w:rsidRPr="00F52927">
            <w:rPr>
              <w:rFonts w:ascii="Arial Narrow" w:hAnsi="Arial Narrow"/>
              <w:b/>
              <w:color w:val="4F81BD" w:themeColor="accent1"/>
              <w:sz w:val="24"/>
              <w:szCs w:val="24"/>
              <w:lang w:eastAsia="en-US"/>
            </w:rPr>
            <w:t xml:space="preserve">        </w:t>
          </w:r>
          <w:r w:rsidR="00F52927">
            <w:rPr>
              <w:rFonts w:ascii="Arial Narrow" w:hAnsi="Arial Narrow"/>
              <w:b/>
              <w:color w:val="4F81BD" w:themeColor="accent1"/>
              <w:sz w:val="24"/>
              <w:szCs w:val="24"/>
              <w:lang w:eastAsia="en-US"/>
            </w:rPr>
            <w:t xml:space="preserve">              </w:t>
          </w:r>
          <w:r w:rsidR="000D1516" w:rsidRPr="00F52927">
            <w:rPr>
              <w:rFonts w:ascii="Arial Narrow" w:hAnsi="Arial Narrow"/>
              <w:b/>
              <w:color w:val="4F81BD" w:themeColor="accent1"/>
              <w:sz w:val="24"/>
              <w:szCs w:val="24"/>
              <w:lang w:eastAsia="en-US"/>
            </w:rPr>
            <w:t>Σελίδες 1-2</w:t>
          </w:r>
        </w:p>
        <w:p w14:paraId="60883C30" w14:textId="381A450F" w:rsidR="00F52927" w:rsidRDefault="00E62845"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 xml:space="preserve">2. </w:t>
          </w:r>
          <w:r w:rsidR="00F52927">
            <w:rPr>
              <w:rFonts w:ascii="Arial Narrow" w:hAnsi="Arial Narrow"/>
              <w:b/>
              <w:color w:val="4F81BD" w:themeColor="accent1"/>
              <w:sz w:val="24"/>
              <w:szCs w:val="24"/>
              <w:lang w:eastAsia="en-US"/>
            </w:rPr>
            <w:t>Επιπτώσεις στην Οικονομία των ΗΑΕ μετά την υπογραφή του</w:t>
          </w:r>
        </w:p>
        <w:p w14:paraId="466F1487" w14:textId="4B9B4263" w:rsidR="00F52927" w:rsidRDefault="00F52927" w:rsidP="000D1516">
          <w:pPr>
            <w:rPr>
              <w:rFonts w:ascii="Arial Narrow" w:hAnsi="Arial Narrow"/>
              <w:b/>
              <w:color w:val="4F81BD" w:themeColor="accent1"/>
              <w:sz w:val="24"/>
              <w:szCs w:val="24"/>
              <w:lang w:val="en-US" w:eastAsia="en-US"/>
            </w:rPr>
          </w:pPr>
          <w:r>
            <w:rPr>
              <w:rFonts w:ascii="Arial Narrow" w:hAnsi="Arial Narrow"/>
              <w:b/>
              <w:color w:val="4F81BD" w:themeColor="accent1"/>
              <w:sz w:val="24"/>
              <w:szCs w:val="24"/>
              <w:lang w:eastAsia="en-US"/>
            </w:rPr>
            <w:t>Μνημονίου</w:t>
          </w:r>
          <w:r w:rsidRPr="008E621D">
            <w:rPr>
              <w:rFonts w:ascii="Arial Narrow" w:hAnsi="Arial Narrow"/>
              <w:b/>
              <w:color w:val="4F81BD" w:themeColor="accent1"/>
              <w:sz w:val="24"/>
              <w:szCs w:val="24"/>
              <w:lang w:val="en-AE" w:eastAsia="en-US"/>
            </w:rPr>
            <w:t xml:space="preserve"> </w:t>
          </w:r>
          <w:r>
            <w:rPr>
              <w:rFonts w:ascii="Arial Narrow" w:hAnsi="Arial Narrow"/>
              <w:b/>
              <w:color w:val="4F81BD" w:themeColor="accent1"/>
              <w:sz w:val="24"/>
              <w:szCs w:val="24"/>
              <w:lang w:eastAsia="en-US"/>
            </w:rPr>
            <w:t>Κατανόησης</w:t>
          </w:r>
          <w:r w:rsidRPr="008E621D">
            <w:rPr>
              <w:rFonts w:ascii="Arial Narrow" w:hAnsi="Arial Narrow"/>
              <w:b/>
              <w:color w:val="4F81BD" w:themeColor="accent1"/>
              <w:sz w:val="24"/>
              <w:szCs w:val="24"/>
              <w:lang w:val="en-AE" w:eastAsia="en-US"/>
            </w:rPr>
            <w:t xml:space="preserve"> </w:t>
          </w:r>
          <w:r>
            <w:rPr>
              <w:rFonts w:ascii="Arial Narrow" w:hAnsi="Arial Narrow"/>
              <w:b/>
              <w:color w:val="4F81BD" w:themeColor="accent1"/>
              <w:sz w:val="24"/>
              <w:szCs w:val="24"/>
              <w:lang w:eastAsia="en-US"/>
            </w:rPr>
            <w:t>ΗΠΑ</w:t>
          </w:r>
          <w:r w:rsidRPr="008E621D">
            <w:rPr>
              <w:rFonts w:ascii="Arial Narrow" w:hAnsi="Arial Narrow"/>
              <w:b/>
              <w:color w:val="4F81BD" w:themeColor="accent1"/>
              <w:sz w:val="24"/>
              <w:szCs w:val="24"/>
              <w:lang w:val="en-AE" w:eastAsia="en-US"/>
            </w:rPr>
            <w:t xml:space="preserve"> </w:t>
          </w:r>
          <w:r>
            <w:rPr>
              <w:rFonts w:ascii="Arial Narrow" w:hAnsi="Arial Narrow"/>
              <w:b/>
              <w:color w:val="4F81BD" w:themeColor="accent1"/>
              <w:sz w:val="24"/>
              <w:szCs w:val="24"/>
              <w:lang w:eastAsia="en-US"/>
            </w:rPr>
            <w:t>και</w:t>
          </w:r>
          <w:r w:rsidRPr="008E621D">
            <w:rPr>
              <w:rFonts w:ascii="Arial Narrow" w:hAnsi="Arial Narrow"/>
              <w:b/>
              <w:color w:val="4F81BD" w:themeColor="accent1"/>
              <w:sz w:val="24"/>
              <w:szCs w:val="24"/>
              <w:lang w:val="en-AE" w:eastAsia="en-US"/>
            </w:rPr>
            <w:t xml:space="preserve"> </w:t>
          </w:r>
          <w:r>
            <w:rPr>
              <w:rFonts w:ascii="Arial Narrow" w:hAnsi="Arial Narrow"/>
              <w:b/>
              <w:color w:val="4F81BD" w:themeColor="accent1"/>
              <w:sz w:val="24"/>
              <w:szCs w:val="24"/>
              <w:lang w:eastAsia="en-US"/>
            </w:rPr>
            <w:t>Ιράν</w:t>
          </w:r>
          <w:r w:rsidRPr="008E621D">
            <w:rPr>
              <w:rFonts w:ascii="Arial Narrow" w:hAnsi="Arial Narrow"/>
              <w:b/>
              <w:color w:val="4F81BD" w:themeColor="accent1"/>
              <w:sz w:val="24"/>
              <w:szCs w:val="24"/>
              <w:lang w:val="en-AE" w:eastAsia="en-US"/>
            </w:rPr>
            <w:t xml:space="preserve"> </w:t>
          </w:r>
          <w:r w:rsidR="008E621D" w:rsidRPr="008E621D">
            <w:rPr>
              <w:rFonts w:ascii="Arial Narrow" w:hAnsi="Arial Narrow"/>
              <w:b/>
              <w:color w:val="4F81BD" w:themeColor="accent1"/>
              <w:sz w:val="24"/>
              <w:szCs w:val="24"/>
              <w:lang w:val="en-AE" w:eastAsia="en-US"/>
            </w:rPr>
            <w:t>–</w:t>
          </w:r>
          <w:r w:rsidRPr="008E621D">
            <w:rPr>
              <w:rFonts w:ascii="Arial Narrow" w:hAnsi="Arial Narrow"/>
              <w:b/>
              <w:color w:val="4F81BD" w:themeColor="accent1"/>
              <w:sz w:val="24"/>
              <w:szCs w:val="24"/>
              <w:lang w:val="en-AE" w:eastAsia="en-US"/>
            </w:rPr>
            <w:t xml:space="preserve"> </w:t>
          </w:r>
          <w:r w:rsidR="008E621D">
            <w:rPr>
              <w:rFonts w:ascii="Arial Narrow" w:hAnsi="Arial Narrow"/>
              <w:b/>
              <w:color w:val="4F81BD" w:themeColor="accent1"/>
              <w:sz w:val="24"/>
              <w:szCs w:val="24"/>
              <w:lang w:val="en-US" w:eastAsia="en-US"/>
            </w:rPr>
            <w:t>Memorandum</w:t>
          </w:r>
          <w:r w:rsidR="008E621D" w:rsidRPr="008E621D">
            <w:rPr>
              <w:rFonts w:ascii="Arial Narrow" w:hAnsi="Arial Narrow"/>
              <w:b/>
              <w:color w:val="4F81BD" w:themeColor="accent1"/>
              <w:sz w:val="24"/>
              <w:szCs w:val="24"/>
              <w:lang w:val="en-AE" w:eastAsia="en-US"/>
            </w:rPr>
            <w:t xml:space="preserve"> </w:t>
          </w:r>
          <w:r w:rsidR="008E621D">
            <w:rPr>
              <w:rFonts w:ascii="Arial Narrow" w:hAnsi="Arial Narrow"/>
              <w:b/>
              <w:color w:val="4F81BD" w:themeColor="accent1"/>
              <w:sz w:val="24"/>
              <w:szCs w:val="24"/>
              <w:lang w:val="en-US" w:eastAsia="en-US"/>
            </w:rPr>
            <w:t>of</w:t>
          </w:r>
          <w:r w:rsidR="008E621D" w:rsidRPr="008E621D">
            <w:rPr>
              <w:rFonts w:ascii="Arial Narrow" w:hAnsi="Arial Narrow"/>
              <w:b/>
              <w:color w:val="4F81BD" w:themeColor="accent1"/>
              <w:sz w:val="24"/>
              <w:szCs w:val="24"/>
              <w:lang w:val="en-AE" w:eastAsia="en-US"/>
            </w:rPr>
            <w:t xml:space="preserve"> </w:t>
          </w:r>
          <w:r w:rsidR="008E621D">
            <w:rPr>
              <w:rFonts w:ascii="Arial Narrow" w:hAnsi="Arial Narrow"/>
              <w:b/>
              <w:color w:val="4F81BD" w:themeColor="accent1"/>
              <w:sz w:val="24"/>
              <w:szCs w:val="24"/>
              <w:lang w:val="en-US" w:eastAsia="en-US"/>
            </w:rPr>
            <w:t>Understanding – MoU</w:t>
          </w:r>
        </w:p>
        <w:p w14:paraId="1E4EB246" w14:textId="6E771851" w:rsidR="008E621D" w:rsidRDefault="006C6003"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val="en-AE" w:eastAsia="en-US"/>
            </w:rPr>
            <w:tab/>
          </w:r>
          <w:r>
            <w:rPr>
              <w:rFonts w:ascii="Arial Narrow" w:hAnsi="Arial Narrow"/>
              <w:b/>
              <w:color w:val="4F81BD" w:themeColor="accent1"/>
              <w:sz w:val="24"/>
              <w:szCs w:val="24"/>
              <w:lang w:val="en-AE" w:eastAsia="en-US"/>
            </w:rPr>
            <w:tab/>
          </w:r>
          <w:r>
            <w:rPr>
              <w:rFonts w:ascii="Arial Narrow" w:hAnsi="Arial Narrow"/>
              <w:b/>
              <w:color w:val="4F81BD" w:themeColor="accent1"/>
              <w:sz w:val="24"/>
              <w:szCs w:val="24"/>
              <w:lang w:val="en-AE" w:eastAsia="en-US"/>
            </w:rPr>
            <w:tab/>
          </w:r>
          <w:r>
            <w:rPr>
              <w:rFonts w:ascii="Arial Narrow" w:hAnsi="Arial Narrow"/>
              <w:b/>
              <w:color w:val="4F81BD" w:themeColor="accent1"/>
              <w:sz w:val="24"/>
              <w:szCs w:val="24"/>
              <w:lang w:val="en-AE" w:eastAsia="en-US"/>
            </w:rPr>
            <w:tab/>
          </w:r>
          <w:r>
            <w:rPr>
              <w:rFonts w:ascii="Arial Narrow" w:hAnsi="Arial Narrow"/>
              <w:b/>
              <w:color w:val="4F81BD" w:themeColor="accent1"/>
              <w:sz w:val="24"/>
              <w:szCs w:val="24"/>
              <w:lang w:val="en-AE" w:eastAsia="en-US"/>
            </w:rPr>
            <w:tab/>
          </w:r>
          <w:r>
            <w:rPr>
              <w:rFonts w:ascii="Arial Narrow" w:hAnsi="Arial Narrow"/>
              <w:b/>
              <w:color w:val="4F81BD" w:themeColor="accent1"/>
              <w:sz w:val="24"/>
              <w:szCs w:val="24"/>
              <w:lang w:val="en-AE" w:eastAsia="en-US"/>
            </w:rPr>
            <w:tab/>
          </w:r>
          <w:r>
            <w:rPr>
              <w:rFonts w:ascii="Arial Narrow" w:hAnsi="Arial Narrow"/>
              <w:b/>
              <w:color w:val="4F81BD" w:themeColor="accent1"/>
              <w:sz w:val="24"/>
              <w:szCs w:val="24"/>
              <w:lang w:val="en-AE" w:eastAsia="en-US"/>
            </w:rPr>
            <w:tab/>
          </w:r>
          <w:r>
            <w:rPr>
              <w:rFonts w:ascii="Arial Narrow" w:hAnsi="Arial Narrow"/>
              <w:b/>
              <w:color w:val="4F81BD" w:themeColor="accent1"/>
              <w:sz w:val="24"/>
              <w:szCs w:val="24"/>
              <w:lang w:val="en-AE" w:eastAsia="en-US"/>
            </w:rPr>
            <w:tab/>
          </w:r>
          <w:r w:rsidRPr="00022BD6">
            <w:rPr>
              <w:rFonts w:ascii="Arial Narrow" w:hAnsi="Arial Narrow"/>
              <w:b/>
              <w:color w:val="4F81BD" w:themeColor="accent1"/>
              <w:sz w:val="24"/>
              <w:szCs w:val="24"/>
              <w:lang w:val="en-AE" w:eastAsia="en-US"/>
            </w:rPr>
            <w:t xml:space="preserve">         </w:t>
          </w:r>
          <w:r>
            <w:rPr>
              <w:rFonts w:ascii="Arial Narrow" w:hAnsi="Arial Narrow"/>
              <w:b/>
              <w:color w:val="4F81BD" w:themeColor="accent1"/>
              <w:sz w:val="24"/>
              <w:szCs w:val="24"/>
              <w:lang w:eastAsia="en-US"/>
            </w:rPr>
            <w:t>Σελίδες 2-5</w:t>
          </w:r>
        </w:p>
        <w:p w14:paraId="69ECD27C" w14:textId="1277C027" w:rsidR="006C6003" w:rsidRDefault="00E62845"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 xml:space="preserve">3. </w:t>
          </w:r>
          <w:r w:rsidR="006C6003">
            <w:rPr>
              <w:rFonts w:ascii="Arial Narrow" w:hAnsi="Arial Narrow"/>
              <w:b/>
              <w:color w:val="4F81BD" w:themeColor="accent1"/>
              <w:sz w:val="24"/>
              <w:szCs w:val="24"/>
              <w:lang w:eastAsia="en-US"/>
            </w:rPr>
            <w:t>Οικονομία Ηνωμένων Αραβικών Εμιράτων                                     Σελίδες 6-18</w:t>
          </w:r>
        </w:p>
        <w:p w14:paraId="29228E24" w14:textId="7F049752" w:rsidR="006C6003" w:rsidRDefault="00E62845"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 xml:space="preserve">4. </w:t>
          </w:r>
          <w:r w:rsidR="006C6003">
            <w:rPr>
              <w:rFonts w:ascii="Arial Narrow" w:hAnsi="Arial Narrow"/>
              <w:b/>
              <w:color w:val="4F81BD" w:themeColor="accent1"/>
              <w:sz w:val="24"/>
              <w:szCs w:val="24"/>
              <w:lang w:eastAsia="en-US"/>
            </w:rPr>
            <w:t xml:space="preserve">Τομέας Φυσικού Αερίου στα Ηνωμένα Αραβικά Εμιράτα             Σελίδες 18-19              </w:t>
          </w:r>
        </w:p>
        <w:p w14:paraId="341ED8E3" w14:textId="77FC8759" w:rsidR="006C6003" w:rsidRDefault="006C6003"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5. Εθνική Ενεργειακή Στρατηγική 2050, Ηλιακή Ενέργεια,                Σελίδα 20</w:t>
          </w:r>
        </w:p>
        <w:p w14:paraId="0CD70985" w14:textId="525087A4" w:rsidR="006C6003" w:rsidRDefault="006C6003"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 xml:space="preserve">    Αιολική Ενέργεια, Αποθήκευση Ενέργειας &amp; Μπαταρίες              Σελίδα 20</w:t>
          </w:r>
        </w:p>
        <w:p w14:paraId="4713E172" w14:textId="77777777" w:rsidR="006C6003" w:rsidRDefault="006C6003"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6. Ηλιακή Ενέργεια                                                                                Σελίδα 20</w:t>
          </w:r>
        </w:p>
        <w:p w14:paraId="6103F89E" w14:textId="0E66B97F" w:rsidR="006C6003" w:rsidRDefault="006C6003"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 xml:space="preserve">7. Πράσινο Υδρογόνο                                                                           Σελίδα 21 </w:t>
          </w:r>
        </w:p>
        <w:p w14:paraId="71910ABE" w14:textId="7FEAE2CD" w:rsidR="006C6003" w:rsidRDefault="006C6003"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 xml:space="preserve">8. Ο Τομέας του Πράσινου Υδρογόνου στα Ηνωμένα Αραβικά </w:t>
          </w:r>
        </w:p>
        <w:p w14:paraId="710BC184" w14:textId="119F2525" w:rsidR="006C6003" w:rsidRPr="006C6003" w:rsidRDefault="006C6003"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Εμιράτα                                                                                                  Σελίδες 21-23</w:t>
          </w:r>
        </w:p>
        <w:p w14:paraId="76CBCD31" w14:textId="59B5B37D" w:rsidR="000D1516" w:rsidRDefault="006C6003"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 xml:space="preserve">9. Ο Τομέας της Μεταποίησης στα Ηνωμένα Αραβικά Εμιράτα      Σελίδες </w:t>
          </w:r>
          <w:r w:rsidR="00D255C8">
            <w:rPr>
              <w:rFonts w:ascii="Arial Narrow" w:hAnsi="Arial Narrow"/>
              <w:b/>
              <w:color w:val="4F81BD" w:themeColor="accent1"/>
              <w:sz w:val="24"/>
              <w:szCs w:val="24"/>
              <w:lang w:eastAsia="en-US"/>
            </w:rPr>
            <w:t>23-25</w:t>
          </w:r>
        </w:p>
        <w:p w14:paraId="2AB3B726" w14:textId="02C8AC5E" w:rsidR="00D255C8" w:rsidRDefault="00D255C8"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10. Τριτογενής Τομέας – Κατασκευές                                                 Σελίδες 25-27</w:t>
          </w:r>
        </w:p>
        <w:p w14:paraId="6789312B" w14:textId="08F4E098" w:rsidR="00D255C8" w:rsidRDefault="00D255C8"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11. Ο Τομέας του Τουρισμού στα Ηνωμένα Αραβικά Εμιράτα</w:t>
          </w:r>
          <w:r w:rsidR="00732EC1">
            <w:rPr>
              <w:rFonts w:ascii="Arial Narrow" w:hAnsi="Arial Narrow"/>
              <w:b/>
              <w:color w:val="4F81BD" w:themeColor="accent1"/>
              <w:sz w:val="24"/>
              <w:szCs w:val="24"/>
              <w:lang w:eastAsia="en-US"/>
            </w:rPr>
            <w:t xml:space="preserve">         Σελίδες 27-29</w:t>
          </w:r>
        </w:p>
        <w:p w14:paraId="55FCE1EF" w14:textId="147E09D8" w:rsidR="00732EC1" w:rsidRDefault="00732EC1"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12. Τομείς Χονδρικού &amp; Λιανικού Εμπορίου στα ΗΑΕ                      Σελίδες 29-30</w:t>
          </w:r>
        </w:p>
        <w:p w14:paraId="0423B17E" w14:textId="02F20F0A" w:rsidR="00732EC1" w:rsidRDefault="00732EC1"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13. Ο Τομέας των Μεταφορών στα ΗΑΕ                                             Σελίδες 30-32</w:t>
          </w:r>
        </w:p>
        <w:p w14:paraId="1B379301" w14:textId="20EE4F2E" w:rsidR="00732EC1" w:rsidRDefault="00732EC1"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14. Ο Χρηματοοικονομικός Τομέας στα ΗΑΕ                                     Σελίδες 32-34</w:t>
          </w:r>
        </w:p>
        <w:p w14:paraId="4CA7719D" w14:textId="2AECEC2D" w:rsidR="00732EC1" w:rsidRDefault="00732EC1"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15. Η Ψηφιακή Οικονομία στα ΗΑΕ                                                     Σελίδες 34-36</w:t>
          </w:r>
        </w:p>
        <w:p w14:paraId="5E2D3CE2" w14:textId="0157AAFB" w:rsidR="00732EC1" w:rsidRDefault="00732EC1"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16. Ο Τομέας της Πυρηνικής Ενέργειας στα ΗΑΕ                              Σελίδες 36-38</w:t>
          </w:r>
        </w:p>
        <w:p w14:paraId="1B471356" w14:textId="522DD6BC" w:rsidR="00732EC1" w:rsidRDefault="00732EC1"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17. Ο Τομέας της Υγείας στα ΗΑΕ                                                       Σελίδες 38-39</w:t>
          </w:r>
        </w:p>
        <w:p w14:paraId="4393CE8D" w14:textId="2D7EB458" w:rsidR="00732EC1" w:rsidRDefault="00732EC1"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 xml:space="preserve">18. Η Οικονομία των 7 Εμιράτων                                                        </w:t>
          </w:r>
          <w:r w:rsidR="00581EB7">
            <w:rPr>
              <w:rFonts w:ascii="Arial Narrow" w:hAnsi="Arial Narrow"/>
              <w:b/>
              <w:color w:val="4F81BD" w:themeColor="accent1"/>
              <w:sz w:val="24"/>
              <w:szCs w:val="24"/>
              <w:lang w:eastAsia="en-US"/>
            </w:rPr>
            <w:t xml:space="preserve"> Σελίδες 40-44</w:t>
          </w:r>
        </w:p>
        <w:p w14:paraId="1C60CDA4" w14:textId="6B62120F" w:rsidR="00581EB7" w:rsidRDefault="00581EB7"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19. Οικονομικές Σχέσεις ΗΑΕ                                                               Σελίδες 44-52</w:t>
          </w:r>
        </w:p>
        <w:p w14:paraId="2C5BCA54" w14:textId="3EE01DA6" w:rsidR="00581EB7" w:rsidRDefault="00581EB7"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20. Οικονομικές Σχέσεις Ελλάδας και ΗΑΕ                                         Σελίδες 52-62</w:t>
          </w:r>
        </w:p>
        <w:p w14:paraId="36DE5221" w14:textId="341B4C1F" w:rsidR="00581EB7" w:rsidRDefault="00581EB7"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21. Θεσμικό Πλαίσιο Συνεργασίας Ελλάδας και ΗΑΕ                         Σελίδε 62-65</w:t>
          </w:r>
        </w:p>
        <w:p w14:paraId="164412B6" w14:textId="77CECF23" w:rsidR="00581EB7" w:rsidRDefault="00581EB7"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22. Απολογισμός Δράσεων Γραφείου ΟΕΥ Ντουμπάϊ για το 2025 – Προτεραιότητες για το 2026</w:t>
          </w:r>
        </w:p>
        <w:p w14:paraId="53ED7118" w14:textId="58381BC7" w:rsidR="00581EB7" w:rsidRDefault="00581EB7"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 xml:space="preserve">                                                                                                                  Σελίδες 65-67</w:t>
          </w:r>
        </w:p>
        <w:p w14:paraId="7B8E93C8" w14:textId="3CEA0C64" w:rsidR="00581EB7" w:rsidRDefault="00581EB7"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 xml:space="preserve">23. Διμερείς Οικονομικές Σχέσεις και Διεθνείς Συνεργασίες              Σελίδες </w:t>
          </w:r>
          <w:r w:rsidR="002C715B">
            <w:rPr>
              <w:rFonts w:ascii="Arial Narrow" w:hAnsi="Arial Narrow"/>
              <w:b/>
              <w:color w:val="4F81BD" w:themeColor="accent1"/>
              <w:sz w:val="24"/>
              <w:szCs w:val="24"/>
              <w:lang w:eastAsia="en-US"/>
            </w:rPr>
            <w:t>67-69</w:t>
          </w:r>
        </w:p>
        <w:p w14:paraId="79EA3144" w14:textId="6E2E14F4" w:rsidR="002C715B" w:rsidRDefault="002C715B"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24. Παράρτημα                                                                                        Σελίδες 69 – 76</w:t>
          </w:r>
        </w:p>
        <w:p w14:paraId="0E45EA7F" w14:textId="77777777" w:rsidR="00E62845" w:rsidRDefault="00E62845" w:rsidP="000D1516">
          <w:pPr>
            <w:rPr>
              <w:rFonts w:ascii="Arial Narrow" w:hAnsi="Arial Narrow"/>
              <w:b/>
              <w:color w:val="4F81BD" w:themeColor="accent1"/>
              <w:sz w:val="24"/>
              <w:szCs w:val="24"/>
              <w:lang w:eastAsia="en-US"/>
            </w:rPr>
          </w:pPr>
        </w:p>
        <w:p w14:paraId="4A0A8AFA" w14:textId="605093E0" w:rsidR="001B7B6B" w:rsidRDefault="0072778C"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 xml:space="preserve">ΠΙΝΑΚΑΣ </w:t>
          </w:r>
          <w:r w:rsidR="00022BD6" w:rsidRPr="00022BD6">
            <w:rPr>
              <w:rFonts w:ascii="Arial Narrow" w:hAnsi="Arial Narrow"/>
              <w:b/>
              <w:color w:val="4F81BD" w:themeColor="accent1"/>
              <w:sz w:val="24"/>
              <w:szCs w:val="24"/>
              <w:lang w:eastAsia="en-US"/>
            </w:rPr>
            <w:t xml:space="preserve">1 </w:t>
          </w:r>
          <w:r>
            <w:rPr>
              <w:rFonts w:ascii="Arial Narrow" w:hAnsi="Arial Narrow"/>
              <w:b/>
              <w:color w:val="4F81BD" w:themeColor="accent1"/>
              <w:sz w:val="24"/>
              <w:szCs w:val="24"/>
              <w:lang w:eastAsia="en-US"/>
            </w:rPr>
            <w:t>ΜΑΚΡΟΟΙΚΟΝΟΜΙΚΑ ΣΤΟΙΧΕΙΑ – ΟΙΚΟΝΟΜΙΑ ΤΩΝ ΗΑΕ ΓΙΑ ΤΟ 2024 ΕΩΣ ΚΑΙ 2026</w:t>
          </w:r>
        </w:p>
        <w:p w14:paraId="3D891EFA" w14:textId="1182719D" w:rsidR="0072778C" w:rsidRDefault="0072778C" w:rsidP="000D1516">
          <w:pPr>
            <w:rPr>
              <w:rFonts w:ascii="Arial Narrow" w:hAnsi="Arial Narrow"/>
              <w:b/>
              <w:color w:val="4F81BD" w:themeColor="accent1"/>
              <w:sz w:val="24"/>
              <w:szCs w:val="24"/>
              <w:lang w:eastAsia="en-US"/>
            </w:rPr>
          </w:pPr>
          <w:r>
            <w:rPr>
              <w:rFonts w:ascii="Arial Narrow" w:hAnsi="Arial Narrow"/>
              <w:b/>
              <w:color w:val="4F81BD" w:themeColor="accent1"/>
              <w:sz w:val="24"/>
              <w:szCs w:val="24"/>
              <w:lang w:eastAsia="en-US"/>
            </w:rPr>
            <w:t xml:space="preserve">ΠΙΝΑΚΑΣ </w:t>
          </w:r>
          <w:r w:rsidR="00022BD6" w:rsidRPr="00022BD6">
            <w:rPr>
              <w:rFonts w:ascii="Arial Narrow" w:hAnsi="Arial Narrow"/>
              <w:b/>
              <w:color w:val="4F81BD" w:themeColor="accent1"/>
              <w:sz w:val="24"/>
              <w:szCs w:val="24"/>
              <w:lang w:eastAsia="en-US"/>
            </w:rPr>
            <w:t xml:space="preserve">2 </w:t>
          </w:r>
          <w:r>
            <w:rPr>
              <w:rFonts w:ascii="Arial Narrow" w:hAnsi="Arial Narrow"/>
              <w:b/>
              <w:color w:val="4F81BD" w:themeColor="accent1"/>
              <w:sz w:val="24"/>
              <w:szCs w:val="24"/>
              <w:lang w:eastAsia="en-US"/>
            </w:rPr>
            <w:t>ΑΜΕΣΕΣ ΞΕΝΕΣ ΕΠΕΝΔΥΣΕΙΣ ΣΤΑ ΗΑΕ</w:t>
          </w:r>
        </w:p>
        <w:p w14:paraId="1B172E0F" w14:textId="74B0E1DF" w:rsidR="000736CB" w:rsidRDefault="0072778C" w:rsidP="003004D1">
          <w:pPr>
            <w:rPr>
              <w:rFonts w:ascii="Arial Narrow" w:hAnsi="Arial Narrow" w:cs="Times New Roman"/>
              <w:b/>
              <w:color w:val="4F81BD" w:themeColor="accent1"/>
              <w:sz w:val="24"/>
              <w:szCs w:val="24"/>
            </w:rPr>
          </w:pPr>
          <w:r w:rsidRPr="004A19E0">
            <w:rPr>
              <w:rFonts w:ascii="Arial Narrow" w:hAnsi="Arial Narrow"/>
              <w:b/>
              <w:color w:val="4F81BD" w:themeColor="accent1"/>
              <w:sz w:val="24"/>
              <w:szCs w:val="24"/>
              <w:lang w:eastAsia="en-US"/>
            </w:rPr>
            <w:t xml:space="preserve">ΠΙΝΑΚΑΣ </w:t>
          </w:r>
          <w:r w:rsidR="00022BD6" w:rsidRPr="00022BD6">
            <w:rPr>
              <w:rFonts w:ascii="Arial Narrow" w:hAnsi="Arial Narrow"/>
              <w:b/>
              <w:color w:val="4F81BD" w:themeColor="accent1"/>
              <w:sz w:val="24"/>
              <w:szCs w:val="24"/>
              <w:lang w:eastAsia="en-US"/>
            </w:rPr>
            <w:t xml:space="preserve">3 </w:t>
          </w:r>
          <w:r w:rsidR="004A19E0" w:rsidRPr="004A19E0">
            <w:rPr>
              <w:rFonts w:ascii="Arial Narrow" w:hAnsi="Arial Narrow" w:cs="Times New Roman"/>
              <w:b/>
              <w:color w:val="4F81BD" w:themeColor="accent1"/>
              <w:sz w:val="24"/>
              <w:szCs w:val="24"/>
            </w:rPr>
            <w:t>ΔΙΑΡΘΡΩΣΗ ΤΟΥ ΑΕΠ ΤΩΝ ΗΑΕ</w:t>
          </w:r>
          <w:r w:rsidR="000736CB">
            <w:rPr>
              <w:rFonts w:ascii="Arial Narrow" w:hAnsi="Arial Narrow" w:cs="Times New Roman"/>
              <w:b/>
              <w:color w:val="4F81BD" w:themeColor="accent1"/>
              <w:sz w:val="24"/>
              <w:szCs w:val="24"/>
            </w:rPr>
            <w:t xml:space="preserve"> ΚΑΤΑ ΚΛΑΔΟ ΟΙΚΟΝΟΜΙΚΗΣ ΔΡΑΣΤΗΡΙΟΤΗΤΑΣ ΓΙΑ ΤΗ ΧΡΟΝΙΚΗ ΠΕΡΙΟΔΟ 2023-2025</w:t>
          </w:r>
        </w:p>
        <w:p w14:paraId="37184D24" w14:textId="77777777" w:rsidR="000736CB" w:rsidRDefault="003004D1" w:rsidP="003004D1">
          <w:pPr>
            <w:rPr>
              <w:rFonts w:ascii="Arial Narrow" w:hAnsi="Arial Narrow" w:cs="Times New Roman"/>
              <w:b/>
              <w:color w:val="4F81BD" w:themeColor="accent1"/>
              <w:sz w:val="24"/>
              <w:szCs w:val="24"/>
            </w:rPr>
          </w:pPr>
          <w:r w:rsidRPr="003004D1">
            <w:rPr>
              <w:rFonts w:ascii="Arial Narrow" w:hAnsi="Arial Narrow" w:cs="Times New Roman"/>
              <w:b/>
              <w:color w:val="4F81BD" w:themeColor="accent1"/>
              <w:sz w:val="24"/>
              <w:szCs w:val="24"/>
            </w:rPr>
            <w:t>ΠΙΝΑΚΑΣ</w:t>
          </w:r>
          <w:r w:rsidR="00022BD6" w:rsidRPr="00022BD6">
            <w:rPr>
              <w:rFonts w:ascii="Arial Narrow" w:hAnsi="Arial Narrow" w:cs="Times New Roman"/>
              <w:b/>
              <w:color w:val="4F81BD" w:themeColor="accent1"/>
              <w:sz w:val="24"/>
              <w:szCs w:val="24"/>
            </w:rPr>
            <w:t xml:space="preserve"> 4 </w:t>
          </w:r>
          <w:r w:rsidRPr="003004D1">
            <w:rPr>
              <w:rFonts w:ascii="Arial Narrow" w:hAnsi="Arial Narrow" w:cs="Times New Roman"/>
              <w:b/>
              <w:color w:val="4F81BD" w:themeColor="accent1"/>
              <w:sz w:val="24"/>
              <w:szCs w:val="24"/>
            </w:rPr>
            <w:t xml:space="preserve"> ΔΙΑΡΘΡΩΣΗ ΤΗΣ ΟΙΚΟΝΟΜΙΑΣ ΤΩΝ ΗΑΕ ΑΝΑ ΒΑΣΙΚΟ ΤΟΜΕΑ</w:t>
          </w:r>
        </w:p>
        <w:p w14:paraId="443EF902" w14:textId="77777777" w:rsidR="000736CB" w:rsidRDefault="003004D1" w:rsidP="003004D1">
          <w:pPr>
            <w:rPr>
              <w:rFonts w:ascii="Arial Narrow" w:hAnsi="Arial Narrow" w:cs="Times New Roman"/>
              <w:b/>
              <w:color w:val="4F81BD" w:themeColor="accent1"/>
              <w:sz w:val="24"/>
              <w:szCs w:val="24"/>
            </w:rPr>
          </w:pPr>
          <w:r w:rsidRPr="003004D1">
            <w:rPr>
              <w:rFonts w:ascii="Arial Narrow" w:hAnsi="Arial Narrow" w:cs="Times New Roman"/>
              <w:b/>
              <w:color w:val="4F81BD" w:themeColor="accent1"/>
              <w:sz w:val="24"/>
              <w:szCs w:val="24"/>
            </w:rPr>
            <w:t xml:space="preserve">ΠΙΝΑΚΑΣ </w:t>
          </w:r>
          <w:r w:rsidR="00022BD6" w:rsidRPr="00022BD6">
            <w:rPr>
              <w:rFonts w:ascii="Arial Narrow" w:hAnsi="Arial Narrow" w:cs="Times New Roman"/>
              <w:b/>
              <w:color w:val="4F81BD" w:themeColor="accent1"/>
              <w:sz w:val="24"/>
              <w:szCs w:val="24"/>
            </w:rPr>
            <w:t xml:space="preserve">5 </w:t>
          </w:r>
          <w:r w:rsidRPr="003004D1">
            <w:rPr>
              <w:rFonts w:ascii="Arial Narrow" w:hAnsi="Arial Narrow" w:cs="Times New Roman"/>
              <w:b/>
              <w:color w:val="4F81BD" w:themeColor="accent1"/>
              <w:sz w:val="24"/>
              <w:szCs w:val="24"/>
            </w:rPr>
            <w:t>ΟΙ ΔΕΚΑ ΜΕΓΑΛΥΤΕΡΟΙ ΚΛΑΔΟΙ ΤΗΣ ΟΙΚΟΝΟΜΙΑΣ ΤΩΝ ΗΑΕ (2025)</w:t>
          </w:r>
        </w:p>
        <w:p w14:paraId="6090CBE7" w14:textId="7777A373" w:rsidR="000736CB" w:rsidRDefault="001B7B6B"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ΠΙΝΑΚΑΣ </w:t>
          </w:r>
          <w:r w:rsidR="000736CB">
            <w:rPr>
              <w:rFonts w:ascii="Arial Narrow" w:hAnsi="Arial Narrow" w:cs="Times New Roman"/>
              <w:b/>
              <w:color w:val="4F81BD" w:themeColor="accent1"/>
              <w:sz w:val="24"/>
              <w:szCs w:val="24"/>
            </w:rPr>
            <w:t>6 ΣΥΜΒΟΛΗ ΤΟΥ ΕΝΕΡΓΕΙΑΚΟΥ ΤΟΜΕΑ ΣΤΗΝ ΟΙΚΟΝΟΜΙΑ</w:t>
          </w:r>
        </w:p>
        <w:p w14:paraId="2131734F" w14:textId="3F5786FE" w:rsidR="000736CB" w:rsidRDefault="000736CB"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ΠΙΝΑΚΑΣ 7 ΠΕΤΡΕΛΑΙΟ ΚΑΙ ΑΠΟΘΕΜΑΤΑ</w:t>
          </w:r>
        </w:p>
        <w:p w14:paraId="1BE29C9C" w14:textId="1D355FCA" w:rsidR="000736CB" w:rsidRDefault="000736CB"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ΠΙΝΑΚΑΣ 8 </w:t>
          </w:r>
          <w:r w:rsidR="007E0BCE">
            <w:rPr>
              <w:rFonts w:ascii="Arial Narrow" w:hAnsi="Arial Narrow" w:cs="Times New Roman"/>
              <w:b/>
              <w:color w:val="4F81BD" w:themeColor="accent1"/>
              <w:sz w:val="24"/>
              <w:szCs w:val="24"/>
            </w:rPr>
            <w:t>ΕΜΠΟΡΙΟ ΑΓΑΘΩΝ ΕΕ-ΗΑΕ, 2019 – 2024, ΣΕ ΔΙΣ ΕΥΡΩ</w:t>
          </w:r>
        </w:p>
        <w:p w14:paraId="23A89C4E" w14:textId="42314E64" w:rsidR="007E0BCE" w:rsidRDefault="007E0BCE"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ΠΙΝΑΚΑΣ 9 ΕΜΠΟΡΙΟ ΥΠΗΡΕΣΙΩΝ ΕΕ-ΗΑΕ, 2020 – 2023 ΣΕ ΔΙΣ ΕΥΡΩ</w:t>
          </w:r>
        </w:p>
        <w:p w14:paraId="789924AC" w14:textId="41149C89" w:rsidR="007E0BCE" w:rsidRDefault="007E0BCE"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ΠΙΝΑΚΑΣ 10 ΕΜΠΟΡΙΚΟ ΙΣΟΖΥΓΙΟ ΑΓΑΘΩΝ (ΜΗ ΠΕΤΡΕΛΑΪΚΟ) – ΗΑΕ </w:t>
          </w:r>
        </w:p>
        <w:p w14:paraId="4EC60A9C" w14:textId="0CAC0D6B" w:rsidR="007E0BCE" w:rsidRDefault="007E0BCE"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ΠΙΝΑΚΑΣ 11 ΕΤΗΣΙΑ ΜΕΤΑΒΟΛΗ 2023-2024</w:t>
          </w:r>
        </w:p>
        <w:p w14:paraId="3F8B7F50" w14:textId="3A64AE51" w:rsidR="007E0BCE" w:rsidRDefault="007E0BCE"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ΠΙΝΑΚΑΣ 12 ΣΥΝΟΛΙΚΟ ΕΞΩΤΕΡΙΚΟ ΕΜΠΟΡΙΟ ΗΑΕ (2024-ΠΛΗΡΗΣ ΕΙΚΟΝΑ) – ΔΟΜΗ ΕΞΩΤΕΡΙΚΟΥ ΕΜΠΟΡΙΟΥ 2024</w:t>
          </w:r>
        </w:p>
        <w:p w14:paraId="43802088" w14:textId="43BCA358" w:rsidR="007E0BCE" w:rsidRDefault="007E0BCE"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ΠΙΝΑΚΑΣ 13 ΣΥΝΘΕΣΗ ΜΗ ΠΕΤΡΕΛΑΪΚΩΝ ΕΞΑΓΩΓΩΝ 2024</w:t>
          </w:r>
        </w:p>
        <w:p w14:paraId="36D351BE" w14:textId="6CA348C0" w:rsidR="007E0BCE" w:rsidRDefault="007E0BCE"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ΠΙΝΑΚΑΣ 14 ΣΥΓΚΡΙΤΙΚΗ ΕΙΚΟΝΑ ΕΞΩΤΕΡΙΚΟΥ ΕΜΠΟΡΙΟΥ ΗΑΕ </w:t>
          </w:r>
        </w:p>
        <w:p w14:paraId="4F2AF18C" w14:textId="2340C7A0" w:rsidR="007E0BCE" w:rsidRDefault="007E0BCE"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ΠΙΝΑΚΑΣ 15 ΔΟΜΗ ΕΜΠΟΡΙΟΥ ΗΑΕ ΑΝΑ ΧΩΡΑ (ΕΝΔΕΙΚΤΙΚΗ ΚΑΤΑΝΟΜΗΣΗ 2023-2025)</w:t>
          </w:r>
        </w:p>
        <w:p w14:paraId="335C0273" w14:textId="216DE5B6" w:rsidR="007E0BCE" w:rsidRDefault="007E0BCE"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ΠΙΝΑΚΑΣ 16 ΣΥΝΟΛΙΚΟ ΕΞΩΤΕΡΙΚΟ ΕΜΠΟΡΙΟ ΗΝΩΜΕΝΩΝ ΑΡΑΒΙΚΩΝ ΕΜΙΡΑΤΩΝ (2023-2025)</w:t>
          </w:r>
        </w:p>
        <w:p w14:paraId="10122DD1" w14:textId="056A6D1B" w:rsidR="007E0BCE" w:rsidRDefault="007E0BCE"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ΠΙΝΑΚΑΣ 17 ΕΜΠΟΡΙΚΟ ΙΣΟΖΥΓΙΟ ΕΛΛΑΔΑΣ – ΗΑΕ – ΑΞΙΑ ΣΕ ΕΥΡΩ</w:t>
          </w:r>
        </w:p>
        <w:p w14:paraId="5EE860F9" w14:textId="19ED72FA" w:rsidR="007E0BCE" w:rsidRDefault="007E0BCE"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ΠΙΝΑΚΑΣ 18 ΠΕΝΤΕ ΚΥΡΙΟΤΕΡΕΣ ΚΑΤΗΓΟΡΙΕΣ ΕΞΑΓΩΓΩΝ ΑΠΟ ΤΗΝ ΕΛΛΑΔΑ ΠΡΟΣ ΗΑΕ</w:t>
          </w:r>
        </w:p>
        <w:p w14:paraId="45609665" w14:textId="41D373C0" w:rsidR="007E0BCE" w:rsidRDefault="009023D2"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ΠΙΝΑΚΑΣ 19 ΠΕΝΤΕ ΚΥΡΙΟΤΕΡΕΣ ΚΑΤΗΓΟΡΙΕΣ ΕΙΣΑΓΩΓΩΝ ΕΛΛΑΔΑΣ ΑΠΟ ΗΑΕ </w:t>
          </w:r>
        </w:p>
        <w:p w14:paraId="680C5222" w14:textId="54A0F52A" w:rsidR="009023D2" w:rsidRDefault="009023D2"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ΠΙΝΑΚΑΣ 20 ΑΝΑΛΥΣΗ ΑΝΑ </w:t>
          </w:r>
          <w:r>
            <w:rPr>
              <w:rFonts w:ascii="Arial Narrow" w:hAnsi="Arial Narrow" w:cs="Times New Roman"/>
              <w:b/>
              <w:color w:val="4F81BD" w:themeColor="accent1"/>
              <w:sz w:val="24"/>
              <w:szCs w:val="24"/>
              <w:lang w:val="en-US"/>
            </w:rPr>
            <w:t>HS</w:t>
          </w:r>
          <w:r w:rsidRPr="009023D2">
            <w:rPr>
              <w:rFonts w:ascii="Arial Narrow" w:hAnsi="Arial Narrow" w:cs="Times New Roman"/>
              <w:b/>
              <w:color w:val="4F81BD" w:themeColor="accent1"/>
              <w:sz w:val="24"/>
              <w:szCs w:val="24"/>
            </w:rPr>
            <w:t>/</w:t>
          </w:r>
          <w:r>
            <w:rPr>
              <w:rFonts w:ascii="Arial Narrow" w:hAnsi="Arial Narrow" w:cs="Times New Roman"/>
              <w:b/>
              <w:color w:val="4F81BD" w:themeColor="accent1"/>
              <w:sz w:val="24"/>
              <w:szCs w:val="24"/>
              <w:lang w:val="en-US"/>
            </w:rPr>
            <w:t>ISIC</w:t>
          </w:r>
          <w:r w:rsidR="00F509AA">
            <w:rPr>
              <w:rFonts w:ascii="Arial Narrow" w:hAnsi="Arial Narrow" w:cs="Times New Roman"/>
              <w:b/>
              <w:color w:val="4F81BD" w:themeColor="accent1"/>
              <w:sz w:val="24"/>
              <w:szCs w:val="24"/>
            </w:rPr>
            <w:t xml:space="preserve"> ΚΑΤΗΓΟΡΙΑ ΠΡΟΪΟΝΤΟΣ – ΑΞΙΑ ΣΕ $</w:t>
          </w:r>
        </w:p>
        <w:p w14:paraId="3DEA30BD" w14:textId="591C16AF" w:rsidR="00F509AA" w:rsidRDefault="00F509AA"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ΠΙΝΑΚΑΣ 21 ΕΞΑΓΩΓΕΣ </w:t>
          </w:r>
          <w:r w:rsidR="00E62845">
            <w:rPr>
              <w:rFonts w:ascii="Arial Narrow" w:hAnsi="Arial Narrow" w:cs="Times New Roman"/>
              <w:b/>
              <w:color w:val="4F81BD" w:themeColor="accent1"/>
              <w:sz w:val="24"/>
              <w:szCs w:val="24"/>
            </w:rPr>
            <w:t>ΗΝΩΜΕΝΩΝ ΑΡΑΒΙΚΩΝ ΕΜΙΡΑΤΩΝ ΠΡΟΣ ΕΛΛΑΔΑ – 2024</w:t>
          </w:r>
        </w:p>
        <w:p w14:paraId="259F13F6" w14:textId="1158EC02" w:rsidR="00E62845" w:rsidRDefault="00E62845"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ΠΙΝΑΚΑΣ 22 ΕΜΠΟΡΙΟ ΥΠΗΡΕΣΙΩΝ ΕΛΛΑΔΑΣ – ΗΑΕ, 2022-2024, ΑΞΙΑ ΣΕ ΕΚΑΤ. ΕΥΡΩ</w:t>
          </w:r>
        </w:p>
        <w:p w14:paraId="1B62BC34" w14:textId="45D572E8" w:rsidR="00E62845" w:rsidRDefault="00E62845"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ΠΙΝΑΚΑΣ 23 ΤΟΥΡΙΣΤΙΚΕΣ ΑΦΙΞΕΙΣ ΑΠΟ ΗΑΕ ΠΡΟΣ ΕΛΛΑΔΑ (2023-2025)\</w:t>
          </w:r>
        </w:p>
        <w:p w14:paraId="28A6153C" w14:textId="1A440383" w:rsidR="00E62845" w:rsidRDefault="00E62845"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ΠΙΝΑΚΑΣ 24 ΤΟΥΡΙΣΤΙΚΕΣ ΕΙΣΠΡΑΞΕΙΣ ΑΠΟ ΕΠΙΣΚΕΠΤΕΣ ΗΑΕ</w:t>
          </w:r>
        </w:p>
        <w:p w14:paraId="3E4766F9" w14:textId="455FA92E" w:rsidR="00E62845" w:rsidRDefault="00E62845"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ΠΙΝΑΚΑΣ 25 ΣΥΓΚΡΙΣΗ ΕΛΛΑΔΑΣ ΜΕ ΑΝΤΑΓΩΝΙΣΤΙΚΟΥΣ ΠΡΟΟΡΙΣΜΟΥΣ</w:t>
          </w:r>
        </w:p>
        <w:p w14:paraId="01EA1505" w14:textId="40E8DC93" w:rsidR="00E62845" w:rsidRDefault="00E62845"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ΠΙΝΑΚΑΣ 26 ΤΟΜΕΑΚΗ ΚΑΤΑΝΟΜΗ ΕΛΛΗΝΙΚΩΝ ΕΠΕΝΔΥΣΕΩΝ ΣΤΑ ΗΑΕ</w:t>
          </w:r>
        </w:p>
        <w:p w14:paraId="4062C7B2" w14:textId="5AFF74A0" w:rsidR="00E62845" w:rsidRDefault="00E62845"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ΠΙΝΑΚΑΣ 27 ΠΛΕΟΝΕΚΤΗΜΑΤΑ ΤΩΝ ΗΑΕ ΓΙΑ ΕΛΛΗΝΕΣ ΕΠΕΝΔΥΤΕΣ – ΕΜΠΟΔΙΑ ΚΑΙ ΠΡΟΚΛΗΣΕΙΣ </w:t>
          </w:r>
        </w:p>
        <w:p w14:paraId="152A109F" w14:textId="37BE46F9" w:rsidR="00E62845" w:rsidRDefault="00E62845"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ΠΙΝΑΚΑΣ 28 ΚΥΡΙΟΤΕΡΟΙ ΕΠΕΝΔΥΤΙΚΟΙ ΦΟΡΕΙΣ ΣΤΗΝ ΕΛΛΑΔΑ</w:t>
          </w:r>
        </w:p>
        <w:p w14:paraId="19B57D53" w14:textId="1AC7C5D4" w:rsidR="00E62845" w:rsidRDefault="00E62845"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ΠΙΝΑΚΑΣ 29 ΚΥΡΙΕΣ ΕΠΕΝΔΥΣΕΙΣ ΚΑΙ ΣΥΝΑΛΛΑΓΕΣ ΣΤΗΝ ΕΛΛΑΔΑ</w:t>
          </w:r>
        </w:p>
        <w:p w14:paraId="7CFD1E2B" w14:textId="69DD6370" w:rsidR="00E62845" w:rsidRDefault="00E62845"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ΠΙΝΑΚΑΣ 30 ΕΚΤΙΜΩΜΕΝΗ ΕΞΕΛΙΞΗ ΕΠΕΝΔΥΣΕΩΝ ΗΑΕ ΣΤΗΝ ΕΛΛΑΔΑ</w:t>
          </w:r>
        </w:p>
        <w:p w14:paraId="6D3CA1C4" w14:textId="2708B1DB" w:rsidR="00E62845" w:rsidRDefault="00E62845" w:rsidP="000D1516">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ΠΙΝΑΚΑΣ 31 ΤΟΜΕΙΣ ΕΝΔΙΑΦΕΡΟΝΤΟΣ ΤΩΝ ΕΜΙΡΑΤΙΝΩΝ ΕΠΕΝΔΥΤΩΝ ΣΤΗΝ ΕΛΛΑΔΑ 2025-2030</w:t>
          </w:r>
        </w:p>
        <w:p w14:paraId="139BDCC1" w14:textId="77777777" w:rsidR="00E62845" w:rsidRDefault="00E62845" w:rsidP="000D1516">
          <w:pPr>
            <w:rPr>
              <w:rFonts w:ascii="Arial Narrow" w:hAnsi="Arial Narrow" w:cs="Times New Roman"/>
              <w:b/>
              <w:color w:val="4F81BD" w:themeColor="accent1"/>
              <w:sz w:val="24"/>
              <w:szCs w:val="24"/>
            </w:rPr>
          </w:pPr>
        </w:p>
        <w:p w14:paraId="19D70826" w14:textId="77777777" w:rsidR="00E62845" w:rsidRPr="009023D2" w:rsidRDefault="00E62845" w:rsidP="000D1516">
          <w:pPr>
            <w:rPr>
              <w:rFonts w:ascii="Arial Narrow" w:hAnsi="Arial Narrow" w:cs="Times New Roman"/>
              <w:b/>
              <w:color w:val="4F81BD" w:themeColor="accent1"/>
              <w:sz w:val="24"/>
              <w:szCs w:val="24"/>
            </w:rPr>
          </w:pPr>
        </w:p>
        <w:p w14:paraId="5107B4F1" w14:textId="2FB5661B" w:rsidR="007E0BCE" w:rsidRDefault="007E0BCE" w:rsidP="000D1516">
          <w:pPr>
            <w:rPr>
              <w:rFonts w:ascii="Arial Narrow" w:hAnsi="Arial Narrow" w:cs="Times New Roman"/>
              <w:b/>
              <w:color w:val="4F81BD" w:themeColor="accent1"/>
              <w:sz w:val="24"/>
              <w:szCs w:val="24"/>
            </w:rPr>
          </w:pPr>
        </w:p>
        <w:p w14:paraId="5D1AEA81" w14:textId="77777777" w:rsidR="007E0BCE" w:rsidRPr="000736CB" w:rsidRDefault="007E0BCE" w:rsidP="000D1516">
          <w:pPr>
            <w:rPr>
              <w:rFonts w:ascii="Arial Narrow" w:hAnsi="Arial Narrow" w:cs="Times New Roman"/>
              <w:b/>
              <w:color w:val="4F81BD" w:themeColor="accent1"/>
              <w:sz w:val="24"/>
              <w:szCs w:val="24"/>
            </w:rPr>
          </w:pPr>
        </w:p>
        <w:p w14:paraId="1171B24D" w14:textId="77777777" w:rsidR="002C715B" w:rsidRPr="006C6003" w:rsidRDefault="002C715B" w:rsidP="000D1516">
          <w:pPr>
            <w:rPr>
              <w:rFonts w:ascii="Arial Narrow" w:hAnsi="Arial Narrow"/>
              <w:b/>
              <w:color w:val="4F81BD" w:themeColor="accent1"/>
              <w:sz w:val="24"/>
              <w:szCs w:val="24"/>
              <w:lang w:eastAsia="en-US"/>
            </w:rPr>
          </w:pPr>
        </w:p>
        <w:p w14:paraId="3A1F2F1B" w14:textId="2A2342EC" w:rsidR="000D1516" w:rsidRPr="000D1516" w:rsidRDefault="00732EC1" w:rsidP="000D1516">
          <w:pPr>
            <w:rPr>
              <w:rFonts w:ascii="Arial Narrow" w:hAnsi="Arial Narrow" w:cs="Times New Roman"/>
              <w:sz w:val="24"/>
              <w:szCs w:val="24"/>
            </w:rPr>
            <w:sectPr w:rsidR="000D1516" w:rsidRPr="000D1516" w:rsidSect="001D3079">
              <w:pgSz w:w="11906" w:h="16838"/>
              <w:pgMar w:top="1134" w:right="1274" w:bottom="1440" w:left="1800" w:header="708" w:footer="708" w:gutter="0"/>
              <w:cols w:space="708"/>
              <w:docGrid w:linePitch="360"/>
            </w:sectPr>
          </w:pPr>
          <w:r>
            <w:rPr>
              <w:rFonts w:ascii="Arial Narrow" w:hAnsi="Arial Narrow" w:cs="Times New Roman"/>
              <w:sz w:val="24"/>
              <w:szCs w:val="24"/>
            </w:rPr>
            <w:t xml:space="preserve">     </w:t>
          </w:r>
        </w:p>
      </w:sdtContent>
    </w:sdt>
    <w:p w14:paraId="3D7277C8" w14:textId="0603F8B9" w:rsidR="00F746AE" w:rsidRPr="00205BE4" w:rsidRDefault="00055E17" w:rsidP="00050B38">
      <w:pPr>
        <w:pStyle w:val="Heading1"/>
        <w:rPr>
          <w:rFonts w:ascii="Arial Narrow" w:hAnsi="Arial Narrow"/>
        </w:rPr>
      </w:pPr>
      <w:bookmarkStart w:id="0" w:name="_Toc200448514"/>
      <w:r w:rsidRPr="00205BE4">
        <w:rPr>
          <w:rFonts w:ascii="Arial Narrow" w:hAnsi="Arial Narrow"/>
        </w:rPr>
        <w:t>ΕΙΣΑΓΩΓΗ</w:t>
      </w:r>
      <w:bookmarkEnd w:id="0"/>
    </w:p>
    <w:p w14:paraId="0A43108B" w14:textId="77777777" w:rsidR="00E34D27" w:rsidRPr="007B69F7" w:rsidRDefault="00E34D27" w:rsidP="00E34D27">
      <w:pPr>
        <w:spacing w:after="0" w:line="240" w:lineRule="auto"/>
        <w:ind w:firstLine="576"/>
        <w:jc w:val="both"/>
        <w:rPr>
          <w:rFonts w:ascii="Arial Narrow" w:eastAsia="Times New Roman" w:hAnsi="Arial Narrow" w:cs="Times New Roman"/>
          <w:color w:val="202122"/>
          <w:sz w:val="24"/>
          <w:szCs w:val="24"/>
          <w:lang w:eastAsia="en-GB"/>
        </w:rPr>
      </w:pPr>
    </w:p>
    <w:p w14:paraId="6BC1977B" w14:textId="47A643B2" w:rsidR="0009046D" w:rsidRPr="007B69F7" w:rsidRDefault="0009046D" w:rsidP="00567BCF">
      <w:pPr>
        <w:spacing w:after="120"/>
        <w:ind w:firstLine="567"/>
        <w:jc w:val="both"/>
        <w:rPr>
          <w:rFonts w:ascii="Arial Narrow" w:hAnsi="Arial Narrow" w:cs="Times New Roman"/>
          <w:sz w:val="24"/>
          <w:szCs w:val="24"/>
        </w:rPr>
      </w:pPr>
      <w:r w:rsidRPr="007B69F7">
        <w:rPr>
          <w:rFonts w:ascii="Arial Narrow" w:eastAsia="Times New Roman" w:hAnsi="Arial Narrow" w:cs="Times New Roman"/>
          <w:color w:val="202122"/>
          <w:sz w:val="24"/>
          <w:szCs w:val="24"/>
          <w:lang w:eastAsia="en-GB"/>
        </w:rPr>
        <w:t>Τα </w:t>
      </w:r>
      <w:r w:rsidRPr="007B69F7">
        <w:rPr>
          <w:rFonts w:ascii="Arial Narrow" w:eastAsia="Times New Roman" w:hAnsi="Arial Narrow" w:cs="Times New Roman"/>
          <w:b/>
          <w:bCs/>
          <w:color w:val="202122"/>
          <w:sz w:val="24"/>
          <w:szCs w:val="24"/>
          <w:lang w:eastAsia="en-GB"/>
        </w:rPr>
        <w:t xml:space="preserve">Ηνωμένα Αραβικά Εμιράτα – ΗΑΕ </w:t>
      </w:r>
      <w:r w:rsidRPr="007B69F7">
        <w:rPr>
          <w:rFonts w:ascii="Arial Narrow" w:eastAsia="Times New Roman" w:hAnsi="Arial Narrow" w:cs="Times New Roman"/>
          <w:color w:val="202122"/>
          <w:sz w:val="24"/>
          <w:szCs w:val="24"/>
          <w:lang w:eastAsia="en-GB"/>
        </w:rPr>
        <w:t>βρίσ</w:t>
      </w:r>
      <w:r w:rsidR="00D77E1A" w:rsidRPr="007B69F7">
        <w:rPr>
          <w:rFonts w:ascii="Arial Narrow" w:eastAsia="Times New Roman" w:hAnsi="Arial Narrow" w:cs="Times New Roman"/>
          <w:color w:val="202122"/>
          <w:sz w:val="24"/>
          <w:szCs w:val="24"/>
          <w:lang w:eastAsia="en-GB"/>
        </w:rPr>
        <w:t>κονται</w:t>
      </w:r>
      <w:r w:rsidRPr="007B69F7">
        <w:rPr>
          <w:rFonts w:ascii="Arial Narrow" w:eastAsia="Times New Roman" w:hAnsi="Arial Narrow" w:cs="Times New Roman"/>
          <w:color w:val="202122"/>
          <w:sz w:val="24"/>
          <w:szCs w:val="24"/>
          <w:lang w:eastAsia="en-GB"/>
        </w:rPr>
        <w:t xml:space="preserve"> στο νοτιοανατολικό άκρο της Αραβικής </w:t>
      </w:r>
      <w:r w:rsidR="00A3764F" w:rsidRPr="007B69F7">
        <w:rPr>
          <w:rFonts w:ascii="Arial Narrow" w:eastAsia="Times New Roman" w:hAnsi="Arial Narrow" w:cs="Times New Roman"/>
          <w:color w:val="202122"/>
          <w:sz w:val="24"/>
          <w:szCs w:val="24"/>
          <w:lang w:eastAsia="en-GB"/>
        </w:rPr>
        <w:t>Χ</w:t>
      </w:r>
      <w:r w:rsidRPr="007B69F7">
        <w:rPr>
          <w:rFonts w:ascii="Arial Narrow" w:eastAsia="Times New Roman" w:hAnsi="Arial Narrow" w:cs="Times New Roman"/>
          <w:color w:val="202122"/>
          <w:sz w:val="24"/>
          <w:szCs w:val="24"/>
          <w:lang w:eastAsia="en-GB"/>
        </w:rPr>
        <w:t>ερσονήσου, συνορεύοντας με τη Σαουδική Αραβία στο νότο και τη δύση</w:t>
      </w:r>
      <w:r w:rsidR="0042783C" w:rsidRPr="007B69F7">
        <w:rPr>
          <w:rFonts w:ascii="Arial Narrow" w:eastAsia="Times New Roman" w:hAnsi="Arial Narrow" w:cs="Times New Roman"/>
          <w:color w:val="202122"/>
          <w:sz w:val="24"/>
          <w:szCs w:val="24"/>
          <w:lang w:eastAsia="en-GB"/>
        </w:rPr>
        <w:t xml:space="preserve"> και </w:t>
      </w:r>
      <w:r w:rsidRPr="007B69F7">
        <w:rPr>
          <w:rFonts w:ascii="Arial Narrow" w:eastAsia="Times New Roman" w:hAnsi="Arial Narrow" w:cs="Times New Roman"/>
          <w:color w:val="202122"/>
          <w:sz w:val="24"/>
          <w:szCs w:val="24"/>
          <w:lang w:eastAsia="en-GB"/>
        </w:rPr>
        <w:t xml:space="preserve">με το Ομάν στην </w:t>
      </w:r>
      <w:r w:rsidR="002A3DC2" w:rsidRPr="007B69F7">
        <w:rPr>
          <w:rFonts w:ascii="Arial Narrow" w:eastAsia="Times New Roman" w:hAnsi="Arial Narrow" w:cs="Times New Roman"/>
          <w:color w:val="202122"/>
          <w:sz w:val="24"/>
          <w:szCs w:val="24"/>
          <w:lang w:eastAsia="en-GB"/>
        </w:rPr>
        <w:t>α</w:t>
      </w:r>
      <w:r w:rsidRPr="007B69F7">
        <w:rPr>
          <w:rFonts w:ascii="Arial Narrow" w:eastAsia="Times New Roman" w:hAnsi="Arial Narrow" w:cs="Times New Roman"/>
          <w:color w:val="202122"/>
          <w:sz w:val="24"/>
          <w:szCs w:val="24"/>
          <w:lang w:eastAsia="en-GB"/>
        </w:rPr>
        <w:t>νατολή</w:t>
      </w:r>
      <w:r w:rsidR="00E21973" w:rsidRPr="007B69F7">
        <w:rPr>
          <w:rFonts w:ascii="Arial Narrow" w:eastAsia="Times New Roman" w:hAnsi="Arial Narrow" w:cs="Times New Roman"/>
          <w:color w:val="202122"/>
          <w:sz w:val="24"/>
          <w:szCs w:val="24"/>
          <w:lang w:eastAsia="en-GB"/>
        </w:rPr>
        <w:t>,</w:t>
      </w:r>
      <w:r w:rsidRPr="007B69F7">
        <w:rPr>
          <w:rFonts w:ascii="Arial Narrow" w:eastAsia="Times New Roman" w:hAnsi="Arial Narrow" w:cs="Times New Roman"/>
          <w:color w:val="202122"/>
          <w:sz w:val="24"/>
          <w:szCs w:val="24"/>
          <w:lang w:eastAsia="en-GB"/>
        </w:rPr>
        <w:t xml:space="preserve"> ενώ έχ</w:t>
      </w:r>
      <w:r w:rsidR="00055E17" w:rsidRPr="007B69F7">
        <w:rPr>
          <w:rFonts w:ascii="Arial Narrow" w:eastAsia="Times New Roman" w:hAnsi="Arial Narrow" w:cs="Times New Roman"/>
          <w:color w:val="202122"/>
          <w:sz w:val="24"/>
          <w:szCs w:val="24"/>
          <w:lang w:eastAsia="en-GB"/>
        </w:rPr>
        <w:t>ουν</w:t>
      </w:r>
      <w:r w:rsidRPr="007B69F7">
        <w:rPr>
          <w:rFonts w:ascii="Arial Narrow" w:eastAsia="Times New Roman" w:hAnsi="Arial Narrow" w:cs="Times New Roman"/>
          <w:color w:val="202122"/>
          <w:sz w:val="24"/>
          <w:szCs w:val="24"/>
          <w:lang w:eastAsia="en-GB"/>
        </w:rPr>
        <w:t xml:space="preserve"> θαλάσσια σύνορα με το Κατάρ και το Ιράν στον Περσικό Κόλπο</w:t>
      </w:r>
      <w:r w:rsidR="002A3DC2" w:rsidRPr="007B69F7">
        <w:rPr>
          <w:rFonts w:ascii="Arial Narrow" w:eastAsia="Times New Roman" w:hAnsi="Arial Narrow" w:cs="Times New Roman"/>
          <w:color w:val="202122"/>
          <w:sz w:val="24"/>
          <w:szCs w:val="24"/>
          <w:lang w:eastAsia="en-GB"/>
        </w:rPr>
        <w:t>.</w:t>
      </w:r>
    </w:p>
    <w:p w14:paraId="3A0DD54B" w14:textId="07E8EE48" w:rsidR="002A2B29" w:rsidRPr="007B69F7" w:rsidRDefault="00D77E1A" w:rsidP="00567BCF">
      <w:pPr>
        <w:spacing w:after="120"/>
        <w:ind w:firstLine="567"/>
        <w:jc w:val="both"/>
        <w:rPr>
          <w:rFonts w:ascii="Arial Narrow" w:hAnsi="Arial Narrow" w:cs="Times New Roman"/>
          <w:sz w:val="24"/>
          <w:szCs w:val="24"/>
        </w:rPr>
      </w:pPr>
      <w:r w:rsidRPr="007B69F7">
        <w:rPr>
          <w:rFonts w:ascii="Arial Narrow" w:eastAsia="Times New Roman" w:hAnsi="Arial Narrow" w:cs="Times New Roman"/>
          <w:color w:val="202122"/>
          <w:sz w:val="24"/>
          <w:szCs w:val="24"/>
          <w:lang w:eastAsia="en-GB"/>
        </w:rPr>
        <w:t xml:space="preserve">Τα ΗΑΕ </w:t>
      </w:r>
      <w:r w:rsidR="00E21973" w:rsidRPr="007B69F7">
        <w:rPr>
          <w:rFonts w:ascii="Arial Narrow" w:eastAsia="Times New Roman" w:hAnsi="Arial Narrow" w:cs="Times New Roman"/>
          <w:color w:val="202122"/>
          <w:sz w:val="24"/>
          <w:szCs w:val="24"/>
          <w:lang w:eastAsia="en-GB"/>
        </w:rPr>
        <w:t xml:space="preserve">είναι ένα </w:t>
      </w:r>
      <w:r w:rsidR="005A0A13" w:rsidRPr="007B69F7">
        <w:rPr>
          <w:rFonts w:ascii="Arial Narrow" w:eastAsia="Times New Roman" w:hAnsi="Arial Narrow" w:cs="Times New Roman"/>
          <w:b/>
          <w:color w:val="202122"/>
          <w:sz w:val="24"/>
          <w:szCs w:val="24"/>
          <w:lang w:eastAsia="en-GB"/>
        </w:rPr>
        <w:t>Ο</w:t>
      </w:r>
      <w:r w:rsidR="00E21973" w:rsidRPr="007B69F7">
        <w:rPr>
          <w:rFonts w:ascii="Arial Narrow" w:eastAsia="Times New Roman" w:hAnsi="Arial Narrow" w:cs="Times New Roman"/>
          <w:b/>
          <w:color w:val="202122"/>
          <w:sz w:val="24"/>
          <w:szCs w:val="24"/>
          <w:lang w:eastAsia="en-GB"/>
        </w:rPr>
        <w:t xml:space="preserve">μοσπονδιακό </w:t>
      </w:r>
      <w:r w:rsidR="005A0A13" w:rsidRPr="007B69F7">
        <w:rPr>
          <w:rFonts w:ascii="Arial Narrow" w:eastAsia="Times New Roman" w:hAnsi="Arial Narrow" w:cs="Times New Roman"/>
          <w:b/>
          <w:color w:val="202122"/>
          <w:sz w:val="24"/>
          <w:szCs w:val="24"/>
          <w:lang w:eastAsia="en-GB"/>
        </w:rPr>
        <w:t>Κ</w:t>
      </w:r>
      <w:r w:rsidR="00E21973" w:rsidRPr="007B69F7">
        <w:rPr>
          <w:rFonts w:ascii="Arial Narrow" w:eastAsia="Times New Roman" w:hAnsi="Arial Narrow" w:cs="Times New Roman"/>
          <w:b/>
          <w:color w:val="202122"/>
          <w:sz w:val="24"/>
          <w:szCs w:val="24"/>
          <w:lang w:eastAsia="en-GB"/>
        </w:rPr>
        <w:t xml:space="preserve">ράτος </w:t>
      </w:r>
      <w:r w:rsidRPr="007B69F7">
        <w:rPr>
          <w:rFonts w:ascii="Arial Narrow" w:eastAsia="Times New Roman" w:hAnsi="Arial Narrow" w:cs="Times New Roman"/>
          <w:b/>
          <w:color w:val="202122"/>
          <w:sz w:val="24"/>
          <w:szCs w:val="24"/>
          <w:lang w:eastAsia="en-GB"/>
        </w:rPr>
        <w:t>7 Εμιράτων</w:t>
      </w:r>
      <w:r w:rsidRPr="007B69F7">
        <w:rPr>
          <w:rFonts w:ascii="Arial Narrow" w:eastAsia="Times New Roman" w:hAnsi="Arial Narrow" w:cs="Times New Roman"/>
          <w:color w:val="202122"/>
          <w:sz w:val="24"/>
          <w:szCs w:val="24"/>
          <w:lang w:eastAsia="en-GB"/>
        </w:rPr>
        <w:t xml:space="preserve">, που ιδρύθηκε στις </w:t>
      </w:r>
      <w:r w:rsidRPr="007B69F7">
        <w:rPr>
          <w:rFonts w:ascii="Arial Narrow" w:eastAsia="Times New Roman" w:hAnsi="Arial Narrow" w:cs="Times New Roman"/>
          <w:b/>
          <w:color w:val="202122"/>
          <w:sz w:val="24"/>
          <w:szCs w:val="24"/>
          <w:lang w:eastAsia="en-GB"/>
        </w:rPr>
        <w:t>2 Δεκεμβρίου 1971</w:t>
      </w:r>
      <w:r w:rsidRPr="007B69F7">
        <w:rPr>
          <w:rFonts w:ascii="Arial Narrow" w:eastAsia="Times New Roman" w:hAnsi="Arial Narrow" w:cs="Times New Roman"/>
          <w:color w:val="202122"/>
          <w:sz w:val="24"/>
          <w:szCs w:val="24"/>
          <w:lang w:eastAsia="en-GB"/>
        </w:rPr>
        <w:t xml:space="preserve">. </w:t>
      </w:r>
      <w:r w:rsidR="00DA7EB8" w:rsidRPr="007B69F7">
        <w:rPr>
          <w:rFonts w:ascii="Arial Narrow" w:hAnsi="Arial Narrow" w:cs="Times New Roman"/>
          <w:sz w:val="24"/>
          <w:szCs w:val="24"/>
        </w:rPr>
        <w:t xml:space="preserve">Tο μεγαλύτερο σε έκταση και οικονομικά ισχυρότερο είναι το </w:t>
      </w:r>
      <w:r w:rsidR="00C1714A" w:rsidRPr="007B69F7">
        <w:rPr>
          <w:rFonts w:ascii="Arial Narrow" w:hAnsi="Arial Narrow" w:cs="Times New Roman"/>
          <w:sz w:val="24"/>
          <w:szCs w:val="24"/>
        </w:rPr>
        <w:t xml:space="preserve">Εμιράτο </w:t>
      </w:r>
      <w:r w:rsidR="00DA7EB8" w:rsidRPr="007B69F7">
        <w:rPr>
          <w:rFonts w:ascii="Arial Narrow" w:hAnsi="Arial Narrow" w:cs="Times New Roman"/>
          <w:sz w:val="24"/>
          <w:szCs w:val="24"/>
        </w:rPr>
        <w:t xml:space="preserve">Abu Dhabi, </w:t>
      </w:r>
      <w:r w:rsidR="0068715F" w:rsidRPr="007B69F7">
        <w:rPr>
          <w:rFonts w:ascii="Arial Narrow" w:hAnsi="Arial Narrow" w:cs="Times New Roman"/>
          <w:sz w:val="24"/>
          <w:szCs w:val="24"/>
        </w:rPr>
        <w:t xml:space="preserve">όπου βρίσκεται και η ομώνυμη </w:t>
      </w:r>
      <w:r w:rsidR="00DA7EB8" w:rsidRPr="007B69F7">
        <w:rPr>
          <w:rFonts w:ascii="Arial Narrow" w:hAnsi="Arial Narrow" w:cs="Times New Roman"/>
          <w:b/>
          <w:sz w:val="24"/>
          <w:szCs w:val="24"/>
        </w:rPr>
        <w:t>πρωτεύουσα</w:t>
      </w:r>
      <w:r w:rsidR="00DA7EB8" w:rsidRPr="007B69F7">
        <w:rPr>
          <w:rFonts w:ascii="Arial Narrow" w:hAnsi="Arial Narrow" w:cs="Times New Roman"/>
          <w:sz w:val="24"/>
          <w:szCs w:val="24"/>
        </w:rPr>
        <w:t xml:space="preserve"> της χώρας. </w:t>
      </w:r>
      <w:r w:rsidR="00047527" w:rsidRPr="007B69F7">
        <w:rPr>
          <w:rFonts w:ascii="Arial Narrow" w:hAnsi="Arial Narrow" w:cs="Times New Roman"/>
          <w:sz w:val="24"/>
          <w:szCs w:val="24"/>
        </w:rPr>
        <w:t>Τ</w:t>
      </w:r>
      <w:r w:rsidR="00DA7EB8" w:rsidRPr="007B69F7">
        <w:rPr>
          <w:rFonts w:ascii="Arial Narrow" w:hAnsi="Arial Narrow" w:cs="Times New Roman"/>
          <w:sz w:val="24"/>
          <w:szCs w:val="24"/>
        </w:rPr>
        <w:t xml:space="preserve">ο </w:t>
      </w:r>
      <w:r w:rsidR="00BE5F43" w:rsidRPr="007B69F7">
        <w:rPr>
          <w:rFonts w:ascii="Arial Narrow" w:hAnsi="Arial Narrow" w:cs="Times New Roman"/>
          <w:sz w:val="24"/>
          <w:szCs w:val="24"/>
        </w:rPr>
        <w:t>2</w:t>
      </w:r>
      <w:r w:rsidR="00BE5F43" w:rsidRPr="007B69F7">
        <w:rPr>
          <w:rFonts w:ascii="Arial Narrow" w:hAnsi="Arial Narrow" w:cs="Times New Roman"/>
          <w:sz w:val="24"/>
          <w:szCs w:val="24"/>
          <w:vertAlign w:val="superscript"/>
        </w:rPr>
        <w:t>ο</w:t>
      </w:r>
      <w:r w:rsidR="00BE5F43" w:rsidRPr="007B69F7">
        <w:rPr>
          <w:rFonts w:ascii="Arial Narrow" w:hAnsi="Arial Narrow" w:cs="Times New Roman"/>
          <w:sz w:val="24"/>
          <w:szCs w:val="24"/>
        </w:rPr>
        <w:t xml:space="preserve"> </w:t>
      </w:r>
      <w:r w:rsidR="00DA7EB8" w:rsidRPr="007B69F7">
        <w:rPr>
          <w:rFonts w:ascii="Arial Narrow" w:hAnsi="Arial Narrow" w:cs="Times New Roman"/>
          <w:sz w:val="24"/>
          <w:szCs w:val="24"/>
        </w:rPr>
        <w:t xml:space="preserve">σε έκταση </w:t>
      </w:r>
      <w:r w:rsidR="00A05C4C" w:rsidRPr="007B69F7">
        <w:rPr>
          <w:rFonts w:ascii="Arial Narrow" w:hAnsi="Arial Narrow" w:cs="Times New Roman"/>
          <w:sz w:val="24"/>
          <w:szCs w:val="24"/>
        </w:rPr>
        <w:t xml:space="preserve">και οικονομική δύναμη </w:t>
      </w:r>
      <w:r w:rsidR="00C1714A" w:rsidRPr="007B69F7">
        <w:rPr>
          <w:rFonts w:ascii="Arial Narrow" w:hAnsi="Arial Narrow" w:cs="Times New Roman"/>
          <w:sz w:val="24"/>
          <w:szCs w:val="24"/>
        </w:rPr>
        <w:t>Ε</w:t>
      </w:r>
      <w:r w:rsidR="00DA7EB8" w:rsidRPr="007B69F7">
        <w:rPr>
          <w:rFonts w:ascii="Arial Narrow" w:hAnsi="Arial Narrow" w:cs="Times New Roman"/>
          <w:sz w:val="24"/>
          <w:szCs w:val="24"/>
        </w:rPr>
        <w:t xml:space="preserve">μιράτο είναι το Dubai, το οποίο αποτελεί </w:t>
      </w:r>
      <w:r w:rsidR="00055E17" w:rsidRPr="007B69F7">
        <w:rPr>
          <w:rFonts w:ascii="Arial Narrow" w:hAnsi="Arial Narrow" w:cs="Times New Roman"/>
          <w:sz w:val="24"/>
          <w:szCs w:val="24"/>
        </w:rPr>
        <w:t xml:space="preserve">σημαντικό επιχειρηματικό κέντρο </w:t>
      </w:r>
      <w:r w:rsidR="00DA7EB8" w:rsidRPr="007B69F7">
        <w:rPr>
          <w:rFonts w:ascii="Arial Narrow" w:hAnsi="Arial Narrow" w:cs="Times New Roman"/>
          <w:sz w:val="24"/>
          <w:szCs w:val="24"/>
        </w:rPr>
        <w:t>στα ΗΑΕ και την ευρύτερη περιοχή της Μέσης Ανατολής</w:t>
      </w:r>
      <w:r w:rsidR="00BE5F43" w:rsidRPr="007B69F7">
        <w:rPr>
          <w:rFonts w:ascii="Arial Narrow" w:hAnsi="Arial Narrow" w:cs="Times New Roman"/>
          <w:sz w:val="24"/>
          <w:szCs w:val="24"/>
        </w:rPr>
        <w:t xml:space="preserve">. </w:t>
      </w:r>
      <w:r w:rsidR="00DA7EB8" w:rsidRPr="007B69F7">
        <w:rPr>
          <w:rFonts w:ascii="Arial Narrow" w:hAnsi="Arial Narrow" w:cs="Times New Roman"/>
          <w:sz w:val="24"/>
          <w:szCs w:val="24"/>
        </w:rPr>
        <w:t xml:space="preserve">Τα υπόλοιπα </w:t>
      </w:r>
      <w:r w:rsidR="00C1714A" w:rsidRPr="007B69F7">
        <w:rPr>
          <w:rFonts w:ascii="Arial Narrow" w:hAnsi="Arial Narrow" w:cs="Times New Roman"/>
          <w:sz w:val="24"/>
          <w:szCs w:val="24"/>
        </w:rPr>
        <w:t xml:space="preserve">5 </w:t>
      </w:r>
      <w:r w:rsidR="00DA7EB8" w:rsidRPr="007B69F7">
        <w:rPr>
          <w:rFonts w:ascii="Arial Narrow" w:hAnsi="Arial Narrow" w:cs="Times New Roman"/>
          <w:sz w:val="24"/>
          <w:szCs w:val="24"/>
        </w:rPr>
        <w:t>Εμιράτα</w:t>
      </w:r>
      <w:r w:rsidR="00A67AD5" w:rsidRPr="007B69F7">
        <w:rPr>
          <w:rFonts w:ascii="Arial Narrow" w:hAnsi="Arial Narrow" w:cs="Times New Roman"/>
          <w:sz w:val="24"/>
          <w:szCs w:val="24"/>
        </w:rPr>
        <w:t xml:space="preserve"> </w:t>
      </w:r>
      <w:r w:rsidR="00DA7EB8" w:rsidRPr="007B69F7">
        <w:rPr>
          <w:rFonts w:ascii="Arial Narrow" w:hAnsi="Arial Narrow" w:cs="Times New Roman"/>
          <w:sz w:val="24"/>
          <w:szCs w:val="24"/>
        </w:rPr>
        <w:t xml:space="preserve">είναι </w:t>
      </w:r>
      <w:r w:rsidR="00C1714A" w:rsidRPr="007B69F7">
        <w:rPr>
          <w:rFonts w:ascii="Arial Narrow" w:hAnsi="Arial Narrow" w:cs="Times New Roman"/>
          <w:sz w:val="24"/>
          <w:szCs w:val="24"/>
        </w:rPr>
        <w:t>τα ακόλουθα:</w:t>
      </w:r>
      <w:r w:rsidR="00385A06" w:rsidRPr="007B69F7">
        <w:rPr>
          <w:rFonts w:ascii="Arial Narrow" w:hAnsi="Arial Narrow" w:cs="Times New Roman"/>
          <w:sz w:val="24"/>
          <w:szCs w:val="24"/>
        </w:rPr>
        <w:t xml:space="preserve"> </w:t>
      </w:r>
      <w:r w:rsidR="00DA7EB8" w:rsidRPr="007B69F7">
        <w:rPr>
          <w:rFonts w:ascii="Arial Narrow" w:hAnsi="Arial Narrow" w:cs="Times New Roman"/>
          <w:sz w:val="24"/>
          <w:szCs w:val="24"/>
        </w:rPr>
        <w:t>Sharjah, Ras Al Khaimah,</w:t>
      </w:r>
      <w:r w:rsidR="00385A06" w:rsidRPr="007B69F7">
        <w:rPr>
          <w:rFonts w:ascii="Arial Narrow" w:hAnsi="Arial Narrow" w:cs="Times New Roman"/>
          <w:sz w:val="24"/>
          <w:szCs w:val="24"/>
        </w:rPr>
        <w:t xml:space="preserve"> </w:t>
      </w:r>
      <w:r w:rsidR="00DA7EB8" w:rsidRPr="007B69F7">
        <w:rPr>
          <w:rFonts w:ascii="Arial Narrow" w:hAnsi="Arial Narrow" w:cs="Times New Roman"/>
          <w:sz w:val="24"/>
          <w:szCs w:val="24"/>
        </w:rPr>
        <w:t>Fujairah, Ajman και</w:t>
      </w:r>
      <w:r w:rsidR="009F25B6" w:rsidRPr="007B69F7">
        <w:rPr>
          <w:rFonts w:ascii="Arial Narrow" w:hAnsi="Arial Narrow" w:cs="Times New Roman"/>
          <w:sz w:val="24"/>
          <w:szCs w:val="24"/>
        </w:rPr>
        <w:t xml:space="preserve"> </w:t>
      </w:r>
      <w:r w:rsidR="00DA7EB8" w:rsidRPr="007B69F7">
        <w:rPr>
          <w:rFonts w:ascii="Arial Narrow" w:hAnsi="Arial Narrow" w:cs="Times New Roman"/>
          <w:sz w:val="24"/>
          <w:szCs w:val="24"/>
        </w:rPr>
        <w:t>Umm Al Quwain</w:t>
      </w:r>
      <w:r w:rsidR="00385A06" w:rsidRPr="007B69F7">
        <w:rPr>
          <w:rFonts w:ascii="Arial Narrow" w:hAnsi="Arial Narrow" w:cs="Times New Roman"/>
          <w:sz w:val="24"/>
          <w:szCs w:val="24"/>
        </w:rPr>
        <w:t xml:space="preserve"> </w:t>
      </w:r>
      <w:r w:rsidR="00A05C4C" w:rsidRPr="007B69F7">
        <w:rPr>
          <w:rFonts w:ascii="Arial Narrow" w:hAnsi="Arial Narrow" w:cs="Times New Roman"/>
          <w:sz w:val="24"/>
          <w:szCs w:val="24"/>
        </w:rPr>
        <w:t>(</w:t>
      </w:r>
      <w:hyperlink w:anchor="_Στοιχεία_της_Οικονομίας" w:history="1">
        <w:r w:rsidR="00A05C4C" w:rsidRPr="007B69F7">
          <w:rPr>
            <w:rStyle w:val="Hyperlink"/>
            <w:rFonts w:ascii="Arial Narrow" w:hAnsi="Arial Narrow" w:cs="Times New Roman"/>
            <w:sz w:val="24"/>
            <w:szCs w:val="24"/>
          </w:rPr>
          <w:t>βλ.</w:t>
        </w:r>
        <w:r w:rsidR="00CE3462" w:rsidRPr="007B69F7">
          <w:rPr>
            <w:rStyle w:val="Hyperlink"/>
            <w:rFonts w:ascii="Arial Narrow" w:hAnsi="Arial Narrow" w:cs="Times New Roman"/>
            <w:sz w:val="24"/>
            <w:szCs w:val="24"/>
          </w:rPr>
          <w:t xml:space="preserve"> Ενότητα </w:t>
        </w:r>
        <w:r w:rsidR="00182010" w:rsidRPr="007B69F7">
          <w:rPr>
            <w:rStyle w:val="Hyperlink"/>
            <w:rFonts w:ascii="Arial Narrow" w:hAnsi="Arial Narrow" w:cs="Times New Roman"/>
            <w:sz w:val="24"/>
            <w:szCs w:val="24"/>
          </w:rPr>
          <w:t>2.2</w:t>
        </w:r>
        <w:r w:rsidR="00A05C4C" w:rsidRPr="007B69F7">
          <w:rPr>
            <w:rStyle w:val="Hyperlink"/>
            <w:rFonts w:ascii="Arial Narrow" w:hAnsi="Arial Narrow" w:cs="Times New Roman"/>
            <w:sz w:val="24"/>
            <w:szCs w:val="24"/>
          </w:rPr>
          <w:t>)</w:t>
        </w:r>
      </w:hyperlink>
      <w:r w:rsidR="00182010" w:rsidRPr="007B69F7">
        <w:rPr>
          <w:rFonts w:ascii="Arial Narrow" w:hAnsi="Arial Narrow" w:cs="Times New Roman"/>
          <w:sz w:val="24"/>
          <w:szCs w:val="24"/>
        </w:rPr>
        <w:t>.</w:t>
      </w:r>
    </w:p>
    <w:p w14:paraId="519E9A81" w14:textId="7142F668" w:rsidR="0068715F" w:rsidRPr="007B69F7" w:rsidRDefault="00DA7EB8" w:rsidP="00567BCF">
      <w:pPr>
        <w:spacing w:after="120"/>
        <w:ind w:firstLine="567"/>
        <w:jc w:val="both"/>
        <w:rPr>
          <w:rFonts w:ascii="Arial Narrow" w:hAnsi="Arial Narrow" w:cs="Times New Roman"/>
          <w:sz w:val="24"/>
          <w:szCs w:val="24"/>
        </w:rPr>
      </w:pPr>
      <w:r w:rsidRPr="007B69F7">
        <w:rPr>
          <w:rFonts w:ascii="Arial Narrow" w:hAnsi="Arial Narrow" w:cs="Times New Roman"/>
          <w:sz w:val="24"/>
          <w:szCs w:val="24"/>
        </w:rPr>
        <w:t xml:space="preserve">Το πολίτευμα των </w:t>
      </w:r>
      <w:r w:rsidR="009329F5" w:rsidRPr="007B69F7">
        <w:rPr>
          <w:rFonts w:ascii="Arial Narrow" w:hAnsi="Arial Narrow" w:cs="Times New Roman"/>
          <w:sz w:val="24"/>
          <w:szCs w:val="24"/>
          <w:lang w:val="en-US"/>
        </w:rPr>
        <w:t>HAE</w:t>
      </w:r>
      <w:r w:rsidRPr="007B69F7">
        <w:rPr>
          <w:rFonts w:ascii="Arial Narrow" w:hAnsi="Arial Narrow" w:cs="Times New Roman"/>
          <w:sz w:val="24"/>
          <w:szCs w:val="24"/>
        </w:rPr>
        <w:t xml:space="preserve"> είναι η</w:t>
      </w:r>
      <w:r w:rsidR="009329F5" w:rsidRPr="007B69F7">
        <w:rPr>
          <w:rFonts w:ascii="Arial Narrow" w:hAnsi="Arial Narrow" w:cs="Times New Roman"/>
          <w:sz w:val="24"/>
          <w:szCs w:val="24"/>
        </w:rPr>
        <w:t xml:space="preserve"> </w:t>
      </w:r>
      <w:r w:rsidR="009329F5" w:rsidRPr="007B69F7">
        <w:rPr>
          <w:rFonts w:ascii="Arial Narrow" w:hAnsi="Arial Narrow" w:cs="Times New Roman"/>
          <w:b/>
          <w:sz w:val="24"/>
          <w:szCs w:val="24"/>
        </w:rPr>
        <w:t xml:space="preserve">ομοσπονδιακή συνταγματική </w:t>
      </w:r>
      <w:r w:rsidRPr="007B69F7">
        <w:rPr>
          <w:rFonts w:ascii="Arial Narrow" w:hAnsi="Arial Narrow" w:cs="Times New Roman"/>
          <w:b/>
          <w:sz w:val="24"/>
          <w:szCs w:val="24"/>
        </w:rPr>
        <w:t>μοναρχία</w:t>
      </w:r>
      <w:r w:rsidR="005F198A" w:rsidRPr="007B69F7">
        <w:rPr>
          <w:rStyle w:val="FootnoteReference"/>
          <w:rFonts w:ascii="Arial Narrow" w:hAnsi="Arial Narrow" w:cs="Times New Roman"/>
          <w:sz w:val="24"/>
          <w:szCs w:val="24"/>
        </w:rPr>
        <w:footnoteReference w:id="1"/>
      </w:r>
      <w:r w:rsidR="0052363D" w:rsidRPr="007B69F7">
        <w:rPr>
          <w:rFonts w:ascii="Arial Narrow" w:hAnsi="Arial Narrow" w:cs="Times New Roman"/>
          <w:sz w:val="24"/>
          <w:szCs w:val="24"/>
        </w:rPr>
        <w:t>.</w:t>
      </w:r>
      <w:r w:rsidR="00FF27F7" w:rsidRPr="007B69F7">
        <w:rPr>
          <w:rFonts w:ascii="Arial Narrow" w:hAnsi="Arial Narrow" w:cs="Times New Roman"/>
          <w:sz w:val="24"/>
          <w:szCs w:val="24"/>
        </w:rPr>
        <w:t xml:space="preserve"> </w:t>
      </w:r>
      <w:r w:rsidRPr="007B69F7">
        <w:rPr>
          <w:rFonts w:ascii="Arial Narrow" w:hAnsi="Arial Narrow" w:cs="Times New Roman"/>
          <w:sz w:val="24"/>
          <w:szCs w:val="24"/>
        </w:rPr>
        <w:t xml:space="preserve">Ο </w:t>
      </w:r>
      <w:r w:rsidR="00134413" w:rsidRPr="007B69F7">
        <w:rPr>
          <w:rFonts w:ascii="Arial Narrow" w:hAnsi="Arial Narrow" w:cs="Times New Roman"/>
          <w:sz w:val="24"/>
          <w:szCs w:val="24"/>
          <w:lang w:val="en-US"/>
        </w:rPr>
        <w:t>H</w:t>
      </w:r>
      <w:r w:rsidRPr="007B69F7">
        <w:rPr>
          <w:rFonts w:ascii="Arial Narrow" w:hAnsi="Arial Narrow" w:cs="Times New Roman"/>
          <w:sz w:val="24"/>
          <w:szCs w:val="24"/>
        </w:rPr>
        <w:t xml:space="preserve">γεμών κάθε Εμιράτου </w:t>
      </w:r>
      <w:r w:rsidR="00E5575F" w:rsidRPr="007B69F7">
        <w:rPr>
          <w:rFonts w:ascii="Arial Narrow" w:hAnsi="Arial Narrow" w:cs="Times New Roman"/>
          <w:sz w:val="24"/>
          <w:szCs w:val="24"/>
        </w:rPr>
        <w:t xml:space="preserve">αναλαμβάνει </w:t>
      </w:r>
      <w:r w:rsidRPr="007B69F7">
        <w:rPr>
          <w:rFonts w:ascii="Arial Narrow" w:hAnsi="Arial Narrow" w:cs="Times New Roman"/>
          <w:sz w:val="24"/>
          <w:szCs w:val="24"/>
        </w:rPr>
        <w:t>την εξουσία βάσει κληρονομικού δικαιώματος.</w:t>
      </w:r>
      <w:r w:rsidR="002751DF" w:rsidRPr="007B69F7">
        <w:rPr>
          <w:rFonts w:ascii="Arial Narrow" w:hAnsi="Arial Narrow" w:cs="Times New Roman"/>
          <w:sz w:val="24"/>
          <w:szCs w:val="24"/>
        </w:rPr>
        <w:t xml:space="preserve"> Δεν υφίστανται πολιτικά κόμματα </w:t>
      </w:r>
      <w:r w:rsidR="00D94FD7" w:rsidRPr="007B69F7">
        <w:rPr>
          <w:rFonts w:ascii="Arial Narrow" w:hAnsi="Arial Narrow" w:cs="Times New Roman"/>
          <w:sz w:val="24"/>
          <w:szCs w:val="24"/>
        </w:rPr>
        <w:t>ούτε</w:t>
      </w:r>
      <w:r w:rsidR="00047527" w:rsidRPr="007B69F7">
        <w:rPr>
          <w:rFonts w:ascii="Arial Narrow" w:hAnsi="Arial Narrow" w:cs="Times New Roman"/>
          <w:sz w:val="24"/>
          <w:szCs w:val="24"/>
        </w:rPr>
        <w:t xml:space="preserve"> </w:t>
      </w:r>
      <w:r w:rsidR="002751DF" w:rsidRPr="007B69F7">
        <w:rPr>
          <w:rFonts w:ascii="Arial Narrow" w:hAnsi="Arial Narrow" w:cs="Times New Roman"/>
          <w:sz w:val="24"/>
          <w:szCs w:val="24"/>
        </w:rPr>
        <w:t>συνδικαλισμός.</w:t>
      </w:r>
    </w:p>
    <w:p w14:paraId="6E92F962" w14:textId="3FBBB6BC" w:rsidR="00D94FD7" w:rsidRPr="007B69F7" w:rsidRDefault="0068715F" w:rsidP="00567BCF">
      <w:pPr>
        <w:spacing w:after="0"/>
        <w:ind w:firstLine="567"/>
        <w:jc w:val="both"/>
        <w:rPr>
          <w:rFonts w:ascii="Arial Narrow" w:hAnsi="Arial Narrow" w:cs="Times New Roman"/>
          <w:sz w:val="24"/>
          <w:szCs w:val="24"/>
        </w:rPr>
      </w:pPr>
      <w:r w:rsidRPr="007B69F7">
        <w:rPr>
          <w:rFonts w:ascii="Arial Narrow" w:hAnsi="Arial Narrow" w:cs="Times New Roman"/>
          <w:sz w:val="24"/>
          <w:szCs w:val="24"/>
        </w:rPr>
        <w:t xml:space="preserve">Το Σύνταγμα ορίζει </w:t>
      </w:r>
      <w:r w:rsidRPr="007B69F7">
        <w:rPr>
          <w:rFonts w:ascii="Arial Narrow" w:hAnsi="Arial Narrow" w:cs="Times New Roman"/>
          <w:b/>
          <w:sz w:val="24"/>
          <w:szCs w:val="24"/>
        </w:rPr>
        <w:t xml:space="preserve">5 ομοσπονδιακές </w:t>
      </w:r>
      <w:r w:rsidR="00690216" w:rsidRPr="007B69F7">
        <w:rPr>
          <w:rFonts w:ascii="Arial Narrow" w:hAnsi="Arial Narrow" w:cs="Times New Roman"/>
          <w:b/>
          <w:sz w:val="24"/>
          <w:szCs w:val="24"/>
        </w:rPr>
        <w:t>Α</w:t>
      </w:r>
      <w:r w:rsidRPr="007B69F7">
        <w:rPr>
          <w:rFonts w:ascii="Arial Narrow" w:hAnsi="Arial Narrow" w:cs="Times New Roman"/>
          <w:b/>
          <w:sz w:val="24"/>
          <w:szCs w:val="24"/>
        </w:rPr>
        <w:t>ρχές</w:t>
      </w:r>
      <w:r w:rsidRPr="007B69F7">
        <w:rPr>
          <w:rFonts w:ascii="Arial Narrow" w:hAnsi="Arial Narrow" w:cs="Times New Roman"/>
          <w:sz w:val="24"/>
          <w:szCs w:val="24"/>
        </w:rPr>
        <w:t>, οι οποίες είναι οι ακόλουθες:</w:t>
      </w:r>
      <w:r w:rsidR="006622DB" w:rsidRPr="007B69F7">
        <w:rPr>
          <w:rFonts w:ascii="Arial Narrow" w:hAnsi="Arial Narrow" w:cs="Times New Roman"/>
          <w:sz w:val="24"/>
          <w:szCs w:val="24"/>
        </w:rPr>
        <w:t xml:space="preserve"> </w:t>
      </w:r>
    </w:p>
    <w:p w14:paraId="46EE6961" w14:textId="6F99A93E" w:rsidR="003E668E" w:rsidRPr="007B69F7" w:rsidRDefault="006622DB" w:rsidP="00567BCF">
      <w:pPr>
        <w:spacing w:after="0"/>
        <w:ind w:firstLine="567"/>
        <w:jc w:val="both"/>
        <w:rPr>
          <w:rFonts w:ascii="Arial Narrow" w:hAnsi="Arial Narrow" w:cs="Times New Roman"/>
          <w:sz w:val="24"/>
          <w:szCs w:val="24"/>
        </w:rPr>
      </w:pPr>
      <w:r w:rsidRPr="007B69F7">
        <w:rPr>
          <w:rFonts w:ascii="Arial Narrow" w:hAnsi="Arial Narrow" w:cs="Times New Roman"/>
          <w:sz w:val="24"/>
          <w:szCs w:val="24"/>
        </w:rPr>
        <w:t xml:space="preserve">1. </w:t>
      </w:r>
      <w:r w:rsidRPr="007B69F7">
        <w:rPr>
          <w:rFonts w:ascii="Arial Narrow" w:hAnsi="Arial Narrow" w:cs="Times New Roman"/>
          <w:b/>
          <w:sz w:val="24"/>
          <w:szCs w:val="24"/>
        </w:rPr>
        <w:t>Α</w:t>
      </w:r>
      <w:r w:rsidR="0042783C" w:rsidRPr="007B69F7">
        <w:rPr>
          <w:rFonts w:ascii="Arial Narrow" w:hAnsi="Arial Narrow" w:cs="Times New Roman"/>
          <w:b/>
          <w:sz w:val="24"/>
          <w:szCs w:val="24"/>
        </w:rPr>
        <w:t xml:space="preserve">νώτατο </w:t>
      </w:r>
      <w:r w:rsidRPr="007B69F7">
        <w:rPr>
          <w:rFonts w:ascii="Arial Narrow" w:hAnsi="Arial Narrow" w:cs="Times New Roman"/>
          <w:b/>
          <w:sz w:val="24"/>
          <w:szCs w:val="24"/>
        </w:rPr>
        <w:t>Συμβούλιο των Ηγεμόνων των 7 Εμιράτων</w:t>
      </w:r>
      <w:r w:rsidR="00D94FD7" w:rsidRPr="007B69F7">
        <w:rPr>
          <w:rFonts w:ascii="Arial Narrow" w:hAnsi="Arial Narrow" w:cs="Times New Roman"/>
          <w:sz w:val="24"/>
          <w:szCs w:val="24"/>
        </w:rPr>
        <w:t xml:space="preserve"> (</w:t>
      </w:r>
      <w:r w:rsidR="00D94FD7" w:rsidRPr="007B69F7">
        <w:rPr>
          <w:rFonts w:ascii="Arial Narrow" w:hAnsi="Arial Narrow" w:cs="Times New Roman"/>
          <w:sz w:val="24"/>
          <w:szCs w:val="24"/>
          <w:lang w:val="en-US"/>
        </w:rPr>
        <w:t>Federal</w:t>
      </w:r>
      <w:r w:rsidR="00D94FD7" w:rsidRPr="007B69F7">
        <w:rPr>
          <w:rFonts w:ascii="Arial Narrow" w:hAnsi="Arial Narrow" w:cs="Times New Roman"/>
          <w:sz w:val="24"/>
          <w:szCs w:val="24"/>
        </w:rPr>
        <w:t xml:space="preserve"> </w:t>
      </w:r>
      <w:r w:rsidR="00D94FD7" w:rsidRPr="007B69F7">
        <w:rPr>
          <w:rFonts w:ascii="Arial Narrow" w:hAnsi="Arial Narrow" w:cs="Times New Roman"/>
          <w:sz w:val="24"/>
          <w:szCs w:val="24"/>
          <w:lang w:val="en-US"/>
        </w:rPr>
        <w:t>Supreme</w:t>
      </w:r>
      <w:r w:rsidR="00D94FD7" w:rsidRPr="007B69F7">
        <w:rPr>
          <w:rFonts w:ascii="Arial Narrow" w:hAnsi="Arial Narrow" w:cs="Times New Roman"/>
          <w:sz w:val="24"/>
          <w:szCs w:val="24"/>
        </w:rPr>
        <w:t xml:space="preserve"> </w:t>
      </w:r>
      <w:r w:rsidR="00D94FD7" w:rsidRPr="007B69F7">
        <w:rPr>
          <w:rFonts w:ascii="Arial Narrow" w:hAnsi="Arial Narrow" w:cs="Times New Roman"/>
          <w:sz w:val="24"/>
          <w:szCs w:val="24"/>
          <w:lang w:val="en-US"/>
        </w:rPr>
        <w:t>Council</w:t>
      </w:r>
      <w:r w:rsidR="00D94FD7" w:rsidRPr="007B69F7">
        <w:rPr>
          <w:rFonts w:ascii="Arial Narrow" w:hAnsi="Arial Narrow" w:cs="Times New Roman"/>
          <w:sz w:val="24"/>
          <w:szCs w:val="24"/>
        </w:rPr>
        <w:t xml:space="preserve"> – </w:t>
      </w:r>
      <w:r w:rsidR="00D94FD7" w:rsidRPr="007B69F7">
        <w:rPr>
          <w:rFonts w:ascii="Arial Narrow" w:hAnsi="Arial Narrow" w:cs="Times New Roman"/>
          <w:sz w:val="24"/>
          <w:szCs w:val="24"/>
          <w:lang w:val="en-US"/>
        </w:rPr>
        <w:t>FSC</w:t>
      </w:r>
      <w:r w:rsidR="00D94FD7" w:rsidRPr="007B69F7">
        <w:rPr>
          <w:rFonts w:ascii="Arial Narrow" w:hAnsi="Arial Narrow" w:cs="Times New Roman"/>
          <w:sz w:val="24"/>
          <w:szCs w:val="24"/>
        </w:rPr>
        <w:t>)</w:t>
      </w:r>
    </w:p>
    <w:p w14:paraId="2E182176" w14:textId="22B2ACC5" w:rsidR="006622DB" w:rsidRPr="007B69F7" w:rsidRDefault="006622DB" w:rsidP="00567BCF">
      <w:pPr>
        <w:spacing w:after="0"/>
        <w:ind w:firstLine="567"/>
        <w:jc w:val="both"/>
        <w:rPr>
          <w:rFonts w:ascii="Arial Narrow" w:hAnsi="Arial Narrow" w:cs="Times New Roman"/>
          <w:sz w:val="24"/>
          <w:szCs w:val="24"/>
          <w:lang w:val="en-AE"/>
        </w:rPr>
      </w:pPr>
      <w:r w:rsidRPr="007B69F7">
        <w:rPr>
          <w:rFonts w:ascii="Arial Narrow" w:hAnsi="Arial Narrow" w:cs="Times New Roman"/>
          <w:sz w:val="24"/>
          <w:szCs w:val="24"/>
          <w:lang w:val="en-AE"/>
        </w:rPr>
        <w:t xml:space="preserve">2. </w:t>
      </w:r>
      <w:r w:rsidRPr="007B69F7">
        <w:rPr>
          <w:rFonts w:ascii="Arial Narrow" w:hAnsi="Arial Narrow" w:cs="Times New Roman"/>
          <w:sz w:val="24"/>
          <w:szCs w:val="24"/>
        </w:rPr>
        <w:t>Πρόεδρος</w:t>
      </w:r>
      <w:r w:rsidRPr="007B69F7">
        <w:rPr>
          <w:rFonts w:ascii="Arial Narrow" w:hAnsi="Arial Narrow" w:cs="Times New Roman"/>
          <w:sz w:val="24"/>
          <w:szCs w:val="24"/>
          <w:lang w:val="en-AE"/>
        </w:rPr>
        <w:t xml:space="preserve"> </w:t>
      </w:r>
      <w:r w:rsidR="00D43A97" w:rsidRPr="007B69F7">
        <w:rPr>
          <w:rFonts w:ascii="Arial Narrow" w:hAnsi="Arial Narrow" w:cs="Times New Roman"/>
          <w:sz w:val="24"/>
          <w:szCs w:val="24"/>
        </w:rPr>
        <w:t>και</w:t>
      </w:r>
      <w:r w:rsidR="00D43A97" w:rsidRPr="007B69F7">
        <w:rPr>
          <w:rFonts w:ascii="Arial Narrow" w:hAnsi="Arial Narrow" w:cs="Times New Roman"/>
          <w:sz w:val="24"/>
          <w:szCs w:val="24"/>
          <w:lang w:val="en-AE"/>
        </w:rPr>
        <w:t xml:space="preserve"> </w:t>
      </w:r>
      <w:r w:rsidRPr="007B69F7">
        <w:rPr>
          <w:rFonts w:ascii="Arial Narrow" w:hAnsi="Arial Narrow" w:cs="Times New Roman"/>
          <w:sz w:val="24"/>
          <w:szCs w:val="24"/>
        </w:rPr>
        <w:t>Αντιπρόεδρος</w:t>
      </w:r>
      <w:r w:rsidR="00D94FD7" w:rsidRPr="007B69F7">
        <w:rPr>
          <w:rFonts w:ascii="Arial Narrow" w:hAnsi="Arial Narrow" w:cs="Times New Roman"/>
          <w:sz w:val="24"/>
          <w:szCs w:val="24"/>
          <w:lang w:val="en-AE"/>
        </w:rPr>
        <w:t xml:space="preserve"> (</w:t>
      </w:r>
      <w:r w:rsidR="00D94FD7" w:rsidRPr="007B69F7">
        <w:rPr>
          <w:rFonts w:ascii="Arial Narrow" w:hAnsi="Arial Narrow" w:cs="Times New Roman"/>
          <w:sz w:val="24"/>
          <w:szCs w:val="24"/>
          <w:lang w:val="en-US"/>
        </w:rPr>
        <w:t>President</w:t>
      </w:r>
      <w:r w:rsidR="00D94FD7" w:rsidRPr="007B69F7">
        <w:rPr>
          <w:rFonts w:ascii="Arial Narrow" w:hAnsi="Arial Narrow" w:cs="Times New Roman"/>
          <w:sz w:val="24"/>
          <w:szCs w:val="24"/>
          <w:lang w:val="en-AE"/>
        </w:rPr>
        <w:t xml:space="preserve"> </w:t>
      </w:r>
      <w:r w:rsidR="00D94FD7" w:rsidRPr="007B69F7">
        <w:rPr>
          <w:rFonts w:ascii="Arial Narrow" w:hAnsi="Arial Narrow" w:cs="Times New Roman"/>
          <w:sz w:val="24"/>
          <w:szCs w:val="24"/>
          <w:lang w:val="en-US"/>
        </w:rPr>
        <w:t>and</w:t>
      </w:r>
      <w:r w:rsidR="00D94FD7" w:rsidRPr="007B69F7">
        <w:rPr>
          <w:rFonts w:ascii="Arial Narrow" w:hAnsi="Arial Narrow" w:cs="Times New Roman"/>
          <w:sz w:val="24"/>
          <w:szCs w:val="24"/>
          <w:lang w:val="en-AE"/>
        </w:rPr>
        <w:t xml:space="preserve"> </w:t>
      </w:r>
      <w:r w:rsidR="00D94FD7" w:rsidRPr="007B69F7">
        <w:rPr>
          <w:rFonts w:ascii="Arial Narrow" w:hAnsi="Arial Narrow" w:cs="Times New Roman"/>
          <w:sz w:val="24"/>
          <w:szCs w:val="24"/>
          <w:lang w:val="en-US"/>
        </w:rPr>
        <w:t>Vice</w:t>
      </w:r>
      <w:r w:rsidR="00D94FD7" w:rsidRPr="007B69F7">
        <w:rPr>
          <w:rFonts w:ascii="Arial Narrow" w:hAnsi="Arial Narrow" w:cs="Times New Roman"/>
          <w:sz w:val="24"/>
          <w:szCs w:val="24"/>
          <w:lang w:val="en-AE"/>
        </w:rPr>
        <w:t>-</w:t>
      </w:r>
      <w:r w:rsidR="00D94FD7" w:rsidRPr="007B69F7">
        <w:rPr>
          <w:rFonts w:ascii="Arial Narrow" w:hAnsi="Arial Narrow" w:cs="Times New Roman"/>
          <w:sz w:val="24"/>
          <w:szCs w:val="24"/>
          <w:lang w:val="en-US"/>
        </w:rPr>
        <w:t>President</w:t>
      </w:r>
      <w:r w:rsidR="00D94FD7" w:rsidRPr="007B69F7">
        <w:rPr>
          <w:rFonts w:ascii="Arial Narrow" w:hAnsi="Arial Narrow" w:cs="Times New Roman"/>
          <w:sz w:val="24"/>
          <w:szCs w:val="24"/>
          <w:lang w:val="en-AE"/>
        </w:rPr>
        <w:t>)</w:t>
      </w:r>
    </w:p>
    <w:p w14:paraId="6CA75069" w14:textId="1D7D3C77" w:rsidR="006622DB" w:rsidRPr="007B69F7" w:rsidRDefault="006622DB" w:rsidP="00567BCF">
      <w:pPr>
        <w:spacing w:after="0"/>
        <w:ind w:firstLine="567"/>
        <w:jc w:val="both"/>
        <w:rPr>
          <w:rFonts w:ascii="Arial Narrow" w:hAnsi="Arial Narrow" w:cs="Times New Roman"/>
          <w:sz w:val="24"/>
          <w:szCs w:val="24"/>
        </w:rPr>
      </w:pPr>
      <w:r w:rsidRPr="007B69F7">
        <w:rPr>
          <w:rFonts w:ascii="Arial Narrow" w:hAnsi="Arial Narrow" w:cs="Times New Roman"/>
          <w:sz w:val="24"/>
          <w:szCs w:val="24"/>
        </w:rPr>
        <w:t>3. Υπουργικό Συμβούλιο</w:t>
      </w:r>
      <w:r w:rsidR="00D94FD7" w:rsidRPr="007B69F7">
        <w:rPr>
          <w:rFonts w:ascii="Arial Narrow" w:hAnsi="Arial Narrow" w:cs="Times New Roman"/>
          <w:sz w:val="24"/>
          <w:szCs w:val="24"/>
        </w:rPr>
        <w:t xml:space="preserve"> (</w:t>
      </w:r>
      <w:r w:rsidR="00D94FD7" w:rsidRPr="007B69F7">
        <w:rPr>
          <w:rFonts w:ascii="Arial Narrow" w:hAnsi="Arial Narrow" w:cs="Times New Roman"/>
          <w:sz w:val="24"/>
          <w:szCs w:val="24"/>
          <w:lang w:val="en-US"/>
        </w:rPr>
        <w:t>Cabinet</w:t>
      </w:r>
      <w:r w:rsidR="00D94FD7" w:rsidRPr="007B69F7">
        <w:rPr>
          <w:rFonts w:ascii="Arial Narrow" w:hAnsi="Arial Narrow" w:cs="Times New Roman"/>
          <w:sz w:val="24"/>
          <w:szCs w:val="24"/>
        </w:rPr>
        <w:t>)</w:t>
      </w:r>
    </w:p>
    <w:p w14:paraId="73C763F0" w14:textId="059751A5" w:rsidR="006622DB" w:rsidRPr="007B69F7" w:rsidRDefault="006622DB" w:rsidP="00567BCF">
      <w:pPr>
        <w:spacing w:after="0"/>
        <w:ind w:firstLine="567"/>
        <w:jc w:val="both"/>
        <w:rPr>
          <w:rFonts w:ascii="Arial Narrow" w:hAnsi="Arial Narrow" w:cs="Times New Roman"/>
          <w:sz w:val="24"/>
          <w:szCs w:val="24"/>
        </w:rPr>
      </w:pPr>
      <w:r w:rsidRPr="007B69F7">
        <w:rPr>
          <w:rFonts w:ascii="Arial Narrow" w:hAnsi="Arial Narrow" w:cs="Times New Roman"/>
          <w:sz w:val="24"/>
          <w:szCs w:val="24"/>
        </w:rPr>
        <w:t>4. Ομοσπονδιακό Εθνικό Συμβούλιο</w:t>
      </w:r>
      <w:r w:rsidR="00D94FD7" w:rsidRPr="007B69F7">
        <w:rPr>
          <w:rFonts w:ascii="Arial Narrow" w:hAnsi="Arial Narrow" w:cs="Times New Roman"/>
          <w:sz w:val="24"/>
          <w:szCs w:val="24"/>
        </w:rPr>
        <w:t xml:space="preserve"> (</w:t>
      </w:r>
      <w:r w:rsidR="00D94FD7" w:rsidRPr="007B69F7">
        <w:rPr>
          <w:rFonts w:ascii="Arial Narrow" w:hAnsi="Arial Narrow" w:cs="Times New Roman"/>
          <w:sz w:val="24"/>
          <w:szCs w:val="24"/>
          <w:lang w:val="en-US"/>
        </w:rPr>
        <w:t>Federal</w:t>
      </w:r>
      <w:r w:rsidR="00D94FD7" w:rsidRPr="007B69F7">
        <w:rPr>
          <w:rFonts w:ascii="Arial Narrow" w:hAnsi="Arial Narrow" w:cs="Times New Roman"/>
          <w:sz w:val="24"/>
          <w:szCs w:val="24"/>
        </w:rPr>
        <w:t xml:space="preserve"> </w:t>
      </w:r>
      <w:r w:rsidR="00D94FD7" w:rsidRPr="007B69F7">
        <w:rPr>
          <w:rFonts w:ascii="Arial Narrow" w:hAnsi="Arial Narrow" w:cs="Times New Roman"/>
          <w:sz w:val="24"/>
          <w:szCs w:val="24"/>
          <w:lang w:val="en-US"/>
        </w:rPr>
        <w:t>National</w:t>
      </w:r>
      <w:r w:rsidR="00D94FD7" w:rsidRPr="007B69F7">
        <w:rPr>
          <w:rFonts w:ascii="Arial Narrow" w:hAnsi="Arial Narrow" w:cs="Times New Roman"/>
          <w:sz w:val="24"/>
          <w:szCs w:val="24"/>
        </w:rPr>
        <w:t xml:space="preserve"> </w:t>
      </w:r>
      <w:r w:rsidR="00D94FD7" w:rsidRPr="007B69F7">
        <w:rPr>
          <w:rFonts w:ascii="Arial Narrow" w:hAnsi="Arial Narrow" w:cs="Times New Roman"/>
          <w:sz w:val="24"/>
          <w:szCs w:val="24"/>
          <w:lang w:val="en-US"/>
        </w:rPr>
        <w:t>Council</w:t>
      </w:r>
      <w:r w:rsidR="00D94FD7" w:rsidRPr="007B69F7">
        <w:rPr>
          <w:rFonts w:ascii="Arial Narrow" w:hAnsi="Arial Narrow" w:cs="Times New Roman"/>
          <w:sz w:val="24"/>
          <w:szCs w:val="24"/>
        </w:rPr>
        <w:t>)</w:t>
      </w:r>
    </w:p>
    <w:p w14:paraId="74ADF73F" w14:textId="64F5F978" w:rsidR="00D94FD7" w:rsidRPr="007B69F7" w:rsidRDefault="006622DB" w:rsidP="00567BCF">
      <w:pPr>
        <w:spacing w:after="120"/>
        <w:ind w:firstLine="567"/>
        <w:jc w:val="both"/>
        <w:rPr>
          <w:rFonts w:ascii="Arial Narrow" w:hAnsi="Arial Narrow" w:cs="Times New Roman"/>
          <w:sz w:val="24"/>
          <w:szCs w:val="24"/>
        </w:rPr>
      </w:pPr>
      <w:r w:rsidRPr="007B69F7">
        <w:rPr>
          <w:rFonts w:ascii="Arial Narrow" w:hAnsi="Arial Narrow" w:cs="Times New Roman"/>
          <w:sz w:val="24"/>
          <w:szCs w:val="24"/>
        </w:rPr>
        <w:t xml:space="preserve">5. </w:t>
      </w:r>
      <w:r w:rsidR="00EA3242" w:rsidRPr="007B69F7">
        <w:rPr>
          <w:rFonts w:ascii="Arial Narrow" w:hAnsi="Arial Narrow" w:cs="Times New Roman"/>
          <w:sz w:val="24"/>
          <w:szCs w:val="24"/>
        </w:rPr>
        <w:t>Ομοσπονδιακό Δικαστικό Σώμα</w:t>
      </w:r>
      <w:r w:rsidR="00D94FD7" w:rsidRPr="007B69F7">
        <w:rPr>
          <w:rFonts w:ascii="Arial Narrow" w:hAnsi="Arial Narrow" w:cs="Times New Roman"/>
          <w:sz w:val="24"/>
          <w:szCs w:val="24"/>
        </w:rPr>
        <w:t xml:space="preserve"> (</w:t>
      </w:r>
      <w:r w:rsidR="00D94FD7" w:rsidRPr="007B69F7">
        <w:rPr>
          <w:rFonts w:ascii="Arial Narrow" w:hAnsi="Arial Narrow" w:cs="Times New Roman"/>
          <w:sz w:val="24"/>
          <w:szCs w:val="24"/>
          <w:lang w:val="en-US"/>
        </w:rPr>
        <w:t>Federal</w:t>
      </w:r>
      <w:r w:rsidR="00D94FD7" w:rsidRPr="007B69F7">
        <w:rPr>
          <w:rFonts w:ascii="Arial Narrow" w:hAnsi="Arial Narrow" w:cs="Times New Roman"/>
          <w:sz w:val="24"/>
          <w:szCs w:val="24"/>
        </w:rPr>
        <w:t xml:space="preserve"> </w:t>
      </w:r>
      <w:r w:rsidR="00D94FD7" w:rsidRPr="007B69F7">
        <w:rPr>
          <w:rFonts w:ascii="Arial Narrow" w:hAnsi="Arial Narrow" w:cs="Times New Roman"/>
          <w:sz w:val="24"/>
          <w:szCs w:val="24"/>
          <w:lang w:val="en-US"/>
        </w:rPr>
        <w:t>Judiciary</w:t>
      </w:r>
      <w:r w:rsidR="00D94FD7" w:rsidRPr="007B69F7">
        <w:rPr>
          <w:rFonts w:ascii="Arial Narrow" w:hAnsi="Arial Narrow" w:cs="Times New Roman"/>
          <w:sz w:val="24"/>
          <w:szCs w:val="24"/>
        </w:rPr>
        <w:t>)</w:t>
      </w:r>
      <w:r w:rsidR="00F21E87" w:rsidRPr="007B69F7">
        <w:rPr>
          <w:rFonts w:ascii="Arial Narrow" w:hAnsi="Arial Narrow" w:cs="Times New Roman"/>
          <w:sz w:val="24"/>
          <w:szCs w:val="24"/>
        </w:rPr>
        <w:t>.</w:t>
      </w:r>
    </w:p>
    <w:p w14:paraId="3FBC63EE" w14:textId="5EEE04F8" w:rsidR="00DA7EB8" w:rsidRPr="007B69F7" w:rsidRDefault="00803D5B" w:rsidP="00567BCF">
      <w:pPr>
        <w:ind w:firstLine="567"/>
        <w:jc w:val="both"/>
        <w:rPr>
          <w:rFonts w:ascii="Arial Narrow" w:hAnsi="Arial Narrow" w:cs="Times New Roman"/>
          <w:sz w:val="24"/>
          <w:szCs w:val="24"/>
        </w:rPr>
      </w:pPr>
      <w:r w:rsidRPr="007B69F7">
        <w:rPr>
          <w:rStyle w:val="Hyperlink"/>
          <w:rFonts w:ascii="Arial Narrow" w:hAnsi="Arial Narrow" w:cs="Times New Roman"/>
          <w:color w:val="auto"/>
          <w:sz w:val="24"/>
          <w:szCs w:val="24"/>
          <w:u w:val="none"/>
        </w:rPr>
        <w:t>Το</w:t>
      </w:r>
      <w:r w:rsidRPr="007B69F7">
        <w:rPr>
          <w:rFonts w:ascii="Arial Narrow" w:hAnsi="Arial Narrow" w:cs="Times New Roman"/>
          <w:sz w:val="24"/>
          <w:szCs w:val="24"/>
        </w:rPr>
        <w:t xml:space="preserve"> </w:t>
      </w:r>
      <w:r w:rsidRPr="007B69F7">
        <w:rPr>
          <w:rFonts w:ascii="Arial Narrow" w:hAnsi="Arial Narrow" w:cs="Times New Roman"/>
          <w:sz w:val="24"/>
          <w:szCs w:val="24"/>
          <w:lang w:val="en-US"/>
        </w:rPr>
        <w:t>FSC</w:t>
      </w:r>
      <w:r w:rsidRPr="007B69F7">
        <w:rPr>
          <w:rFonts w:ascii="Arial Narrow" w:hAnsi="Arial Narrow" w:cs="Times New Roman"/>
          <w:sz w:val="24"/>
          <w:szCs w:val="24"/>
        </w:rPr>
        <w:t xml:space="preserve"> </w:t>
      </w:r>
      <w:r w:rsidR="008F4F7E" w:rsidRPr="007B69F7">
        <w:rPr>
          <w:rFonts w:ascii="Arial Narrow" w:hAnsi="Arial Narrow" w:cs="Times New Roman"/>
          <w:sz w:val="24"/>
          <w:szCs w:val="24"/>
        </w:rPr>
        <w:t>α</w:t>
      </w:r>
      <w:r w:rsidR="00D94FD7" w:rsidRPr="007B69F7">
        <w:rPr>
          <w:rFonts w:ascii="Arial Narrow" w:hAnsi="Arial Narrow" w:cs="Times New Roman"/>
          <w:sz w:val="24"/>
          <w:szCs w:val="24"/>
        </w:rPr>
        <w:t xml:space="preserve">ποτελεί την </w:t>
      </w:r>
      <w:r w:rsidR="00DA7EB8" w:rsidRPr="007B69F7">
        <w:rPr>
          <w:rFonts w:ascii="Arial Narrow" w:hAnsi="Arial Narrow" w:cs="Times New Roman"/>
          <w:b/>
          <w:sz w:val="24"/>
          <w:szCs w:val="24"/>
        </w:rPr>
        <w:t>ανώτατη</w:t>
      </w:r>
      <w:r w:rsidR="00DA7EB8" w:rsidRPr="007B69F7">
        <w:rPr>
          <w:rFonts w:ascii="Arial Narrow" w:hAnsi="Arial Narrow" w:cs="Times New Roman"/>
          <w:sz w:val="24"/>
          <w:szCs w:val="24"/>
        </w:rPr>
        <w:t xml:space="preserve"> </w:t>
      </w:r>
      <w:r w:rsidR="00FF27F7" w:rsidRPr="007B69F7">
        <w:rPr>
          <w:rFonts w:ascii="Arial Narrow" w:hAnsi="Arial Narrow" w:cs="Times New Roman"/>
          <w:sz w:val="24"/>
          <w:szCs w:val="24"/>
        </w:rPr>
        <w:t>Ο</w:t>
      </w:r>
      <w:r w:rsidR="00DA7EB8" w:rsidRPr="007B69F7">
        <w:rPr>
          <w:rFonts w:ascii="Arial Narrow" w:hAnsi="Arial Narrow" w:cs="Times New Roman"/>
          <w:sz w:val="24"/>
          <w:szCs w:val="24"/>
        </w:rPr>
        <w:t xml:space="preserve">μοσπονδιακή </w:t>
      </w:r>
      <w:r w:rsidR="0052363D" w:rsidRPr="007B69F7">
        <w:rPr>
          <w:rFonts w:ascii="Arial Narrow" w:hAnsi="Arial Narrow" w:cs="Times New Roman"/>
          <w:sz w:val="24"/>
          <w:szCs w:val="24"/>
        </w:rPr>
        <w:t>Α</w:t>
      </w:r>
      <w:r w:rsidR="00DA7EB8" w:rsidRPr="007B69F7">
        <w:rPr>
          <w:rFonts w:ascii="Arial Narrow" w:hAnsi="Arial Narrow" w:cs="Times New Roman"/>
          <w:sz w:val="24"/>
          <w:szCs w:val="24"/>
        </w:rPr>
        <w:t>ρχή της χώρας</w:t>
      </w:r>
      <w:r w:rsidR="0052363D" w:rsidRPr="007B69F7">
        <w:rPr>
          <w:rFonts w:ascii="Arial Narrow" w:hAnsi="Arial Narrow" w:cs="Times New Roman"/>
          <w:sz w:val="24"/>
          <w:szCs w:val="24"/>
        </w:rPr>
        <w:t xml:space="preserve">, </w:t>
      </w:r>
      <w:r w:rsidR="001A1595" w:rsidRPr="007B69F7">
        <w:rPr>
          <w:rFonts w:ascii="Arial Narrow" w:hAnsi="Arial Narrow" w:cs="Times New Roman"/>
          <w:sz w:val="24"/>
          <w:szCs w:val="24"/>
        </w:rPr>
        <w:t xml:space="preserve">με </w:t>
      </w:r>
      <w:r w:rsidR="0016646D" w:rsidRPr="007B69F7">
        <w:rPr>
          <w:rFonts w:ascii="Arial Narrow" w:hAnsi="Arial Narrow" w:cs="Times New Roman"/>
          <w:sz w:val="24"/>
          <w:szCs w:val="24"/>
        </w:rPr>
        <w:t xml:space="preserve">αρμοδιότητες μεταξύ άλλων την έγκριση του </w:t>
      </w:r>
      <w:r w:rsidR="00F21E87" w:rsidRPr="007B69F7">
        <w:rPr>
          <w:rFonts w:ascii="Arial Narrow" w:hAnsi="Arial Narrow" w:cs="Times New Roman"/>
          <w:sz w:val="24"/>
          <w:szCs w:val="24"/>
        </w:rPr>
        <w:t>κρατικού π</w:t>
      </w:r>
      <w:r w:rsidR="0016646D" w:rsidRPr="007B69F7">
        <w:rPr>
          <w:rFonts w:ascii="Arial Narrow" w:hAnsi="Arial Narrow" w:cs="Times New Roman"/>
          <w:sz w:val="24"/>
          <w:szCs w:val="24"/>
        </w:rPr>
        <w:t>ρο</w:t>
      </w:r>
      <w:r w:rsidR="00EA7B82" w:rsidRPr="007B69F7">
        <w:rPr>
          <w:rFonts w:ascii="Arial Narrow" w:hAnsi="Arial Narrow" w:cs="Times New Roman"/>
          <w:sz w:val="24"/>
          <w:szCs w:val="24"/>
        </w:rPr>
        <w:t>ϋ</w:t>
      </w:r>
      <w:r w:rsidR="0016646D" w:rsidRPr="007B69F7">
        <w:rPr>
          <w:rFonts w:ascii="Arial Narrow" w:hAnsi="Arial Narrow" w:cs="Times New Roman"/>
          <w:sz w:val="24"/>
          <w:szCs w:val="24"/>
        </w:rPr>
        <w:t xml:space="preserve">πολογισμού και την κύρωση των </w:t>
      </w:r>
      <w:r w:rsidR="00F21E87" w:rsidRPr="007B69F7">
        <w:rPr>
          <w:rFonts w:ascii="Arial Narrow" w:hAnsi="Arial Narrow" w:cs="Times New Roman"/>
          <w:sz w:val="24"/>
          <w:szCs w:val="24"/>
        </w:rPr>
        <w:t>δ</w:t>
      </w:r>
      <w:r w:rsidR="0016646D" w:rsidRPr="007B69F7">
        <w:rPr>
          <w:rFonts w:ascii="Arial Narrow" w:hAnsi="Arial Narrow" w:cs="Times New Roman"/>
          <w:sz w:val="24"/>
          <w:szCs w:val="24"/>
        </w:rPr>
        <w:t xml:space="preserve">ιεθνών </w:t>
      </w:r>
      <w:r w:rsidR="00F21E87" w:rsidRPr="007B69F7">
        <w:rPr>
          <w:rFonts w:ascii="Arial Narrow" w:hAnsi="Arial Narrow" w:cs="Times New Roman"/>
          <w:sz w:val="24"/>
          <w:szCs w:val="24"/>
        </w:rPr>
        <w:t>σ</w:t>
      </w:r>
      <w:r w:rsidR="0016646D" w:rsidRPr="007B69F7">
        <w:rPr>
          <w:rFonts w:ascii="Arial Narrow" w:hAnsi="Arial Narrow" w:cs="Times New Roman"/>
          <w:sz w:val="24"/>
          <w:szCs w:val="24"/>
        </w:rPr>
        <w:t>υμφ</w:t>
      </w:r>
      <w:r w:rsidR="00F21E87" w:rsidRPr="007B69F7">
        <w:rPr>
          <w:rFonts w:ascii="Arial Narrow" w:hAnsi="Arial Narrow" w:cs="Times New Roman"/>
          <w:sz w:val="24"/>
          <w:szCs w:val="24"/>
        </w:rPr>
        <w:t>ω</w:t>
      </w:r>
      <w:r w:rsidR="0016646D" w:rsidRPr="007B69F7">
        <w:rPr>
          <w:rFonts w:ascii="Arial Narrow" w:hAnsi="Arial Narrow" w:cs="Times New Roman"/>
          <w:sz w:val="24"/>
          <w:szCs w:val="24"/>
        </w:rPr>
        <w:t>νιών.</w:t>
      </w:r>
      <w:r w:rsidR="00DA7EB8" w:rsidRPr="007B69F7">
        <w:rPr>
          <w:rFonts w:ascii="Arial Narrow" w:hAnsi="Arial Narrow" w:cs="Times New Roman"/>
          <w:sz w:val="24"/>
          <w:szCs w:val="24"/>
        </w:rPr>
        <w:t xml:space="preserve"> </w:t>
      </w:r>
      <w:r w:rsidR="003E668E" w:rsidRPr="007B69F7">
        <w:rPr>
          <w:rFonts w:ascii="Arial Narrow" w:hAnsi="Arial Narrow" w:cs="Times New Roman"/>
          <w:sz w:val="24"/>
          <w:szCs w:val="24"/>
        </w:rPr>
        <w:t xml:space="preserve">Για τη λήψη αποφάσεων του </w:t>
      </w:r>
      <w:r w:rsidR="003E668E" w:rsidRPr="007B69F7">
        <w:rPr>
          <w:rFonts w:ascii="Arial Narrow" w:hAnsi="Arial Narrow" w:cs="Times New Roman"/>
          <w:sz w:val="24"/>
          <w:szCs w:val="24"/>
          <w:lang w:val="en-US"/>
        </w:rPr>
        <w:t>FSC</w:t>
      </w:r>
      <w:r w:rsidR="003E668E" w:rsidRPr="007B69F7">
        <w:rPr>
          <w:rFonts w:ascii="Arial Narrow" w:hAnsi="Arial Narrow" w:cs="Times New Roman"/>
          <w:sz w:val="24"/>
          <w:szCs w:val="24"/>
        </w:rPr>
        <w:t xml:space="preserve"> </w:t>
      </w:r>
      <w:r w:rsidR="00DA7EB8" w:rsidRPr="007B69F7">
        <w:rPr>
          <w:rFonts w:ascii="Arial Narrow" w:hAnsi="Arial Narrow" w:cs="Times New Roman"/>
          <w:sz w:val="24"/>
          <w:szCs w:val="24"/>
        </w:rPr>
        <w:t xml:space="preserve">απαιτείται η σύμφωνη γνώμη </w:t>
      </w:r>
      <w:r w:rsidR="003E668E" w:rsidRPr="007B69F7">
        <w:rPr>
          <w:rFonts w:ascii="Arial Narrow" w:hAnsi="Arial Narrow" w:cs="Times New Roman"/>
          <w:sz w:val="24"/>
          <w:szCs w:val="24"/>
        </w:rPr>
        <w:t>5</w:t>
      </w:r>
      <w:r w:rsidR="00DA7EB8" w:rsidRPr="007B69F7">
        <w:rPr>
          <w:rFonts w:ascii="Arial Narrow" w:hAnsi="Arial Narrow" w:cs="Times New Roman"/>
          <w:sz w:val="24"/>
          <w:szCs w:val="24"/>
        </w:rPr>
        <w:t xml:space="preserve"> τουλάχιστον μελών </w:t>
      </w:r>
      <w:r w:rsidR="003E668E" w:rsidRPr="007B69F7">
        <w:rPr>
          <w:rFonts w:ascii="Arial Narrow" w:hAnsi="Arial Narrow" w:cs="Times New Roman"/>
          <w:sz w:val="24"/>
          <w:szCs w:val="24"/>
        </w:rPr>
        <w:t xml:space="preserve">του, </w:t>
      </w:r>
      <w:r w:rsidR="00DA7EB8" w:rsidRPr="007B69F7">
        <w:rPr>
          <w:rFonts w:ascii="Arial Narrow" w:hAnsi="Arial Narrow" w:cs="Times New Roman"/>
          <w:sz w:val="24"/>
          <w:szCs w:val="24"/>
        </w:rPr>
        <w:t xml:space="preserve">συμπεριλαμβανομένων </w:t>
      </w:r>
      <w:r w:rsidR="003E668E" w:rsidRPr="007B69F7">
        <w:rPr>
          <w:rFonts w:ascii="Arial Narrow" w:hAnsi="Arial Narrow" w:cs="Times New Roman"/>
          <w:sz w:val="24"/>
          <w:szCs w:val="24"/>
        </w:rPr>
        <w:t xml:space="preserve">των Ηγεμόνων </w:t>
      </w:r>
      <w:r w:rsidR="00F77444" w:rsidRPr="007B69F7">
        <w:rPr>
          <w:rFonts w:ascii="Arial Narrow" w:hAnsi="Arial Narrow" w:cs="Times New Roman"/>
          <w:sz w:val="24"/>
          <w:szCs w:val="24"/>
        </w:rPr>
        <w:t xml:space="preserve">του Abu Dhabi και </w:t>
      </w:r>
      <w:r w:rsidR="00DA7EB8" w:rsidRPr="007B69F7">
        <w:rPr>
          <w:rFonts w:ascii="Arial Narrow" w:hAnsi="Arial Narrow" w:cs="Times New Roman"/>
          <w:sz w:val="24"/>
          <w:szCs w:val="24"/>
        </w:rPr>
        <w:t>του Dubai</w:t>
      </w:r>
      <w:r w:rsidR="00F77444" w:rsidRPr="007B69F7">
        <w:rPr>
          <w:rFonts w:ascii="Arial Narrow" w:hAnsi="Arial Narrow" w:cs="Times New Roman"/>
          <w:sz w:val="24"/>
          <w:szCs w:val="24"/>
        </w:rPr>
        <w:t xml:space="preserve">. </w:t>
      </w:r>
      <w:r w:rsidR="003E668E" w:rsidRPr="007B69F7">
        <w:rPr>
          <w:rFonts w:ascii="Arial Narrow" w:hAnsi="Arial Narrow" w:cs="Times New Roman"/>
          <w:sz w:val="24"/>
          <w:szCs w:val="24"/>
        </w:rPr>
        <w:t>Επίσης, τ</w:t>
      </w:r>
      <w:r w:rsidR="00DA7EB8" w:rsidRPr="007B69F7">
        <w:rPr>
          <w:rFonts w:ascii="Arial Narrow" w:hAnsi="Arial Narrow" w:cs="Times New Roman"/>
          <w:sz w:val="24"/>
          <w:szCs w:val="24"/>
        </w:rPr>
        <w:t>ο</w:t>
      </w:r>
      <w:r w:rsidR="00047527" w:rsidRPr="007B69F7">
        <w:rPr>
          <w:rFonts w:ascii="Arial Narrow" w:hAnsi="Arial Narrow" w:cs="Times New Roman"/>
          <w:sz w:val="24"/>
          <w:szCs w:val="24"/>
        </w:rPr>
        <w:t xml:space="preserve"> </w:t>
      </w:r>
      <w:r w:rsidR="00D94FD7" w:rsidRPr="007B69F7">
        <w:rPr>
          <w:rFonts w:ascii="Arial Narrow" w:hAnsi="Arial Narrow" w:cs="Times New Roman"/>
          <w:sz w:val="24"/>
          <w:szCs w:val="24"/>
          <w:lang w:val="en-US"/>
        </w:rPr>
        <w:t>FSC</w:t>
      </w:r>
      <w:r w:rsidR="00DA7EB8" w:rsidRPr="007B69F7">
        <w:rPr>
          <w:rFonts w:ascii="Arial Narrow" w:hAnsi="Arial Narrow" w:cs="Times New Roman"/>
          <w:sz w:val="24"/>
          <w:szCs w:val="24"/>
        </w:rPr>
        <w:t xml:space="preserve"> διορίζει </w:t>
      </w:r>
      <w:r w:rsidR="003E668E" w:rsidRPr="007B69F7">
        <w:rPr>
          <w:rFonts w:ascii="Arial Narrow" w:hAnsi="Arial Narrow" w:cs="Times New Roman"/>
          <w:sz w:val="24"/>
          <w:szCs w:val="24"/>
        </w:rPr>
        <w:t xml:space="preserve">τον </w:t>
      </w:r>
      <w:r w:rsidR="00DA7EB8" w:rsidRPr="007B69F7">
        <w:rPr>
          <w:rFonts w:ascii="Arial Narrow" w:hAnsi="Arial Narrow" w:cs="Times New Roman"/>
          <w:b/>
          <w:bCs/>
          <w:sz w:val="24"/>
          <w:szCs w:val="24"/>
        </w:rPr>
        <w:t>Πρόεδρο</w:t>
      </w:r>
      <w:r w:rsidR="008F4F7E" w:rsidRPr="007B69F7">
        <w:rPr>
          <w:rFonts w:ascii="Arial Narrow" w:hAnsi="Arial Narrow" w:cs="Times New Roman"/>
          <w:sz w:val="24"/>
          <w:szCs w:val="24"/>
        </w:rPr>
        <w:t>, ως επικεφαλής της χώρας</w:t>
      </w:r>
      <w:r w:rsidR="003A27D3" w:rsidRPr="007B69F7">
        <w:rPr>
          <w:rFonts w:ascii="Arial Narrow" w:hAnsi="Arial Narrow" w:cs="Times New Roman"/>
          <w:sz w:val="24"/>
          <w:szCs w:val="24"/>
        </w:rPr>
        <w:t>, καθώς και</w:t>
      </w:r>
      <w:r w:rsidR="00103D0C" w:rsidRPr="007B69F7">
        <w:rPr>
          <w:rFonts w:ascii="Arial Narrow" w:hAnsi="Arial Narrow" w:cs="Times New Roman"/>
          <w:sz w:val="24"/>
          <w:szCs w:val="24"/>
        </w:rPr>
        <w:t xml:space="preserve"> τον Πρωθυπουργό </w:t>
      </w:r>
      <w:r w:rsidR="00DA7EB8" w:rsidRPr="007B69F7">
        <w:rPr>
          <w:rFonts w:ascii="Arial Narrow" w:hAnsi="Arial Narrow" w:cs="Times New Roman"/>
          <w:sz w:val="24"/>
          <w:szCs w:val="24"/>
        </w:rPr>
        <w:t xml:space="preserve">της. Στις </w:t>
      </w:r>
      <w:r w:rsidR="003E668E" w:rsidRPr="007B69F7">
        <w:rPr>
          <w:rFonts w:ascii="Arial Narrow" w:hAnsi="Arial Narrow" w:cs="Times New Roman"/>
          <w:sz w:val="24"/>
          <w:szCs w:val="24"/>
        </w:rPr>
        <w:t>14.5.2022</w:t>
      </w:r>
      <w:r w:rsidR="00F77444" w:rsidRPr="007B69F7">
        <w:rPr>
          <w:rFonts w:ascii="Arial Narrow" w:hAnsi="Arial Narrow" w:cs="Times New Roman"/>
          <w:sz w:val="24"/>
          <w:szCs w:val="24"/>
        </w:rPr>
        <w:t xml:space="preserve"> </w:t>
      </w:r>
      <w:r w:rsidR="00DA7EB8" w:rsidRPr="007B69F7">
        <w:rPr>
          <w:rFonts w:ascii="Arial Narrow" w:hAnsi="Arial Narrow" w:cs="Times New Roman"/>
          <w:sz w:val="24"/>
          <w:szCs w:val="24"/>
        </w:rPr>
        <w:t xml:space="preserve">το Ανώτατο Συμβούλιο παραδοσιακά επανεξέλεξε </w:t>
      </w:r>
      <w:r w:rsidR="00103D0C" w:rsidRPr="007B69F7">
        <w:rPr>
          <w:rFonts w:ascii="Arial Narrow" w:hAnsi="Arial Narrow" w:cs="Times New Roman"/>
          <w:sz w:val="24"/>
          <w:szCs w:val="24"/>
        </w:rPr>
        <w:t xml:space="preserve">ως Πρόεδρο της χώρας </w:t>
      </w:r>
      <w:r w:rsidR="00DA7EB8" w:rsidRPr="007B69F7">
        <w:rPr>
          <w:rFonts w:ascii="Arial Narrow" w:hAnsi="Arial Narrow" w:cs="Times New Roman"/>
          <w:sz w:val="24"/>
          <w:szCs w:val="24"/>
        </w:rPr>
        <w:t xml:space="preserve">τον </w:t>
      </w:r>
      <w:r w:rsidR="003E668E" w:rsidRPr="007B69F7">
        <w:rPr>
          <w:rFonts w:ascii="Arial Narrow" w:hAnsi="Arial Narrow" w:cs="Times New Roman"/>
          <w:sz w:val="24"/>
          <w:szCs w:val="24"/>
        </w:rPr>
        <w:t>Η</w:t>
      </w:r>
      <w:r w:rsidR="00DA7EB8" w:rsidRPr="007B69F7">
        <w:rPr>
          <w:rFonts w:ascii="Arial Narrow" w:hAnsi="Arial Narrow" w:cs="Times New Roman"/>
          <w:sz w:val="24"/>
          <w:szCs w:val="24"/>
        </w:rPr>
        <w:t>γεμόνα</w:t>
      </w:r>
      <w:r w:rsidR="00602128" w:rsidRPr="007B69F7">
        <w:rPr>
          <w:rFonts w:ascii="Arial Narrow" w:hAnsi="Arial Narrow" w:cs="Times New Roman"/>
          <w:sz w:val="24"/>
          <w:szCs w:val="24"/>
        </w:rPr>
        <w:t xml:space="preserve"> </w:t>
      </w:r>
      <w:r w:rsidR="00DA7EB8" w:rsidRPr="007B69F7">
        <w:rPr>
          <w:rFonts w:ascii="Arial Narrow" w:hAnsi="Arial Narrow" w:cs="Times New Roman"/>
          <w:sz w:val="24"/>
          <w:szCs w:val="24"/>
        </w:rPr>
        <w:t xml:space="preserve">Abu Dhabi, </w:t>
      </w:r>
      <w:r w:rsidR="005B12A5" w:rsidRPr="007B69F7">
        <w:rPr>
          <w:rFonts w:ascii="Arial Narrow" w:hAnsi="Arial Narrow" w:cs="Times New Roman"/>
          <w:b/>
          <w:bCs/>
          <w:sz w:val="24"/>
          <w:szCs w:val="24"/>
        </w:rPr>
        <w:t>Σεΐχη</w:t>
      </w:r>
      <w:r w:rsidR="002751DF" w:rsidRPr="007B69F7">
        <w:rPr>
          <w:rFonts w:ascii="Arial Narrow" w:hAnsi="Arial Narrow" w:cs="Times New Roman"/>
          <w:b/>
          <w:bCs/>
          <w:sz w:val="24"/>
          <w:szCs w:val="24"/>
        </w:rPr>
        <w:t xml:space="preserve"> Moha</w:t>
      </w:r>
      <w:r w:rsidR="00F77444" w:rsidRPr="007B69F7">
        <w:rPr>
          <w:rFonts w:ascii="Arial Narrow" w:hAnsi="Arial Narrow" w:cs="Times New Roman"/>
          <w:b/>
          <w:bCs/>
          <w:sz w:val="24"/>
          <w:szCs w:val="24"/>
          <w:lang w:val="en-US"/>
        </w:rPr>
        <w:t>m</w:t>
      </w:r>
      <w:r w:rsidR="002751DF" w:rsidRPr="007B69F7">
        <w:rPr>
          <w:rFonts w:ascii="Arial Narrow" w:hAnsi="Arial Narrow" w:cs="Times New Roman"/>
          <w:b/>
          <w:bCs/>
          <w:sz w:val="24"/>
          <w:szCs w:val="24"/>
        </w:rPr>
        <w:t>med bin Zayed Al Nahyan</w:t>
      </w:r>
      <w:r w:rsidR="00543A7A" w:rsidRPr="007B69F7">
        <w:rPr>
          <w:rFonts w:ascii="Arial Narrow" w:hAnsi="Arial Narrow" w:cs="Times New Roman"/>
          <w:sz w:val="24"/>
          <w:szCs w:val="24"/>
        </w:rPr>
        <w:t>,</w:t>
      </w:r>
      <w:r w:rsidR="002751DF" w:rsidRPr="007B69F7">
        <w:rPr>
          <w:rFonts w:ascii="Arial Narrow" w:hAnsi="Arial Narrow" w:cs="Times New Roman"/>
          <w:sz w:val="24"/>
          <w:szCs w:val="24"/>
        </w:rPr>
        <w:t xml:space="preserve"> μετά τ</w:t>
      </w:r>
      <w:r w:rsidR="009F25B6" w:rsidRPr="007B69F7">
        <w:rPr>
          <w:rFonts w:ascii="Arial Narrow" w:hAnsi="Arial Narrow" w:cs="Times New Roman"/>
          <w:sz w:val="24"/>
          <w:szCs w:val="24"/>
          <w:lang w:val="en-US"/>
        </w:rPr>
        <w:t>o</w:t>
      </w:r>
      <w:r w:rsidR="006B6AAB" w:rsidRPr="007B69F7">
        <w:rPr>
          <w:rFonts w:ascii="Arial Narrow" w:hAnsi="Arial Narrow" w:cs="Times New Roman"/>
          <w:sz w:val="24"/>
          <w:szCs w:val="24"/>
        </w:rPr>
        <w:t>ν</w:t>
      </w:r>
      <w:r w:rsidR="005B12A5" w:rsidRPr="007B69F7">
        <w:rPr>
          <w:rFonts w:ascii="Arial Narrow" w:hAnsi="Arial Narrow" w:cs="Times New Roman"/>
          <w:sz w:val="24"/>
          <w:szCs w:val="24"/>
        </w:rPr>
        <w:t xml:space="preserve"> </w:t>
      </w:r>
      <w:r w:rsidR="003E668E" w:rsidRPr="007B69F7">
        <w:rPr>
          <w:rFonts w:ascii="Arial Narrow" w:hAnsi="Arial Narrow" w:cs="Times New Roman"/>
          <w:sz w:val="24"/>
          <w:szCs w:val="24"/>
        </w:rPr>
        <w:t xml:space="preserve">θάνατο </w:t>
      </w:r>
      <w:r w:rsidR="002751DF" w:rsidRPr="007B69F7">
        <w:rPr>
          <w:rFonts w:ascii="Arial Narrow" w:hAnsi="Arial Narrow" w:cs="Times New Roman"/>
          <w:sz w:val="24"/>
          <w:szCs w:val="24"/>
        </w:rPr>
        <w:t>του</w:t>
      </w:r>
      <w:r w:rsidR="003E668E" w:rsidRPr="007B69F7">
        <w:rPr>
          <w:rFonts w:ascii="Arial Narrow" w:hAnsi="Arial Narrow" w:cs="Times New Roman"/>
          <w:sz w:val="24"/>
          <w:szCs w:val="24"/>
        </w:rPr>
        <w:t xml:space="preserve"> </w:t>
      </w:r>
      <w:r w:rsidR="005B12A5" w:rsidRPr="007B69F7">
        <w:rPr>
          <w:rFonts w:ascii="Arial Narrow" w:hAnsi="Arial Narrow" w:cs="Times New Roman"/>
          <w:sz w:val="24"/>
          <w:szCs w:val="24"/>
        </w:rPr>
        <w:t>Σεΐχη</w:t>
      </w:r>
      <w:r w:rsidR="00DA7EB8" w:rsidRPr="007B69F7">
        <w:rPr>
          <w:rFonts w:ascii="Arial Narrow" w:hAnsi="Arial Narrow" w:cs="Times New Roman"/>
          <w:sz w:val="24"/>
          <w:szCs w:val="24"/>
        </w:rPr>
        <w:t xml:space="preserve"> Khalifa bin Zayed Al Nahya</w:t>
      </w:r>
      <w:r w:rsidR="00047527" w:rsidRPr="007B69F7">
        <w:rPr>
          <w:rFonts w:ascii="Arial Narrow" w:hAnsi="Arial Narrow" w:cs="Times New Roman"/>
          <w:sz w:val="24"/>
          <w:szCs w:val="24"/>
          <w:lang w:val="en-US"/>
        </w:rPr>
        <w:t>n</w:t>
      </w:r>
      <w:r w:rsidR="00047527" w:rsidRPr="007B69F7">
        <w:rPr>
          <w:rFonts w:ascii="Arial Narrow" w:hAnsi="Arial Narrow" w:cs="Times New Roman"/>
          <w:sz w:val="24"/>
          <w:szCs w:val="24"/>
        </w:rPr>
        <w:t xml:space="preserve">. </w:t>
      </w:r>
      <w:r w:rsidR="00543A7A" w:rsidRPr="007B69F7">
        <w:rPr>
          <w:rFonts w:ascii="Arial Narrow" w:hAnsi="Arial Narrow" w:cs="Times New Roman"/>
          <w:sz w:val="24"/>
          <w:szCs w:val="24"/>
        </w:rPr>
        <w:t xml:space="preserve">Το </w:t>
      </w:r>
      <w:r w:rsidR="00543A7A" w:rsidRPr="007B69F7">
        <w:rPr>
          <w:rFonts w:ascii="Arial Narrow" w:hAnsi="Arial Narrow" w:cs="Times New Roman"/>
          <w:sz w:val="24"/>
          <w:szCs w:val="24"/>
          <w:lang w:val="en-US"/>
        </w:rPr>
        <w:t>FSC</w:t>
      </w:r>
      <w:r w:rsidR="00543A7A" w:rsidRPr="007B69F7">
        <w:rPr>
          <w:rFonts w:ascii="Arial Narrow" w:hAnsi="Arial Narrow" w:cs="Times New Roman"/>
          <w:sz w:val="24"/>
          <w:szCs w:val="24"/>
        </w:rPr>
        <w:t xml:space="preserve"> ως </w:t>
      </w:r>
      <w:r w:rsidR="00DA7EB8" w:rsidRPr="007B69F7">
        <w:rPr>
          <w:rFonts w:ascii="Arial Narrow" w:hAnsi="Arial Narrow" w:cs="Times New Roman"/>
          <w:sz w:val="24"/>
          <w:szCs w:val="24"/>
        </w:rPr>
        <w:t>Πρωθυπουργό και Αντιπρόεδρο</w:t>
      </w:r>
      <w:r w:rsidR="00543A7A" w:rsidRPr="007B69F7">
        <w:rPr>
          <w:rFonts w:ascii="Arial Narrow" w:hAnsi="Arial Narrow" w:cs="Times New Roman"/>
          <w:sz w:val="24"/>
          <w:szCs w:val="24"/>
        </w:rPr>
        <w:t xml:space="preserve"> </w:t>
      </w:r>
      <w:r w:rsidR="00DA7EB8" w:rsidRPr="007B69F7">
        <w:rPr>
          <w:rFonts w:ascii="Arial Narrow" w:hAnsi="Arial Narrow" w:cs="Times New Roman"/>
          <w:sz w:val="24"/>
          <w:szCs w:val="24"/>
        </w:rPr>
        <w:t xml:space="preserve">των ΗΑΕ </w:t>
      </w:r>
      <w:r w:rsidR="00543A7A" w:rsidRPr="007B69F7">
        <w:rPr>
          <w:rFonts w:ascii="Arial Narrow" w:hAnsi="Arial Narrow" w:cs="Times New Roman"/>
          <w:sz w:val="24"/>
          <w:szCs w:val="24"/>
        </w:rPr>
        <w:t xml:space="preserve">έχει εκλέξει τον </w:t>
      </w:r>
      <w:r w:rsidR="00103D0C" w:rsidRPr="007B69F7">
        <w:rPr>
          <w:rFonts w:ascii="Arial Narrow" w:hAnsi="Arial Narrow" w:cs="Times New Roman"/>
          <w:sz w:val="24"/>
          <w:szCs w:val="24"/>
        </w:rPr>
        <w:t>Η</w:t>
      </w:r>
      <w:r w:rsidR="00DA7EB8" w:rsidRPr="007B69F7">
        <w:rPr>
          <w:rFonts w:ascii="Arial Narrow" w:hAnsi="Arial Narrow" w:cs="Times New Roman"/>
          <w:sz w:val="24"/>
          <w:szCs w:val="24"/>
        </w:rPr>
        <w:t>γεμόνα</w:t>
      </w:r>
      <w:r w:rsidR="00602128" w:rsidRPr="007B69F7">
        <w:rPr>
          <w:rFonts w:ascii="Arial Narrow" w:hAnsi="Arial Narrow" w:cs="Times New Roman"/>
          <w:sz w:val="24"/>
          <w:szCs w:val="24"/>
        </w:rPr>
        <w:t xml:space="preserve"> </w:t>
      </w:r>
      <w:r w:rsidR="00DA7EB8" w:rsidRPr="007B69F7">
        <w:rPr>
          <w:rFonts w:ascii="Arial Narrow" w:hAnsi="Arial Narrow" w:cs="Times New Roman"/>
          <w:sz w:val="24"/>
          <w:szCs w:val="24"/>
        </w:rPr>
        <w:t>Dubai, Σεΐχη Mohammed bin Rash</w:t>
      </w:r>
      <w:r w:rsidR="004F717C" w:rsidRPr="007B69F7">
        <w:rPr>
          <w:rFonts w:ascii="Arial Narrow" w:hAnsi="Arial Narrow" w:cs="Times New Roman"/>
          <w:sz w:val="24"/>
          <w:szCs w:val="24"/>
          <w:lang w:val="en-US"/>
        </w:rPr>
        <w:t>i</w:t>
      </w:r>
      <w:r w:rsidR="00DA7EB8" w:rsidRPr="007B69F7">
        <w:rPr>
          <w:rFonts w:ascii="Arial Narrow" w:hAnsi="Arial Narrow" w:cs="Times New Roman"/>
          <w:sz w:val="24"/>
          <w:szCs w:val="24"/>
        </w:rPr>
        <w:t>d Al Maktoum</w:t>
      </w:r>
      <w:r w:rsidR="00073890" w:rsidRPr="007B69F7">
        <w:rPr>
          <w:rFonts w:ascii="Arial Narrow" w:hAnsi="Arial Narrow" w:cs="Times New Roman"/>
          <w:sz w:val="24"/>
          <w:szCs w:val="24"/>
        </w:rPr>
        <w:t xml:space="preserve"> και έτερο Αντιπρόεδρο από το</w:t>
      </w:r>
      <w:r w:rsidR="00C033D1" w:rsidRPr="007B69F7">
        <w:rPr>
          <w:rFonts w:ascii="Arial Narrow" w:hAnsi="Arial Narrow" w:cs="Times New Roman"/>
          <w:sz w:val="24"/>
          <w:szCs w:val="24"/>
        </w:rPr>
        <w:t>ν</w:t>
      </w:r>
      <w:r w:rsidR="00073890" w:rsidRPr="007B69F7">
        <w:rPr>
          <w:rFonts w:ascii="Arial Narrow" w:hAnsi="Arial Narrow" w:cs="Times New Roman"/>
          <w:sz w:val="24"/>
          <w:szCs w:val="24"/>
        </w:rPr>
        <w:t xml:space="preserve"> Μάρτιο 2023 τον ομοθαλή αδελφό του νυν Προέδρου, </w:t>
      </w:r>
      <w:r w:rsidR="00073890" w:rsidRPr="007B69F7">
        <w:rPr>
          <w:rFonts w:ascii="Arial Narrow" w:hAnsi="Arial Narrow" w:cs="Times New Roman"/>
          <w:sz w:val="24"/>
          <w:szCs w:val="24"/>
          <w:lang w:val="en-US"/>
        </w:rPr>
        <w:t>Sheikh</w:t>
      </w:r>
      <w:r w:rsidR="00073890" w:rsidRPr="007B69F7">
        <w:rPr>
          <w:rFonts w:ascii="Arial Narrow" w:hAnsi="Arial Narrow" w:cs="Times New Roman"/>
          <w:sz w:val="24"/>
          <w:szCs w:val="24"/>
        </w:rPr>
        <w:t xml:space="preserve"> </w:t>
      </w:r>
      <w:r w:rsidR="00073890" w:rsidRPr="007B69F7">
        <w:rPr>
          <w:rFonts w:ascii="Arial Narrow" w:hAnsi="Arial Narrow" w:cs="Times New Roman"/>
          <w:sz w:val="24"/>
          <w:szCs w:val="24"/>
          <w:lang w:val="en-US"/>
        </w:rPr>
        <w:t>Mansour</w:t>
      </w:r>
      <w:r w:rsidR="00073890" w:rsidRPr="007B69F7">
        <w:rPr>
          <w:rFonts w:ascii="Arial Narrow" w:hAnsi="Arial Narrow" w:cs="Times New Roman"/>
          <w:sz w:val="24"/>
          <w:szCs w:val="24"/>
        </w:rPr>
        <w:t xml:space="preserve"> </w:t>
      </w:r>
      <w:r w:rsidR="00073890" w:rsidRPr="007B69F7">
        <w:rPr>
          <w:rFonts w:ascii="Arial Narrow" w:hAnsi="Arial Narrow" w:cs="Times New Roman"/>
          <w:sz w:val="24"/>
          <w:szCs w:val="24"/>
          <w:lang w:val="en-US"/>
        </w:rPr>
        <w:t>bin</w:t>
      </w:r>
      <w:r w:rsidR="00073890" w:rsidRPr="007B69F7">
        <w:rPr>
          <w:rFonts w:ascii="Arial Narrow" w:hAnsi="Arial Narrow" w:cs="Times New Roman"/>
          <w:sz w:val="24"/>
          <w:szCs w:val="24"/>
        </w:rPr>
        <w:t xml:space="preserve"> </w:t>
      </w:r>
      <w:r w:rsidR="00073890" w:rsidRPr="007B69F7">
        <w:rPr>
          <w:rFonts w:ascii="Arial Narrow" w:hAnsi="Arial Narrow" w:cs="Times New Roman"/>
          <w:sz w:val="24"/>
          <w:szCs w:val="24"/>
          <w:lang w:val="en-US"/>
        </w:rPr>
        <w:t>Zayed</w:t>
      </w:r>
      <w:r w:rsidR="00073890" w:rsidRPr="007B69F7">
        <w:rPr>
          <w:rFonts w:ascii="Arial Narrow" w:hAnsi="Arial Narrow" w:cs="Times New Roman"/>
          <w:sz w:val="24"/>
          <w:szCs w:val="24"/>
        </w:rPr>
        <w:t xml:space="preserve"> </w:t>
      </w:r>
      <w:r w:rsidR="00073890" w:rsidRPr="007B69F7">
        <w:rPr>
          <w:rFonts w:ascii="Arial Narrow" w:hAnsi="Arial Narrow" w:cs="Times New Roman"/>
          <w:sz w:val="24"/>
          <w:szCs w:val="24"/>
          <w:lang w:val="en-US"/>
        </w:rPr>
        <w:t>Al</w:t>
      </w:r>
      <w:r w:rsidR="00073890" w:rsidRPr="007B69F7">
        <w:rPr>
          <w:rFonts w:ascii="Arial Narrow" w:hAnsi="Arial Narrow" w:cs="Times New Roman"/>
          <w:sz w:val="24"/>
          <w:szCs w:val="24"/>
        </w:rPr>
        <w:t xml:space="preserve"> </w:t>
      </w:r>
      <w:r w:rsidR="00073890" w:rsidRPr="007B69F7">
        <w:rPr>
          <w:rFonts w:ascii="Arial Narrow" w:hAnsi="Arial Narrow" w:cs="Times New Roman"/>
          <w:sz w:val="24"/>
          <w:szCs w:val="24"/>
          <w:lang w:val="en-US"/>
        </w:rPr>
        <w:t>Nahyan</w:t>
      </w:r>
      <w:r w:rsidR="00073890" w:rsidRPr="007B69F7">
        <w:rPr>
          <w:rFonts w:ascii="Arial Narrow" w:hAnsi="Arial Narrow" w:cs="Times New Roman"/>
          <w:sz w:val="24"/>
          <w:szCs w:val="24"/>
        </w:rPr>
        <w:t>.</w:t>
      </w:r>
      <w:r w:rsidR="002B03D7" w:rsidRPr="007B69F7">
        <w:rPr>
          <w:rFonts w:ascii="Arial Narrow" w:hAnsi="Arial Narrow" w:cs="Times New Roman"/>
          <w:sz w:val="24"/>
          <w:szCs w:val="24"/>
        </w:rPr>
        <w:t xml:space="preserve"> Τ</w:t>
      </w:r>
      <w:r w:rsidR="007923D6" w:rsidRPr="007B69F7">
        <w:rPr>
          <w:rFonts w:ascii="Arial Narrow" w:hAnsi="Arial Narrow" w:cs="Times New Roman"/>
          <w:sz w:val="24"/>
          <w:szCs w:val="24"/>
          <w:lang w:val="en-US"/>
        </w:rPr>
        <w:t>o</w:t>
      </w:r>
      <w:r w:rsidR="007923D6" w:rsidRPr="007B69F7">
        <w:rPr>
          <w:rFonts w:ascii="Arial Narrow" w:hAnsi="Arial Narrow" w:cs="Times New Roman"/>
          <w:sz w:val="24"/>
          <w:szCs w:val="24"/>
        </w:rPr>
        <w:t xml:space="preserve"> Υπουργικό Συμβούλιο έχει </w:t>
      </w:r>
      <w:r w:rsidR="002B03D7" w:rsidRPr="007B69F7">
        <w:rPr>
          <w:rFonts w:ascii="Arial Narrow" w:hAnsi="Arial Narrow" w:cs="Times New Roman"/>
          <w:sz w:val="24"/>
          <w:szCs w:val="24"/>
        </w:rPr>
        <w:t>33</w:t>
      </w:r>
      <w:r w:rsidR="007923D6" w:rsidRPr="007B69F7">
        <w:rPr>
          <w:rFonts w:ascii="Arial Narrow" w:hAnsi="Arial Narrow" w:cs="Times New Roman"/>
          <w:sz w:val="24"/>
          <w:szCs w:val="24"/>
        </w:rPr>
        <w:t xml:space="preserve"> μέλη</w:t>
      </w:r>
      <w:r w:rsidR="002B03D7" w:rsidRPr="007B69F7">
        <w:rPr>
          <w:rFonts w:ascii="Arial Narrow" w:hAnsi="Arial Narrow" w:cs="Times New Roman"/>
          <w:sz w:val="24"/>
          <w:szCs w:val="24"/>
        </w:rPr>
        <w:t xml:space="preserve">, εκ των οποίων 4 προέρχονται από τις ηγεμονικές οικογένειες Εμιράτων </w:t>
      </w:r>
      <w:r w:rsidR="007923D6" w:rsidRPr="007B69F7">
        <w:rPr>
          <w:rFonts w:ascii="Arial Narrow" w:hAnsi="Arial Narrow" w:cs="Times New Roman"/>
          <w:sz w:val="24"/>
          <w:szCs w:val="24"/>
          <w:lang w:val="en-US"/>
        </w:rPr>
        <w:t>Abu</w:t>
      </w:r>
      <w:r w:rsidR="007923D6" w:rsidRPr="007B69F7">
        <w:rPr>
          <w:rFonts w:ascii="Arial Narrow" w:hAnsi="Arial Narrow" w:cs="Times New Roman"/>
          <w:sz w:val="24"/>
          <w:szCs w:val="24"/>
        </w:rPr>
        <w:t xml:space="preserve"> </w:t>
      </w:r>
      <w:r w:rsidR="007923D6" w:rsidRPr="007B69F7">
        <w:rPr>
          <w:rFonts w:ascii="Arial Narrow" w:hAnsi="Arial Narrow" w:cs="Times New Roman"/>
          <w:sz w:val="24"/>
          <w:szCs w:val="24"/>
          <w:lang w:val="en-US"/>
        </w:rPr>
        <w:t>Dhabi</w:t>
      </w:r>
      <w:r w:rsidR="007923D6" w:rsidRPr="007B69F7">
        <w:rPr>
          <w:rFonts w:ascii="Arial Narrow" w:hAnsi="Arial Narrow" w:cs="Times New Roman"/>
          <w:sz w:val="24"/>
          <w:szCs w:val="24"/>
        </w:rPr>
        <w:t xml:space="preserve"> και </w:t>
      </w:r>
      <w:r w:rsidR="007923D6" w:rsidRPr="007B69F7">
        <w:rPr>
          <w:rFonts w:ascii="Arial Narrow" w:hAnsi="Arial Narrow" w:cs="Times New Roman"/>
          <w:sz w:val="24"/>
          <w:szCs w:val="24"/>
          <w:lang w:val="en-US"/>
        </w:rPr>
        <w:t>Dubai</w:t>
      </w:r>
      <w:r w:rsidR="007923D6" w:rsidRPr="007B69F7">
        <w:rPr>
          <w:rFonts w:ascii="Arial Narrow" w:hAnsi="Arial Narrow" w:cs="Times New Roman"/>
          <w:sz w:val="24"/>
          <w:szCs w:val="24"/>
        </w:rPr>
        <w:t>.</w:t>
      </w:r>
    </w:p>
    <w:p w14:paraId="58ED62A5" w14:textId="77C350CF" w:rsidR="00DA7EB8" w:rsidRPr="007B69F7" w:rsidRDefault="008F3455" w:rsidP="00567BCF">
      <w:pPr>
        <w:spacing w:after="0"/>
        <w:ind w:firstLine="567"/>
        <w:jc w:val="both"/>
        <w:rPr>
          <w:rFonts w:ascii="Arial Narrow" w:hAnsi="Arial Narrow" w:cs="Times New Roman"/>
          <w:sz w:val="24"/>
          <w:szCs w:val="24"/>
        </w:rPr>
      </w:pPr>
      <w:r w:rsidRPr="007B69F7">
        <w:rPr>
          <w:rFonts w:ascii="Arial Narrow" w:hAnsi="Arial Narrow" w:cs="Times New Roman"/>
          <w:sz w:val="24"/>
          <w:szCs w:val="24"/>
        </w:rPr>
        <w:t>Ο</w:t>
      </w:r>
      <w:r w:rsidR="00112739" w:rsidRPr="007B69F7">
        <w:rPr>
          <w:rFonts w:ascii="Arial Narrow" w:hAnsi="Arial Narrow" w:cs="Times New Roman"/>
          <w:sz w:val="24"/>
          <w:szCs w:val="24"/>
        </w:rPr>
        <w:t>ι</w:t>
      </w:r>
      <w:r w:rsidR="00776D0B" w:rsidRPr="007B69F7">
        <w:rPr>
          <w:rFonts w:ascii="Arial Narrow" w:hAnsi="Arial Narrow" w:cs="Times New Roman"/>
          <w:sz w:val="24"/>
          <w:szCs w:val="24"/>
        </w:rPr>
        <w:t xml:space="preserve"> </w:t>
      </w:r>
      <w:r w:rsidR="00DA7EB8" w:rsidRPr="007B69F7">
        <w:rPr>
          <w:rFonts w:ascii="Arial Narrow" w:hAnsi="Arial Narrow" w:cs="Times New Roman"/>
          <w:b/>
          <w:sz w:val="24"/>
          <w:szCs w:val="24"/>
        </w:rPr>
        <w:t xml:space="preserve">Ηγεμόνες </w:t>
      </w:r>
      <w:r w:rsidRPr="007B69F7">
        <w:rPr>
          <w:rFonts w:ascii="Arial Narrow" w:hAnsi="Arial Narrow" w:cs="Times New Roman"/>
          <w:b/>
          <w:sz w:val="24"/>
          <w:szCs w:val="24"/>
        </w:rPr>
        <w:t xml:space="preserve">των 7 </w:t>
      </w:r>
      <w:r w:rsidR="00DA7EB8" w:rsidRPr="007B69F7">
        <w:rPr>
          <w:rFonts w:ascii="Arial Narrow" w:hAnsi="Arial Narrow" w:cs="Times New Roman"/>
          <w:b/>
          <w:sz w:val="24"/>
          <w:szCs w:val="24"/>
        </w:rPr>
        <w:t>Εμιράτων</w:t>
      </w:r>
      <w:r w:rsidR="00E26309" w:rsidRPr="007B69F7">
        <w:rPr>
          <w:rFonts w:ascii="Arial Narrow" w:hAnsi="Arial Narrow" w:cs="Times New Roman"/>
          <w:sz w:val="24"/>
          <w:szCs w:val="24"/>
        </w:rPr>
        <w:t xml:space="preserve">, </w:t>
      </w:r>
      <w:r w:rsidR="00641D60" w:rsidRPr="007B69F7">
        <w:rPr>
          <w:rFonts w:ascii="Arial Narrow" w:hAnsi="Arial Narrow" w:cs="Times New Roman"/>
          <w:sz w:val="24"/>
          <w:szCs w:val="24"/>
        </w:rPr>
        <w:t xml:space="preserve">μέλη του </w:t>
      </w:r>
      <w:r w:rsidR="00641D60" w:rsidRPr="007B69F7">
        <w:rPr>
          <w:rFonts w:ascii="Arial Narrow" w:hAnsi="Arial Narrow" w:cs="Times New Roman"/>
          <w:sz w:val="24"/>
          <w:szCs w:val="24"/>
          <w:lang w:val="en-US"/>
        </w:rPr>
        <w:t>FSC</w:t>
      </w:r>
      <w:r w:rsidR="00641D60" w:rsidRPr="007B69F7">
        <w:rPr>
          <w:rFonts w:ascii="Arial Narrow" w:hAnsi="Arial Narrow" w:cs="Times New Roman"/>
          <w:sz w:val="24"/>
          <w:szCs w:val="24"/>
        </w:rPr>
        <w:t xml:space="preserve"> και </w:t>
      </w:r>
      <w:r w:rsidR="00E26309" w:rsidRPr="007B69F7">
        <w:rPr>
          <w:rFonts w:ascii="Arial Narrow" w:hAnsi="Arial Narrow" w:cs="Times New Roman"/>
          <w:sz w:val="24"/>
          <w:szCs w:val="24"/>
        </w:rPr>
        <w:t>απόγονοι των ιδρυτών Ηγεμόνων της Ομοσπονδίας των ΗΑΕ</w:t>
      </w:r>
      <w:r w:rsidR="00C179F5" w:rsidRPr="007B69F7">
        <w:rPr>
          <w:rFonts w:ascii="Arial Narrow" w:hAnsi="Arial Narrow" w:cs="Times New Roman"/>
          <w:sz w:val="24"/>
          <w:szCs w:val="24"/>
        </w:rPr>
        <w:t xml:space="preserve"> </w:t>
      </w:r>
      <w:r w:rsidRPr="007B69F7">
        <w:rPr>
          <w:rFonts w:ascii="Arial Narrow" w:hAnsi="Arial Narrow" w:cs="Times New Roman"/>
          <w:sz w:val="24"/>
          <w:szCs w:val="24"/>
        </w:rPr>
        <w:t xml:space="preserve">είναι οι ακόλουθοι: </w:t>
      </w:r>
      <w:r w:rsidR="00DA7EB8" w:rsidRPr="007B69F7">
        <w:rPr>
          <w:rFonts w:ascii="Arial Narrow" w:hAnsi="Arial Narrow" w:cs="Times New Roman"/>
          <w:sz w:val="24"/>
          <w:szCs w:val="24"/>
        </w:rPr>
        <w:t xml:space="preserve"> </w:t>
      </w:r>
    </w:p>
    <w:tbl>
      <w:tblPr>
        <w:tblStyle w:val="TableGrid"/>
        <w:tblW w:w="8931" w:type="dxa"/>
        <w:jc w:val="center"/>
        <w:tblLook w:val="04A0" w:firstRow="1" w:lastRow="0" w:firstColumn="1" w:lastColumn="0" w:noHBand="0" w:noVBand="1"/>
      </w:tblPr>
      <w:tblGrid>
        <w:gridCol w:w="1838"/>
        <w:gridCol w:w="1416"/>
        <w:gridCol w:w="4509"/>
        <w:gridCol w:w="1168"/>
      </w:tblGrid>
      <w:tr w:rsidR="00D4143B" w:rsidRPr="007B69F7" w14:paraId="5420014C" w14:textId="77777777" w:rsidTr="000978C1">
        <w:trPr>
          <w:trHeight w:val="584"/>
          <w:jc w:val="center"/>
        </w:trPr>
        <w:tc>
          <w:tcPr>
            <w:tcW w:w="1839" w:type="dxa"/>
          </w:tcPr>
          <w:p w14:paraId="079521C2" w14:textId="54F35E95" w:rsidR="00D4143B" w:rsidRPr="007B69F7" w:rsidRDefault="00D4143B" w:rsidP="00567BCF">
            <w:pPr>
              <w:ind w:firstLine="39"/>
              <w:jc w:val="both"/>
              <w:rPr>
                <w:rFonts w:ascii="Arial Narrow" w:hAnsi="Arial Narrow" w:cs="Times New Roman"/>
                <w:b/>
                <w:bCs/>
                <w:sz w:val="24"/>
                <w:szCs w:val="24"/>
              </w:rPr>
            </w:pPr>
            <w:r w:rsidRPr="007B69F7">
              <w:rPr>
                <w:rFonts w:ascii="Arial Narrow" w:hAnsi="Arial Narrow" w:cs="Times New Roman"/>
                <w:b/>
                <w:bCs/>
                <w:sz w:val="24"/>
                <w:szCs w:val="24"/>
              </w:rPr>
              <w:t>Εμιράτο</w:t>
            </w:r>
          </w:p>
        </w:tc>
        <w:tc>
          <w:tcPr>
            <w:tcW w:w="1416" w:type="dxa"/>
          </w:tcPr>
          <w:p w14:paraId="7F3CB9BC" w14:textId="3F79E1CA" w:rsidR="00D4143B" w:rsidRPr="007B69F7" w:rsidRDefault="00D4143B" w:rsidP="00567BCF">
            <w:pPr>
              <w:ind w:right="-110" w:firstLine="39"/>
              <w:jc w:val="both"/>
              <w:rPr>
                <w:rFonts w:ascii="Arial Narrow" w:hAnsi="Arial Narrow" w:cs="Times New Roman"/>
                <w:b/>
                <w:bCs/>
                <w:sz w:val="24"/>
                <w:szCs w:val="24"/>
              </w:rPr>
            </w:pPr>
            <w:r w:rsidRPr="007B69F7">
              <w:rPr>
                <w:rFonts w:ascii="Arial Narrow" w:hAnsi="Arial Narrow" w:cs="Times New Roman"/>
                <w:b/>
                <w:bCs/>
                <w:sz w:val="24"/>
                <w:szCs w:val="24"/>
              </w:rPr>
              <w:t>Ηγεμονική Οικογένεια</w:t>
            </w:r>
          </w:p>
        </w:tc>
        <w:tc>
          <w:tcPr>
            <w:tcW w:w="4514" w:type="dxa"/>
          </w:tcPr>
          <w:p w14:paraId="57AE4C38" w14:textId="5CA722B9" w:rsidR="00D4143B" w:rsidRPr="007B69F7" w:rsidRDefault="00D4143B" w:rsidP="00567BCF">
            <w:pPr>
              <w:ind w:firstLine="39"/>
              <w:jc w:val="both"/>
              <w:rPr>
                <w:rFonts w:ascii="Arial Narrow" w:hAnsi="Arial Narrow" w:cs="Times New Roman"/>
                <w:b/>
                <w:bCs/>
                <w:sz w:val="24"/>
                <w:szCs w:val="24"/>
              </w:rPr>
            </w:pPr>
            <w:r w:rsidRPr="007B69F7">
              <w:rPr>
                <w:rFonts w:ascii="Arial Narrow" w:hAnsi="Arial Narrow" w:cs="Times New Roman"/>
                <w:b/>
                <w:bCs/>
                <w:sz w:val="24"/>
                <w:szCs w:val="24"/>
              </w:rPr>
              <w:t>Τωρινός Ηγεμόνας</w:t>
            </w:r>
          </w:p>
        </w:tc>
        <w:tc>
          <w:tcPr>
            <w:tcW w:w="1162" w:type="dxa"/>
          </w:tcPr>
          <w:p w14:paraId="54AEE1F9" w14:textId="69213966" w:rsidR="00D4143B" w:rsidRPr="007B69F7" w:rsidRDefault="00D4143B" w:rsidP="00567BCF">
            <w:pPr>
              <w:ind w:firstLine="39"/>
              <w:jc w:val="center"/>
              <w:rPr>
                <w:rFonts w:ascii="Arial Narrow" w:hAnsi="Arial Narrow" w:cs="Times New Roman"/>
                <w:b/>
                <w:bCs/>
                <w:sz w:val="24"/>
                <w:szCs w:val="24"/>
              </w:rPr>
            </w:pPr>
            <w:r w:rsidRPr="007B69F7">
              <w:rPr>
                <w:rFonts w:ascii="Arial Narrow" w:hAnsi="Arial Narrow" w:cs="Times New Roman"/>
                <w:b/>
                <w:bCs/>
                <w:sz w:val="24"/>
                <w:szCs w:val="24"/>
              </w:rPr>
              <w:t>Έτος ανάληψης ηγεμονίας</w:t>
            </w:r>
          </w:p>
        </w:tc>
      </w:tr>
      <w:tr w:rsidR="00D4143B" w:rsidRPr="007B69F7" w14:paraId="510876C5" w14:textId="77777777" w:rsidTr="000978C1">
        <w:trPr>
          <w:jc w:val="center"/>
        </w:trPr>
        <w:tc>
          <w:tcPr>
            <w:tcW w:w="1839" w:type="dxa"/>
          </w:tcPr>
          <w:p w14:paraId="6ADE9367" w14:textId="5EACFE84" w:rsidR="00D4143B" w:rsidRPr="007B69F7" w:rsidRDefault="00D4143B" w:rsidP="00567BCF">
            <w:pPr>
              <w:ind w:firstLine="39"/>
              <w:jc w:val="both"/>
              <w:rPr>
                <w:rFonts w:ascii="Arial Narrow" w:hAnsi="Arial Narrow" w:cs="Times New Roman"/>
                <w:sz w:val="24"/>
                <w:szCs w:val="24"/>
                <w:lang w:val="en-GB"/>
              </w:rPr>
            </w:pPr>
            <w:r w:rsidRPr="007B69F7">
              <w:rPr>
                <w:rFonts w:ascii="Arial Narrow" w:hAnsi="Arial Narrow" w:cs="Times New Roman"/>
                <w:sz w:val="24"/>
                <w:szCs w:val="24"/>
                <w:lang w:val="en-GB"/>
              </w:rPr>
              <w:t>Abu Dhabi</w:t>
            </w:r>
          </w:p>
        </w:tc>
        <w:tc>
          <w:tcPr>
            <w:tcW w:w="1416" w:type="dxa"/>
          </w:tcPr>
          <w:p w14:paraId="77C9CB9A" w14:textId="7EFAFCD9" w:rsidR="00D4143B" w:rsidRPr="007B69F7" w:rsidRDefault="00D4143B" w:rsidP="00567BCF">
            <w:pPr>
              <w:ind w:right="-110" w:firstLine="39"/>
              <w:jc w:val="both"/>
              <w:rPr>
                <w:rFonts w:ascii="Arial Narrow" w:hAnsi="Arial Narrow" w:cs="Times New Roman"/>
                <w:sz w:val="24"/>
                <w:szCs w:val="24"/>
                <w:lang w:val="en-GB"/>
              </w:rPr>
            </w:pPr>
            <w:r w:rsidRPr="007B69F7">
              <w:rPr>
                <w:rFonts w:ascii="Arial Narrow" w:hAnsi="Arial Narrow" w:cs="Times New Roman"/>
                <w:sz w:val="24"/>
                <w:szCs w:val="24"/>
                <w:lang w:val="en-GB"/>
              </w:rPr>
              <w:t>Al Nahyan</w:t>
            </w:r>
          </w:p>
        </w:tc>
        <w:tc>
          <w:tcPr>
            <w:tcW w:w="4514" w:type="dxa"/>
          </w:tcPr>
          <w:p w14:paraId="4782BA89" w14:textId="77777777" w:rsidR="00FA6FDC" w:rsidRPr="007B69F7" w:rsidRDefault="00020CB5" w:rsidP="00567BCF">
            <w:pPr>
              <w:ind w:firstLine="39"/>
              <w:jc w:val="both"/>
              <w:rPr>
                <w:rFonts w:ascii="Arial Narrow" w:hAnsi="Arial Narrow" w:cs="Times New Roman"/>
                <w:sz w:val="24"/>
                <w:szCs w:val="24"/>
                <w:lang w:val="en-US"/>
              </w:rPr>
            </w:pPr>
            <w:r w:rsidRPr="007B69F7">
              <w:rPr>
                <w:rFonts w:ascii="Arial Narrow" w:eastAsia="Times New Roman" w:hAnsi="Arial Narrow" w:cs="Times New Roman"/>
                <w:spacing w:val="3"/>
                <w:sz w:val="24"/>
                <w:szCs w:val="24"/>
                <w:lang w:val="en-US" w:eastAsia="en-AE"/>
              </w:rPr>
              <w:t xml:space="preserve">HH </w:t>
            </w:r>
            <w:r w:rsidR="00D4143B" w:rsidRPr="007B69F7">
              <w:rPr>
                <w:rFonts w:ascii="Arial Narrow" w:eastAsia="Times New Roman" w:hAnsi="Arial Narrow" w:cs="Times New Roman"/>
                <w:spacing w:val="3"/>
                <w:sz w:val="24"/>
                <w:szCs w:val="24"/>
                <w:lang w:val="en-AE" w:eastAsia="en-AE"/>
              </w:rPr>
              <w:t>Sheikh</w:t>
            </w:r>
            <w:r w:rsidR="00BE3AC1" w:rsidRPr="007B69F7">
              <w:rPr>
                <w:rFonts w:ascii="Arial Narrow" w:eastAsia="Times New Roman" w:hAnsi="Arial Narrow" w:cs="Times New Roman"/>
                <w:spacing w:val="3"/>
                <w:sz w:val="24"/>
                <w:szCs w:val="24"/>
                <w:lang w:val="en-AE" w:eastAsia="en-AE"/>
              </w:rPr>
              <w:t xml:space="preserve"> </w:t>
            </w:r>
            <w:r w:rsidR="00BE3AC1" w:rsidRPr="007B69F7">
              <w:rPr>
                <w:rFonts w:ascii="Arial Narrow" w:hAnsi="Arial Narrow" w:cs="Times New Roman"/>
                <w:sz w:val="24"/>
                <w:szCs w:val="24"/>
                <w:lang w:val="en-AE"/>
              </w:rPr>
              <w:t>Moha</w:t>
            </w:r>
            <w:r w:rsidR="00BE3AC1" w:rsidRPr="007B69F7">
              <w:rPr>
                <w:rFonts w:ascii="Arial Narrow" w:hAnsi="Arial Narrow" w:cs="Times New Roman"/>
                <w:sz w:val="24"/>
                <w:szCs w:val="24"/>
                <w:lang w:val="en-US"/>
              </w:rPr>
              <w:t>m</w:t>
            </w:r>
            <w:r w:rsidR="00BE3AC1" w:rsidRPr="007B69F7">
              <w:rPr>
                <w:rFonts w:ascii="Arial Narrow" w:hAnsi="Arial Narrow" w:cs="Times New Roman"/>
                <w:sz w:val="24"/>
                <w:szCs w:val="24"/>
                <w:lang w:val="en-AE"/>
              </w:rPr>
              <w:t>med bin Zayed Al Nahyan</w:t>
            </w:r>
            <w:r w:rsidR="001922F2" w:rsidRPr="007B69F7">
              <w:rPr>
                <w:rFonts w:ascii="Arial Narrow" w:hAnsi="Arial Narrow" w:cs="Times New Roman"/>
                <w:sz w:val="24"/>
                <w:szCs w:val="24"/>
                <w:lang w:val="en-US"/>
              </w:rPr>
              <w:t xml:space="preserve"> – </w:t>
            </w:r>
          </w:p>
          <w:p w14:paraId="1394D673" w14:textId="0EE37817" w:rsidR="00D4143B" w:rsidRPr="007B69F7" w:rsidRDefault="001922F2" w:rsidP="00567BCF">
            <w:pPr>
              <w:ind w:firstLine="39"/>
              <w:jc w:val="both"/>
              <w:rPr>
                <w:rFonts w:ascii="Arial Narrow" w:hAnsi="Arial Narrow" w:cs="Times New Roman"/>
                <w:sz w:val="24"/>
                <w:szCs w:val="24"/>
                <w:lang w:val="en-AE"/>
              </w:rPr>
            </w:pPr>
            <w:r w:rsidRPr="007B69F7">
              <w:rPr>
                <w:rFonts w:ascii="Arial Narrow" w:hAnsi="Arial Narrow" w:cs="Times New Roman"/>
                <w:sz w:val="24"/>
                <w:szCs w:val="24"/>
                <w:lang w:val="en-AE"/>
              </w:rPr>
              <w:t>3</w:t>
            </w:r>
            <w:r w:rsidRPr="007B69F7">
              <w:rPr>
                <w:rFonts w:ascii="Arial Narrow" w:hAnsi="Arial Narrow" w:cs="Times New Roman"/>
                <w:sz w:val="24"/>
                <w:szCs w:val="24"/>
                <w:vertAlign w:val="superscript"/>
              </w:rPr>
              <w:t>ος</w:t>
            </w:r>
            <w:r w:rsidRPr="007B69F7">
              <w:rPr>
                <w:rFonts w:ascii="Arial Narrow" w:hAnsi="Arial Narrow" w:cs="Times New Roman"/>
                <w:sz w:val="24"/>
                <w:szCs w:val="24"/>
                <w:lang w:val="en-AE"/>
              </w:rPr>
              <w:t xml:space="preserve"> </w:t>
            </w:r>
            <w:r w:rsidRPr="007B69F7">
              <w:rPr>
                <w:rFonts w:ascii="Arial Narrow" w:hAnsi="Arial Narrow" w:cs="Times New Roman"/>
                <w:sz w:val="24"/>
                <w:szCs w:val="24"/>
              </w:rPr>
              <w:t>Πρόεδρος</w:t>
            </w:r>
            <w:r w:rsidRPr="007B69F7">
              <w:rPr>
                <w:rFonts w:ascii="Arial Narrow" w:hAnsi="Arial Narrow" w:cs="Times New Roman"/>
                <w:sz w:val="24"/>
                <w:szCs w:val="24"/>
                <w:lang w:val="en-AE"/>
              </w:rPr>
              <w:t xml:space="preserve"> </w:t>
            </w:r>
            <w:r w:rsidRPr="007B69F7">
              <w:rPr>
                <w:rFonts w:ascii="Arial Narrow" w:hAnsi="Arial Narrow" w:cs="Times New Roman"/>
                <w:sz w:val="24"/>
                <w:szCs w:val="24"/>
              </w:rPr>
              <w:t>ΗΑΕ</w:t>
            </w:r>
          </w:p>
        </w:tc>
        <w:tc>
          <w:tcPr>
            <w:tcW w:w="1162" w:type="dxa"/>
          </w:tcPr>
          <w:p w14:paraId="4FF3A4DC" w14:textId="141F5C6C" w:rsidR="00D4143B" w:rsidRPr="007B69F7" w:rsidRDefault="00F110FC" w:rsidP="00567BCF">
            <w:pPr>
              <w:ind w:firstLine="39"/>
              <w:jc w:val="center"/>
              <w:rPr>
                <w:rFonts w:ascii="Arial Narrow" w:hAnsi="Arial Narrow" w:cs="Times New Roman"/>
                <w:sz w:val="24"/>
                <w:szCs w:val="24"/>
                <w:lang w:val="en-GB"/>
              </w:rPr>
            </w:pPr>
            <w:r w:rsidRPr="007B69F7">
              <w:rPr>
                <w:rFonts w:ascii="Arial Narrow" w:hAnsi="Arial Narrow" w:cs="Times New Roman"/>
                <w:sz w:val="24"/>
                <w:szCs w:val="24"/>
                <w:lang w:val="en-GB"/>
              </w:rPr>
              <w:t>2022</w:t>
            </w:r>
          </w:p>
        </w:tc>
      </w:tr>
      <w:tr w:rsidR="00D4143B" w:rsidRPr="007B69F7" w14:paraId="6D14B271" w14:textId="77777777" w:rsidTr="000978C1">
        <w:trPr>
          <w:jc w:val="center"/>
        </w:trPr>
        <w:tc>
          <w:tcPr>
            <w:tcW w:w="1839" w:type="dxa"/>
          </w:tcPr>
          <w:p w14:paraId="4CC13E27" w14:textId="20EC8F29" w:rsidR="00D4143B" w:rsidRPr="007B69F7" w:rsidRDefault="00D4143B" w:rsidP="00567BCF">
            <w:pPr>
              <w:ind w:firstLine="39"/>
              <w:jc w:val="both"/>
              <w:rPr>
                <w:rFonts w:ascii="Arial Narrow" w:hAnsi="Arial Narrow" w:cs="Times New Roman"/>
                <w:sz w:val="24"/>
                <w:szCs w:val="24"/>
                <w:lang w:val="en-GB"/>
              </w:rPr>
            </w:pPr>
            <w:r w:rsidRPr="007B69F7">
              <w:rPr>
                <w:rFonts w:ascii="Arial Narrow" w:hAnsi="Arial Narrow" w:cs="Times New Roman"/>
                <w:sz w:val="24"/>
                <w:szCs w:val="24"/>
                <w:lang w:val="en-GB"/>
              </w:rPr>
              <w:t>Dubai</w:t>
            </w:r>
          </w:p>
        </w:tc>
        <w:tc>
          <w:tcPr>
            <w:tcW w:w="1416" w:type="dxa"/>
          </w:tcPr>
          <w:p w14:paraId="2C7A4F29" w14:textId="4079CC1E" w:rsidR="00D4143B" w:rsidRPr="007B69F7" w:rsidRDefault="00D4143B" w:rsidP="00567BCF">
            <w:pPr>
              <w:ind w:right="-110" w:firstLine="39"/>
              <w:jc w:val="both"/>
              <w:rPr>
                <w:rFonts w:ascii="Arial Narrow" w:hAnsi="Arial Narrow" w:cs="Times New Roman"/>
                <w:sz w:val="24"/>
                <w:szCs w:val="24"/>
                <w:lang w:val="en-GB"/>
              </w:rPr>
            </w:pPr>
            <w:r w:rsidRPr="007B69F7">
              <w:rPr>
                <w:rFonts w:ascii="Arial Narrow" w:eastAsia="Times New Roman" w:hAnsi="Arial Narrow" w:cs="Times New Roman"/>
                <w:spacing w:val="3"/>
                <w:sz w:val="24"/>
                <w:szCs w:val="24"/>
                <w:lang w:val="en-AE" w:eastAsia="en-AE"/>
              </w:rPr>
              <w:t>Al Maktoum</w:t>
            </w:r>
          </w:p>
        </w:tc>
        <w:tc>
          <w:tcPr>
            <w:tcW w:w="4514" w:type="dxa"/>
          </w:tcPr>
          <w:p w14:paraId="6B3BAE6F" w14:textId="0BB32FDF" w:rsidR="00D4143B" w:rsidRPr="007B69F7" w:rsidRDefault="00020CB5" w:rsidP="00567BCF">
            <w:pPr>
              <w:ind w:firstLine="39"/>
              <w:jc w:val="both"/>
              <w:rPr>
                <w:rFonts w:ascii="Arial Narrow" w:hAnsi="Arial Narrow" w:cs="Times New Roman"/>
                <w:sz w:val="24"/>
                <w:szCs w:val="24"/>
                <w:lang w:val="en-GB"/>
              </w:rPr>
            </w:pPr>
            <w:r w:rsidRPr="007B69F7">
              <w:rPr>
                <w:rFonts w:ascii="Arial Narrow" w:eastAsia="Times New Roman" w:hAnsi="Arial Narrow" w:cs="Times New Roman"/>
                <w:spacing w:val="3"/>
                <w:sz w:val="24"/>
                <w:szCs w:val="24"/>
                <w:lang w:val="en-AE" w:eastAsia="en-AE"/>
              </w:rPr>
              <w:t xml:space="preserve">HH </w:t>
            </w:r>
            <w:r w:rsidR="00D4143B" w:rsidRPr="007B69F7">
              <w:rPr>
                <w:rFonts w:ascii="Arial Narrow" w:eastAsia="Times New Roman" w:hAnsi="Arial Narrow" w:cs="Times New Roman"/>
                <w:spacing w:val="3"/>
                <w:sz w:val="24"/>
                <w:szCs w:val="24"/>
                <w:lang w:val="en-AE" w:eastAsia="en-AE"/>
              </w:rPr>
              <w:t>Sheikh Mohammed bin Rashid Al Maktoum</w:t>
            </w:r>
          </w:p>
        </w:tc>
        <w:tc>
          <w:tcPr>
            <w:tcW w:w="1162" w:type="dxa"/>
          </w:tcPr>
          <w:p w14:paraId="6B9FD0A8" w14:textId="44B9AB71" w:rsidR="00D4143B" w:rsidRPr="007B69F7" w:rsidRDefault="00F110FC" w:rsidP="00567BCF">
            <w:pPr>
              <w:ind w:firstLine="39"/>
              <w:jc w:val="center"/>
              <w:rPr>
                <w:rFonts w:ascii="Arial Narrow" w:hAnsi="Arial Narrow" w:cs="Times New Roman"/>
                <w:sz w:val="24"/>
                <w:szCs w:val="24"/>
                <w:lang w:val="en-GB"/>
              </w:rPr>
            </w:pPr>
            <w:r w:rsidRPr="007B69F7">
              <w:rPr>
                <w:rFonts w:ascii="Arial Narrow" w:hAnsi="Arial Narrow" w:cs="Times New Roman"/>
                <w:sz w:val="24"/>
                <w:szCs w:val="24"/>
                <w:lang w:val="en-GB"/>
              </w:rPr>
              <w:t>2006</w:t>
            </w:r>
          </w:p>
        </w:tc>
      </w:tr>
      <w:tr w:rsidR="00D4143B" w:rsidRPr="007B69F7" w14:paraId="3FB6BA99" w14:textId="77777777" w:rsidTr="000978C1">
        <w:trPr>
          <w:jc w:val="center"/>
        </w:trPr>
        <w:tc>
          <w:tcPr>
            <w:tcW w:w="1839" w:type="dxa"/>
          </w:tcPr>
          <w:p w14:paraId="4E0E8B2B" w14:textId="207C0302" w:rsidR="00D4143B" w:rsidRPr="007B69F7" w:rsidRDefault="00D4143B" w:rsidP="00567BCF">
            <w:pPr>
              <w:ind w:firstLine="39"/>
              <w:jc w:val="both"/>
              <w:rPr>
                <w:rFonts w:ascii="Arial Narrow" w:hAnsi="Arial Narrow" w:cs="Times New Roman"/>
                <w:sz w:val="24"/>
                <w:szCs w:val="24"/>
                <w:lang w:val="en-GB"/>
              </w:rPr>
            </w:pPr>
            <w:r w:rsidRPr="007B69F7">
              <w:rPr>
                <w:rFonts w:ascii="Arial Narrow" w:hAnsi="Arial Narrow" w:cs="Times New Roman"/>
                <w:sz w:val="24"/>
                <w:szCs w:val="24"/>
                <w:lang w:val="en-GB"/>
              </w:rPr>
              <w:t>Sharjah</w:t>
            </w:r>
          </w:p>
        </w:tc>
        <w:tc>
          <w:tcPr>
            <w:tcW w:w="1416" w:type="dxa"/>
          </w:tcPr>
          <w:p w14:paraId="1EFDBCAD" w14:textId="196FF617" w:rsidR="00D4143B" w:rsidRPr="007B69F7" w:rsidRDefault="00D4143B" w:rsidP="00567BCF">
            <w:pPr>
              <w:ind w:right="-110" w:firstLine="39"/>
              <w:jc w:val="both"/>
              <w:rPr>
                <w:rFonts w:ascii="Arial Narrow" w:hAnsi="Arial Narrow" w:cs="Times New Roman"/>
                <w:sz w:val="24"/>
                <w:szCs w:val="24"/>
                <w:lang w:val="en-GB"/>
              </w:rPr>
            </w:pPr>
            <w:r w:rsidRPr="007B69F7">
              <w:rPr>
                <w:rFonts w:ascii="Arial Narrow" w:eastAsia="Times New Roman" w:hAnsi="Arial Narrow" w:cs="Times New Roman"/>
                <w:spacing w:val="3"/>
                <w:sz w:val="24"/>
                <w:szCs w:val="24"/>
                <w:lang w:val="en-AE" w:eastAsia="en-AE"/>
              </w:rPr>
              <w:t>Al Qasimi</w:t>
            </w:r>
          </w:p>
        </w:tc>
        <w:tc>
          <w:tcPr>
            <w:tcW w:w="4514" w:type="dxa"/>
          </w:tcPr>
          <w:p w14:paraId="073BFA57" w14:textId="4B7F7419" w:rsidR="00D4143B" w:rsidRPr="007B69F7" w:rsidRDefault="009F7099" w:rsidP="00567BCF">
            <w:pPr>
              <w:ind w:firstLine="39"/>
              <w:jc w:val="both"/>
              <w:rPr>
                <w:rFonts w:ascii="Arial Narrow" w:hAnsi="Arial Narrow" w:cs="Times New Roman"/>
                <w:sz w:val="24"/>
                <w:szCs w:val="24"/>
                <w:lang w:val="en-GB"/>
              </w:rPr>
            </w:pPr>
            <w:r w:rsidRPr="007B69F7">
              <w:rPr>
                <w:rFonts w:ascii="Arial Narrow" w:eastAsia="Times New Roman" w:hAnsi="Arial Narrow" w:cs="Times New Roman"/>
                <w:spacing w:val="3"/>
                <w:sz w:val="24"/>
                <w:szCs w:val="24"/>
                <w:lang w:val="en-AE" w:eastAsia="en-AE"/>
              </w:rPr>
              <w:t xml:space="preserve">HH </w:t>
            </w:r>
            <w:r w:rsidR="00BE6570" w:rsidRPr="007B69F7">
              <w:rPr>
                <w:rFonts w:ascii="Arial Narrow" w:eastAsia="Times New Roman" w:hAnsi="Arial Narrow" w:cs="Times New Roman"/>
                <w:spacing w:val="3"/>
                <w:sz w:val="24"/>
                <w:szCs w:val="24"/>
                <w:lang w:val="en-AE" w:eastAsia="en-AE"/>
              </w:rPr>
              <w:t>Dr Sheikh Sultan bin Mohammed Al Qasimi</w:t>
            </w:r>
          </w:p>
        </w:tc>
        <w:tc>
          <w:tcPr>
            <w:tcW w:w="1162" w:type="dxa"/>
          </w:tcPr>
          <w:p w14:paraId="22FF85A4" w14:textId="2E83BCF4" w:rsidR="00D4143B" w:rsidRPr="007B69F7" w:rsidRDefault="00F110FC" w:rsidP="00567BCF">
            <w:pPr>
              <w:ind w:firstLine="39"/>
              <w:jc w:val="center"/>
              <w:rPr>
                <w:rFonts w:ascii="Arial Narrow" w:hAnsi="Arial Narrow" w:cs="Times New Roman"/>
                <w:sz w:val="24"/>
                <w:szCs w:val="24"/>
                <w:lang w:val="en-GB"/>
              </w:rPr>
            </w:pPr>
            <w:r w:rsidRPr="007B69F7">
              <w:rPr>
                <w:rFonts w:ascii="Arial Narrow" w:hAnsi="Arial Narrow" w:cs="Times New Roman"/>
                <w:sz w:val="24"/>
                <w:szCs w:val="24"/>
                <w:lang w:val="en-GB"/>
              </w:rPr>
              <w:t>1972</w:t>
            </w:r>
          </w:p>
        </w:tc>
      </w:tr>
      <w:tr w:rsidR="00D4143B" w:rsidRPr="007B69F7" w14:paraId="04D29DF5" w14:textId="77777777" w:rsidTr="000978C1">
        <w:trPr>
          <w:jc w:val="center"/>
        </w:trPr>
        <w:tc>
          <w:tcPr>
            <w:tcW w:w="1839" w:type="dxa"/>
          </w:tcPr>
          <w:p w14:paraId="3309F3F7" w14:textId="66F683D7" w:rsidR="00D4143B" w:rsidRPr="007B69F7" w:rsidRDefault="00D4143B" w:rsidP="00567BCF">
            <w:pPr>
              <w:ind w:firstLine="39"/>
              <w:jc w:val="both"/>
              <w:rPr>
                <w:rFonts w:ascii="Arial Narrow" w:hAnsi="Arial Narrow" w:cs="Times New Roman"/>
                <w:sz w:val="24"/>
                <w:szCs w:val="24"/>
                <w:lang w:val="en-GB"/>
              </w:rPr>
            </w:pPr>
            <w:r w:rsidRPr="007B69F7">
              <w:rPr>
                <w:rFonts w:ascii="Arial Narrow" w:hAnsi="Arial Narrow" w:cs="Times New Roman"/>
                <w:sz w:val="24"/>
                <w:szCs w:val="24"/>
                <w:lang w:val="en-GB"/>
              </w:rPr>
              <w:t>Ras Al Khaimah</w:t>
            </w:r>
          </w:p>
        </w:tc>
        <w:tc>
          <w:tcPr>
            <w:tcW w:w="1416" w:type="dxa"/>
          </w:tcPr>
          <w:p w14:paraId="1FE11716" w14:textId="5D5AFE86" w:rsidR="00D4143B" w:rsidRPr="007B69F7" w:rsidRDefault="00D4143B" w:rsidP="00567BCF">
            <w:pPr>
              <w:ind w:right="-110" w:firstLine="39"/>
              <w:jc w:val="both"/>
              <w:rPr>
                <w:rFonts w:ascii="Arial Narrow" w:hAnsi="Arial Narrow" w:cs="Times New Roman"/>
                <w:sz w:val="24"/>
                <w:szCs w:val="24"/>
                <w:lang w:val="en-GB"/>
              </w:rPr>
            </w:pPr>
            <w:r w:rsidRPr="007B69F7">
              <w:rPr>
                <w:rFonts w:ascii="Arial Narrow" w:eastAsia="Times New Roman" w:hAnsi="Arial Narrow" w:cs="Times New Roman"/>
                <w:spacing w:val="3"/>
                <w:sz w:val="24"/>
                <w:szCs w:val="24"/>
                <w:lang w:val="en-AE" w:eastAsia="en-AE"/>
              </w:rPr>
              <w:t>Al Qasimi</w:t>
            </w:r>
          </w:p>
        </w:tc>
        <w:tc>
          <w:tcPr>
            <w:tcW w:w="4514" w:type="dxa"/>
          </w:tcPr>
          <w:p w14:paraId="193F5DFE" w14:textId="00C54B9D" w:rsidR="00D4143B" w:rsidRPr="007B69F7" w:rsidRDefault="009F7099" w:rsidP="00567BCF">
            <w:pPr>
              <w:ind w:firstLine="39"/>
              <w:jc w:val="both"/>
              <w:rPr>
                <w:rFonts w:ascii="Arial Narrow" w:hAnsi="Arial Narrow" w:cs="Times New Roman"/>
                <w:sz w:val="24"/>
                <w:szCs w:val="24"/>
                <w:lang w:val="en-GB"/>
              </w:rPr>
            </w:pPr>
            <w:r w:rsidRPr="007B69F7">
              <w:rPr>
                <w:rFonts w:ascii="Arial Narrow" w:eastAsia="Times New Roman" w:hAnsi="Arial Narrow" w:cs="Times New Roman"/>
                <w:spacing w:val="3"/>
                <w:sz w:val="24"/>
                <w:szCs w:val="24"/>
                <w:lang w:val="en-AE" w:eastAsia="en-AE"/>
              </w:rPr>
              <w:t xml:space="preserve">HH </w:t>
            </w:r>
            <w:r w:rsidR="00BE6570" w:rsidRPr="007B69F7">
              <w:rPr>
                <w:rFonts w:ascii="Arial Narrow" w:eastAsia="Times New Roman" w:hAnsi="Arial Narrow" w:cs="Times New Roman"/>
                <w:spacing w:val="3"/>
                <w:sz w:val="24"/>
                <w:szCs w:val="24"/>
                <w:lang w:val="en-AE" w:eastAsia="en-AE"/>
              </w:rPr>
              <w:t>Sheikh Saud bin Saqr Al Qasimi</w:t>
            </w:r>
          </w:p>
        </w:tc>
        <w:tc>
          <w:tcPr>
            <w:tcW w:w="1162" w:type="dxa"/>
          </w:tcPr>
          <w:p w14:paraId="2F059930" w14:textId="4E64A06F" w:rsidR="00D4143B" w:rsidRPr="007B69F7" w:rsidRDefault="00F110FC" w:rsidP="00567BCF">
            <w:pPr>
              <w:ind w:firstLine="39"/>
              <w:jc w:val="center"/>
              <w:rPr>
                <w:rFonts w:ascii="Arial Narrow" w:hAnsi="Arial Narrow" w:cs="Times New Roman"/>
                <w:sz w:val="24"/>
                <w:szCs w:val="24"/>
                <w:lang w:val="en-GB"/>
              </w:rPr>
            </w:pPr>
            <w:r w:rsidRPr="007B69F7">
              <w:rPr>
                <w:rFonts w:ascii="Arial Narrow" w:hAnsi="Arial Narrow" w:cs="Times New Roman"/>
                <w:sz w:val="24"/>
                <w:szCs w:val="24"/>
                <w:lang w:val="en-GB"/>
              </w:rPr>
              <w:t>2010</w:t>
            </w:r>
          </w:p>
        </w:tc>
      </w:tr>
      <w:tr w:rsidR="00D4143B" w:rsidRPr="007B69F7" w14:paraId="34EE60A3" w14:textId="77777777" w:rsidTr="000978C1">
        <w:trPr>
          <w:jc w:val="center"/>
        </w:trPr>
        <w:tc>
          <w:tcPr>
            <w:tcW w:w="1839" w:type="dxa"/>
          </w:tcPr>
          <w:p w14:paraId="1F02797A" w14:textId="7F64A4CD" w:rsidR="00D4143B" w:rsidRPr="007B69F7" w:rsidRDefault="00D4143B" w:rsidP="00567BCF">
            <w:pPr>
              <w:ind w:firstLine="39"/>
              <w:jc w:val="both"/>
              <w:rPr>
                <w:rFonts w:ascii="Arial Narrow" w:hAnsi="Arial Narrow" w:cs="Times New Roman"/>
                <w:sz w:val="24"/>
                <w:szCs w:val="24"/>
                <w:lang w:val="en-GB"/>
              </w:rPr>
            </w:pPr>
            <w:r w:rsidRPr="007B69F7">
              <w:rPr>
                <w:rFonts w:ascii="Arial Narrow" w:hAnsi="Arial Narrow" w:cs="Times New Roman"/>
                <w:sz w:val="24"/>
                <w:szCs w:val="24"/>
                <w:lang w:val="en-GB"/>
              </w:rPr>
              <w:t>Fujairah</w:t>
            </w:r>
          </w:p>
        </w:tc>
        <w:tc>
          <w:tcPr>
            <w:tcW w:w="1416" w:type="dxa"/>
          </w:tcPr>
          <w:p w14:paraId="3CFAFD03" w14:textId="20E5EB31" w:rsidR="00D4143B" w:rsidRPr="007B69F7" w:rsidRDefault="00D4143B" w:rsidP="00567BCF">
            <w:pPr>
              <w:ind w:right="-110" w:firstLine="39"/>
              <w:jc w:val="both"/>
              <w:rPr>
                <w:rFonts w:ascii="Arial Narrow" w:hAnsi="Arial Narrow" w:cs="Times New Roman"/>
                <w:sz w:val="24"/>
                <w:szCs w:val="24"/>
                <w:lang w:val="en-GB"/>
              </w:rPr>
            </w:pPr>
            <w:r w:rsidRPr="007B69F7">
              <w:rPr>
                <w:rFonts w:ascii="Arial Narrow" w:eastAsia="Times New Roman" w:hAnsi="Arial Narrow" w:cs="Times New Roman"/>
                <w:spacing w:val="3"/>
                <w:sz w:val="24"/>
                <w:szCs w:val="24"/>
                <w:lang w:val="en-AE" w:eastAsia="en-AE"/>
              </w:rPr>
              <w:t>Al Sharqi</w:t>
            </w:r>
          </w:p>
        </w:tc>
        <w:tc>
          <w:tcPr>
            <w:tcW w:w="4514" w:type="dxa"/>
          </w:tcPr>
          <w:p w14:paraId="03C91EB5" w14:textId="770F557A" w:rsidR="00D4143B" w:rsidRPr="007B69F7" w:rsidRDefault="009F7099" w:rsidP="00567BCF">
            <w:pPr>
              <w:ind w:firstLine="39"/>
              <w:jc w:val="both"/>
              <w:rPr>
                <w:rFonts w:ascii="Arial Narrow" w:hAnsi="Arial Narrow" w:cs="Times New Roman"/>
                <w:sz w:val="24"/>
                <w:szCs w:val="24"/>
                <w:lang w:val="en-GB"/>
              </w:rPr>
            </w:pPr>
            <w:r w:rsidRPr="007B69F7">
              <w:rPr>
                <w:rFonts w:ascii="Arial Narrow" w:eastAsia="Times New Roman" w:hAnsi="Arial Narrow" w:cs="Times New Roman"/>
                <w:spacing w:val="3"/>
                <w:sz w:val="24"/>
                <w:szCs w:val="24"/>
                <w:lang w:val="en-AE" w:eastAsia="en-AE"/>
              </w:rPr>
              <w:t xml:space="preserve">HH </w:t>
            </w:r>
            <w:r w:rsidR="00BE6570" w:rsidRPr="007B69F7">
              <w:rPr>
                <w:rFonts w:ascii="Arial Narrow" w:eastAsia="Times New Roman" w:hAnsi="Arial Narrow" w:cs="Times New Roman"/>
                <w:spacing w:val="3"/>
                <w:sz w:val="24"/>
                <w:szCs w:val="24"/>
                <w:lang w:val="en-AE" w:eastAsia="en-AE"/>
              </w:rPr>
              <w:t>Sheikh Hamad bin Mohammed Al Sharqi</w:t>
            </w:r>
          </w:p>
        </w:tc>
        <w:tc>
          <w:tcPr>
            <w:tcW w:w="1162" w:type="dxa"/>
          </w:tcPr>
          <w:p w14:paraId="55ABA539" w14:textId="5241028A" w:rsidR="00D4143B" w:rsidRPr="007B69F7" w:rsidRDefault="00F110FC" w:rsidP="00567BCF">
            <w:pPr>
              <w:ind w:firstLine="39"/>
              <w:jc w:val="center"/>
              <w:rPr>
                <w:rFonts w:ascii="Arial Narrow" w:hAnsi="Arial Narrow" w:cs="Times New Roman"/>
                <w:sz w:val="24"/>
                <w:szCs w:val="24"/>
                <w:lang w:val="en-GB"/>
              </w:rPr>
            </w:pPr>
            <w:r w:rsidRPr="007B69F7">
              <w:rPr>
                <w:rFonts w:ascii="Arial Narrow" w:hAnsi="Arial Narrow" w:cs="Times New Roman"/>
                <w:sz w:val="24"/>
                <w:szCs w:val="24"/>
                <w:lang w:val="en-GB"/>
              </w:rPr>
              <w:t>1974</w:t>
            </w:r>
          </w:p>
        </w:tc>
      </w:tr>
      <w:tr w:rsidR="000978C1" w:rsidRPr="007B69F7" w14:paraId="51EB6332" w14:textId="77777777" w:rsidTr="000978C1">
        <w:trPr>
          <w:jc w:val="center"/>
        </w:trPr>
        <w:tc>
          <w:tcPr>
            <w:tcW w:w="1839" w:type="dxa"/>
          </w:tcPr>
          <w:p w14:paraId="4529A399" w14:textId="77777777" w:rsidR="000978C1" w:rsidRPr="007B69F7" w:rsidRDefault="000978C1" w:rsidP="005A72E6">
            <w:pPr>
              <w:ind w:firstLine="39"/>
              <w:jc w:val="both"/>
              <w:rPr>
                <w:rFonts w:ascii="Arial Narrow" w:hAnsi="Arial Narrow" w:cs="Times New Roman"/>
                <w:sz w:val="24"/>
                <w:szCs w:val="24"/>
                <w:lang w:val="en-GB"/>
              </w:rPr>
            </w:pPr>
            <w:r w:rsidRPr="007B69F7">
              <w:rPr>
                <w:rFonts w:ascii="Arial Narrow" w:hAnsi="Arial Narrow" w:cs="Times New Roman"/>
                <w:sz w:val="24"/>
                <w:szCs w:val="24"/>
                <w:lang w:val="en-GB"/>
              </w:rPr>
              <w:t>Ajman</w:t>
            </w:r>
          </w:p>
        </w:tc>
        <w:tc>
          <w:tcPr>
            <w:tcW w:w="1416" w:type="dxa"/>
          </w:tcPr>
          <w:p w14:paraId="6976041D" w14:textId="77777777" w:rsidR="000978C1" w:rsidRPr="007B69F7" w:rsidRDefault="000978C1" w:rsidP="005A72E6">
            <w:pPr>
              <w:ind w:right="-110" w:firstLine="39"/>
              <w:jc w:val="both"/>
              <w:rPr>
                <w:rFonts w:ascii="Arial Narrow" w:hAnsi="Arial Narrow" w:cs="Times New Roman"/>
                <w:sz w:val="24"/>
                <w:szCs w:val="24"/>
                <w:lang w:val="en-GB"/>
              </w:rPr>
            </w:pPr>
            <w:r w:rsidRPr="007B69F7">
              <w:rPr>
                <w:rFonts w:ascii="Arial Narrow" w:eastAsia="Times New Roman" w:hAnsi="Arial Narrow" w:cs="Times New Roman"/>
                <w:spacing w:val="3"/>
                <w:sz w:val="24"/>
                <w:szCs w:val="24"/>
                <w:lang w:val="en-AE" w:eastAsia="en-AE"/>
              </w:rPr>
              <w:t>Al Nuaimi</w:t>
            </w:r>
          </w:p>
        </w:tc>
        <w:tc>
          <w:tcPr>
            <w:tcW w:w="4514" w:type="dxa"/>
          </w:tcPr>
          <w:p w14:paraId="6F88BD13" w14:textId="77777777" w:rsidR="000978C1" w:rsidRPr="007B69F7" w:rsidRDefault="000978C1" w:rsidP="005A72E6">
            <w:pPr>
              <w:ind w:firstLine="39"/>
              <w:jc w:val="both"/>
              <w:rPr>
                <w:rFonts w:ascii="Arial Narrow" w:hAnsi="Arial Narrow" w:cs="Times New Roman"/>
                <w:sz w:val="24"/>
                <w:szCs w:val="24"/>
                <w:lang w:val="en-GB"/>
              </w:rPr>
            </w:pPr>
            <w:r w:rsidRPr="007B69F7">
              <w:rPr>
                <w:rFonts w:ascii="Arial Narrow" w:eastAsia="Times New Roman" w:hAnsi="Arial Narrow" w:cs="Times New Roman"/>
                <w:spacing w:val="3"/>
                <w:sz w:val="24"/>
                <w:szCs w:val="24"/>
                <w:lang w:val="en-AE" w:eastAsia="en-AE"/>
              </w:rPr>
              <w:t>HH Sheikh Humaid bin Rashid Al Nuaimi</w:t>
            </w:r>
          </w:p>
        </w:tc>
        <w:tc>
          <w:tcPr>
            <w:tcW w:w="1162" w:type="dxa"/>
          </w:tcPr>
          <w:p w14:paraId="6BCA7B5C" w14:textId="77777777" w:rsidR="000978C1" w:rsidRPr="007B69F7" w:rsidRDefault="000978C1" w:rsidP="005A72E6">
            <w:pPr>
              <w:ind w:firstLine="39"/>
              <w:jc w:val="center"/>
              <w:rPr>
                <w:rFonts w:ascii="Arial Narrow" w:hAnsi="Arial Narrow" w:cs="Times New Roman"/>
                <w:sz w:val="24"/>
                <w:szCs w:val="24"/>
                <w:lang w:val="en-GB"/>
              </w:rPr>
            </w:pPr>
            <w:r w:rsidRPr="007B69F7">
              <w:rPr>
                <w:rFonts w:ascii="Arial Narrow" w:hAnsi="Arial Narrow" w:cs="Times New Roman"/>
                <w:sz w:val="24"/>
                <w:szCs w:val="24"/>
                <w:lang w:val="en-GB"/>
              </w:rPr>
              <w:t>1981</w:t>
            </w:r>
          </w:p>
        </w:tc>
      </w:tr>
      <w:tr w:rsidR="000978C1" w:rsidRPr="007B69F7" w14:paraId="5A169B47" w14:textId="77777777" w:rsidTr="005A72E6">
        <w:trPr>
          <w:jc w:val="center"/>
        </w:trPr>
        <w:tc>
          <w:tcPr>
            <w:tcW w:w="1839" w:type="dxa"/>
          </w:tcPr>
          <w:p w14:paraId="0A706B2A" w14:textId="77777777" w:rsidR="000978C1" w:rsidRPr="007B69F7" w:rsidRDefault="000978C1" w:rsidP="005A72E6">
            <w:pPr>
              <w:ind w:firstLine="39"/>
              <w:jc w:val="both"/>
              <w:rPr>
                <w:rFonts w:ascii="Arial Narrow" w:hAnsi="Arial Narrow" w:cs="Times New Roman"/>
                <w:sz w:val="24"/>
                <w:szCs w:val="24"/>
                <w:lang w:val="en-GB"/>
              </w:rPr>
            </w:pPr>
            <w:r w:rsidRPr="007B69F7">
              <w:rPr>
                <w:rFonts w:ascii="Arial Narrow" w:hAnsi="Arial Narrow" w:cs="Times New Roman"/>
                <w:sz w:val="24"/>
                <w:szCs w:val="24"/>
                <w:lang w:val="en-GB"/>
              </w:rPr>
              <w:t>Umm Al Quwain</w:t>
            </w:r>
          </w:p>
        </w:tc>
        <w:tc>
          <w:tcPr>
            <w:tcW w:w="1416" w:type="dxa"/>
          </w:tcPr>
          <w:p w14:paraId="15CBF38A" w14:textId="77777777" w:rsidR="000978C1" w:rsidRPr="007B69F7" w:rsidRDefault="000978C1" w:rsidP="005A72E6">
            <w:pPr>
              <w:ind w:right="-110" w:firstLine="39"/>
              <w:jc w:val="both"/>
              <w:rPr>
                <w:rFonts w:ascii="Arial Narrow" w:hAnsi="Arial Narrow" w:cs="Times New Roman"/>
                <w:sz w:val="24"/>
                <w:szCs w:val="24"/>
                <w:lang w:val="en-GB"/>
              </w:rPr>
            </w:pPr>
            <w:r w:rsidRPr="007B69F7">
              <w:rPr>
                <w:rFonts w:ascii="Arial Narrow" w:eastAsia="Times New Roman" w:hAnsi="Arial Narrow" w:cs="Times New Roman"/>
                <w:spacing w:val="3"/>
                <w:sz w:val="24"/>
                <w:szCs w:val="24"/>
                <w:lang w:val="en-AE" w:eastAsia="en-AE"/>
              </w:rPr>
              <w:t>Al Mualla</w:t>
            </w:r>
          </w:p>
        </w:tc>
        <w:tc>
          <w:tcPr>
            <w:tcW w:w="4514" w:type="dxa"/>
          </w:tcPr>
          <w:p w14:paraId="4C4AC156" w14:textId="77777777" w:rsidR="000978C1" w:rsidRPr="007B69F7" w:rsidRDefault="000978C1" w:rsidP="005A72E6">
            <w:pPr>
              <w:ind w:firstLine="39"/>
              <w:jc w:val="both"/>
              <w:rPr>
                <w:rFonts w:ascii="Arial Narrow" w:hAnsi="Arial Narrow" w:cs="Times New Roman"/>
                <w:sz w:val="24"/>
                <w:szCs w:val="24"/>
                <w:lang w:val="en-GB"/>
              </w:rPr>
            </w:pPr>
            <w:r w:rsidRPr="007B69F7">
              <w:rPr>
                <w:rFonts w:ascii="Arial Narrow" w:eastAsia="Times New Roman" w:hAnsi="Arial Narrow" w:cs="Times New Roman"/>
                <w:spacing w:val="3"/>
                <w:sz w:val="24"/>
                <w:szCs w:val="24"/>
                <w:lang w:val="en-AE" w:eastAsia="en-AE"/>
              </w:rPr>
              <w:t>HH Sheikh Saud bin Rashid Al Mualla</w:t>
            </w:r>
          </w:p>
        </w:tc>
        <w:tc>
          <w:tcPr>
            <w:tcW w:w="1162" w:type="dxa"/>
          </w:tcPr>
          <w:p w14:paraId="6AE7CFAA" w14:textId="77777777" w:rsidR="000978C1" w:rsidRPr="007B69F7" w:rsidRDefault="000978C1" w:rsidP="005A72E6">
            <w:pPr>
              <w:ind w:firstLine="39"/>
              <w:jc w:val="center"/>
              <w:rPr>
                <w:rFonts w:ascii="Arial Narrow" w:hAnsi="Arial Narrow" w:cs="Times New Roman"/>
                <w:sz w:val="24"/>
                <w:szCs w:val="24"/>
                <w:lang w:val="en-GB"/>
              </w:rPr>
            </w:pPr>
            <w:r w:rsidRPr="007B69F7">
              <w:rPr>
                <w:rFonts w:ascii="Arial Narrow" w:hAnsi="Arial Narrow" w:cs="Times New Roman"/>
                <w:sz w:val="24"/>
                <w:szCs w:val="24"/>
                <w:lang w:val="en-GB"/>
              </w:rPr>
              <w:t>1982</w:t>
            </w:r>
          </w:p>
        </w:tc>
      </w:tr>
    </w:tbl>
    <w:p w14:paraId="25EE2BAF" w14:textId="77777777" w:rsidR="00DA7EB8" w:rsidRPr="007B69F7" w:rsidRDefault="00DA7EB8" w:rsidP="0010098F">
      <w:pPr>
        <w:spacing w:after="0" w:line="240" w:lineRule="auto"/>
        <w:ind w:firstLine="567"/>
        <w:jc w:val="both"/>
        <w:rPr>
          <w:rFonts w:ascii="Arial Narrow" w:hAnsi="Arial Narrow" w:cs="Times New Roman"/>
          <w:sz w:val="24"/>
          <w:szCs w:val="24"/>
          <w:lang w:val="en-GB"/>
        </w:rPr>
      </w:pPr>
    </w:p>
    <w:p w14:paraId="762791F7" w14:textId="64B93325" w:rsidR="00DA7EB8" w:rsidRPr="007B69F7" w:rsidRDefault="00F94548" w:rsidP="00567BCF">
      <w:pPr>
        <w:ind w:firstLine="567"/>
        <w:jc w:val="both"/>
        <w:rPr>
          <w:rFonts w:ascii="Arial Narrow" w:hAnsi="Arial Narrow" w:cs="Times New Roman"/>
          <w:sz w:val="24"/>
          <w:szCs w:val="24"/>
        </w:rPr>
      </w:pPr>
      <w:r w:rsidRPr="007B69F7">
        <w:rPr>
          <w:rFonts w:ascii="Arial Narrow" w:hAnsi="Arial Narrow" w:cs="Times New Roman"/>
          <w:sz w:val="24"/>
          <w:szCs w:val="24"/>
        </w:rPr>
        <w:t>Επισημαίνεται ότι κ</w:t>
      </w:r>
      <w:r w:rsidR="00DA7EB8" w:rsidRPr="007B69F7">
        <w:rPr>
          <w:rFonts w:ascii="Arial Narrow" w:hAnsi="Arial Narrow" w:cs="Times New Roman"/>
          <w:sz w:val="24"/>
          <w:szCs w:val="24"/>
        </w:rPr>
        <w:t xml:space="preserve">άθε Εμιράτο διαθέτει σημαντικό βαθμό </w:t>
      </w:r>
      <w:r w:rsidR="00DA7EB8" w:rsidRPr="007B69F7">
        <w:rPr>
          <w:rFonts w:ascii="Arial Narrow" w:hAnsi="Arial Narrow" w:cs="Times New Roman"/>
          <w:b/>
          <w:sz w:val="24"/>
          <w:szCs w:val="24"/>
        </w:rPr>
        <w:t>αυτονομίας</w:t>
      </w:r>
      <w:r w:rsidR="00E23C63" w:rsidRPr="007B69F7">
        <w:rPr>
          <w:rFonts w:ascii="Arial Narrow" w:hAnsi="Arial Narrow" w:cs="Times New Roman"/>
          <w:sz w:val="24"/>
          <w:szCs w:val="24"/>
        </w:rPr>
        <w:t xml:space="preserve"> και υιοθετεί ξεχωριστή πολιτική σε τομείς ειδικού ενδιαφέροντος</w:t>
      </w:r>
      <w:r w:rsidR="00F849BE" w:rsidRPr="007B69F7">
        <w:rPr>
          <w:rFonts w:ascii="Arial Narrow" w:hAnsi="Arial Narrow" w:cs="Times New Roman"/>
          <w:sz w:val="24"/>
          <w:szCs w:val="24"/>
        </w:rPr>
        <w:t xml:space="preserve">, αφού </w:t>
      </w:r>
      <w:r w:rsidR="00DA7EB8" w:rsidRPr="007B69F7">
        <w:rPr>
          <w:rFonts w:ascii="Arial Narrow" w:hAnsi="Arial Narrow" w:cs="Times New Roman"/>
          <w:sz w:val="24"/>
          <w:szCs w:val="24"/>
        </w:rPr>
        <w:t xml:space="preserve">ο </w:t>
      </w:r>
      <w:r w:rsidR="00747722" w:rsidRPr="007B69F7">
        <w:rPr>
          <w:rFonts w:ascii="Arial Narrow" w:hAnsi="Arial Narrow" w:cs="Times New Roman"/>
          <w:sz w:val="24"/>
          <w:szCs w:val="24"/>
        </w:rPr>
        <w:t>τοπικός</w:t>
      </w:r>
      <w:r w:rsidR="00DA7EB8" w:rsidRPr="007B69F7">
        <w:rPr>
          <w:rFonts w:ascii="Arial Narrow" w:hAnsi="Arial Narrow" w:cs="Times New Roman"/>
          <w:sz w:val="24"/>
          <w:szCs w:val="24"/>
        </w:rPr>
        <w:t xml:space="preserve"> Ηγεμόνας/Σεΐχης </w:t>
      </w:r>
      <w:r w:rsidR="00F849BE" w:rsidRPr="007B69F7">
        <w:rPr>
          <w:rFonts w:ascii="Arial Narrow" w:hAnsi="Arial Narrow" w:cs="Times New Roman"/>
          <w:sz w:val="24"/>
          <w:szCs w:val="24"/>
        </w:rPr>
        <w:t xml:space="preserve">του </w:t>
      </w:r>
      <w:r w:rsidR="00DA7EB8" w:rsidRPr="007B69F7">
        <w:rPr>
          <w:rFonts w:ascii="Arial Narrow" w:hAnsi="Arial Narrow" w:cs="Times New Roman"/>
          <w:sz w:val="24"/>
          <w:szCs w:val="24"/>
        </w:rPr>
        <w:t xml:space="preserve">έχει το δικαίωμα να εκδίδει νόμους και διατάγματα με ισχύ στο έδαφος του </w:t>
      </w:r>
      <w:r w:rsidRPr="007B69F7">
        <w:rPr>
          <w:rFonts w:ascii="Arial Narrow" w:hAnsi="Arial Narrow" w:cs="Times New Roman"/>
          <w:sz w:val="24"/>
          <w:szCs w:val="24"/>
        </w:rPr>
        <w:t>Ε</w:t>
      </w:r>
      <w:r w:rsidR="00DA7EB8" w:rsidRPr="007B69F7">
        <w:rPr>
          <w:rFonts w:ascii="Arial Narrow" w:hAnsi="Arial Narrow" w:cs="Times New Roman"/>
          <w:sz w:val="24"/>
          <w:szCs w:val="24"/>
        </w:rPr>
        <w:t>μιράτου του</w:t>
      </w:r>
      <w:r w:rsidR="00E23C63" w:rsidRPr="007B69F7">
        <w:rPr>
          <w:rFonts w:ascii="Arial Narrow" w:hAnsi="Arial Narrow" w:cs="Times New Roman"/>
          <w:sz w:val="24"/>
          <w:szCs w:val="24"/>
        </w:rPr>
        <w:t>.</w:t>
      </w:r>
      <w:r w:rsidR="00047527" w:rsidRPr="007B69F7">
        <w:rPr>
          <w:rFonts w:ascii="Arial Narrow" w:hAnsi="Arial Narrow" w:cs="Times New Roman"/>
          <w:sz w:val="24"/>
          <w:szCs w:val="24"/>
        </w:rPr>
        <w:t xml:space="preserve"> </w:t>
      </w:r>
      <w:r w:rsidR="00DA7EB8" w:rsidRPr="007B69F7">
        <w:rPr>
          <w:rFonts w:ascii="Arial Narrow" w:hAnsi="Arial Narrow" w:cs="Times New Roman"/>
          <w:sz w:val="24"/>
          <w:szCs w:val="24"/>
        </w:rPr>
        <w:t xml:space="preserve">Οι </w:t>
      </w:r>
      <w:r w:rsidR="001C1D61" w:rsidRPr="007B69F7">
        <w:rPr>
          <w:rFonts w:ascii="Arial Narrow" w:hAnsi="Arial Narrow" w:cs="Times New Roman"/>
          <w:sz w:val="24"/>
          <w:szCs w:val="24"/>
        </w:rPr>
        <w:t>Τ</w:t>
      </w:r>
      <w:r w:rsidR="00DA7EB8" w:rsidRPr="007B69F7">
        <w:rPr>
          <w:rFonts w:ascii="Arial Narrow" w:hAnsi="Arial Narrow" w:cs="Times New Roman"/>
          <w:sz w:val="24"/>
          <w:szCs w:val="24"/>
        </w:rPr>
        <w:t xml:space="preserve">οπικές </w:t>
      </w:r>
      <w:r w:rsidR="001C1D61" w:rsidRPr="007B69F7">
        <w:rPr>
          <w:rFonts w:ascii="Arial Narrow" w:hAnsi="Arial Narrow" w:cs="Times New Roman"/>
          <w:sz w:val="24"/>
          <w:szCs w:val="24"/>
        </w:rPr>
        <w:t>Κ</w:t>
      </w:r>
      <w:r w:rsidR="00DA7EB8" w:rsidRPr="007B69F7">
        <w:rPr>
          <w:rFonts w:ascii="Arial Narrow" w:hAnsi="Arial Narrow" w:cs="Times New Roman"/>
          <w:sz w:val="24"/>
          <w:szCs w:val="24"/>
        </w:rPr>
        <w:t xml:space="preserve">υβερνήσεις μέσω των κρατικών εταιρειών και </w:t>
      </w:r>
      <w:r w:rsidR="00CB2D4A" w:rsidRPr="007B69F7">
        <w:rPr>
          <w:rFonts w:ascii="Arial Narrow" w:hAnsi="Arial Narrow" w:cs="Times New Roman"/>
          <w:sz w:val="24"/>
          <w:szCs w:val="24"/>
        </w:rPr>
        <w:t xml:space="preserve">τοπικών </w:t>
      </w:r>
      <w:r w:rsidR="00DA7EB8" w:rsidRPr="007B69F7">
        <w:rPr>
          <w:rFonts w:ascii="Arial Narrow" w:hAnsi="Arial Narrow" w:cs="Times New Roman"/>
          <w:sz w:val="24"/>
          <w:szCs w:val="24"/>
        </w:rPr>
        <w:t xml:space="preserve">Αρχών </w:t>
      </w:r>
      <w:r w:rsidR="00CB2D4A" w:rsidRPr="007B69F7">
        <w:rPr>
          <w:rFonts w:ascii="Arial Narrow" w:hAnsi="Arial Narrow" w:cs="Times New Roman"/>
          <w:sz w:val="24"/>
          <w:szCs w:val="24"/>
        </w:rPr>
        <w:t xml:space="preserve">τους </w:t>
      </w:r>
      <w:r w:rsidR="00DA7EB8" w:rsidRPr="007B69F7">
        <w:rPr>
          <w:rFonts w:ascii="Arial Narrow" w:hAnsi="Arial Narrow" w:cs="Times New Roman"/>
          <w:sz w:val="24"/>
          <w:szCs w:val="24"/>
        </w:rPr>
        <w:t>ασκούν διοίκηση</w:t>
      </w:r>
      <w:r w:rsidR="00AC4BC0" w:rsidRPr="007B69F7">
        <w:rPr>
          <w:rFonts w:ascii="Arial Narrow" w:hAnsi="Arial Narrow" w:cs="Times New Roman"/>
          <w:sz w:val="24"/>
          <w:szCs w:val="24"/>
        </w:rPr>
        <w:t>,</w:t>
      </w:r>
      <w:r w:rsidR="00BF2768" w:rsidRPr="007B69F7">
        <w:rPr>
          <w:rFonts w:ascii="Arial Narrow" w:hAnsi="Arial Narrow" w:cs="Times New Roman"/>
          <w:sz w:val="24"/>
          <w:szCs w:val="24"/>
        </w:rPr>
        <w:t xml:space="preserve"> βάσει της ομοσπονδιακής και τοπικής νομοθεσίας. Ειδικότερα,</w:t>
      </w:r>
      <w:r w:rsidR="00047527" w:rsidRPr="007B69F7">
        <w:rPr>
          <w:rFonts w:ascii="Arial Narrow" w:hAnsi="Arial Narrow" w:cs="Times New Roman"/>
          <w:sz w:val="24"/>
          <w:szCs w:val="24"/>
        </w:rPr>
        <w:t xml:space="preserve"> </w:t>
      </w:r>
      <w:r w:rsidR="00DA7EB8" w:rsidRPr="007B69F7">
        <w:rPr>
          <w:rFonts w:ascii="Arial Narrow" w:hAnsi="Arial Narrow" w:cs="Times New Roman"/>
          <w:sz w:val="24"/>
          <w:szCs w:val="24"/>
        </w:rPr>
        <w:t xml:space="preserve">εκδίδουν άδειες λειτουργίας των </w:t>
      </w:r>
      <w:r w:rsidR="00A75A7F" w:rsidRPr="007B69F7">
        <w:rPr>
          <w:rFonts w:ascii="Arial Narrow" w:hAnsi="Arial Narrow" w:cs="Times New Roman"/>
          <w:sz w:val="24"/>
          <w:szCs w:val="24"/>
        </w:rPr>
        <w:t xml:space="preserve">τοπικών </w:t>
      </w:r>
      <w:r w:rsidR="00DA7EB8" w:rsidRPr="007B69F7">
        <w:rPr>
          <w:rFonts w:ascii="Arial Narrow" w:hAnsi="Arial Narrow" w:cs="Times New Roman"/>
          <w:sz w:val="24"/>
          <w:szCs w:val="24"/>
        </w:rPr>
        <w:t>επιχειρήσεων (</w:t>
      </w:r>
      <w:r w:rsidR="00DA7EB8" w:rsidRPr="007B69F7">
        <w:rPr>
          <w:rFonts w:ascii="Arial Narrow" w:hAnsi="Arial Narrow" w:cs="Times New Roman"/>
          <w:b/>
          <w:sz w:val="24"/>
          <w:szCs w:val="24"/>
          <w:lang w:val="en-GB"/>
        </w:rPr>
        <w:t>Department</w:t>
      </w:r>
      <w:r w:rsidR="004D55F7" w:rsidRPr="007B69F7">
        <w:rPr>
          <w:rFonts w:ascii="Arial Narrow" w:hAnsi="Arial Narrow" w:cs="Times New Roman"/>
          <w:b/>
          <w:sz w:val="24"/>
          <w:szCs w:val="24"/>
          <w:lang w:val="en-GB"/>
        </w:rPr>
        <w:t>s</w:t>
      </w:r>
      <w:r w:rsidR="00DA7EB8" w:rsidRPr="007B69F7">
        <w:rPr>
          <w:rFonts w:ascii="Arial Narrow" w:hAnsi="Arial Narrow" w:cs="Times New Roman"/>
          <w:b/>
          <w:sz w:val="24"/>
          <w:szCs w:val="24"/>
        </w:rPr>
        <w:t xml:space="preserve"> </w:t>
      </w:r>
      <w:r w:rsidR="00DA7EB8" w:rsidRPr="007B69F7">
        <w:rPr>
          <w:rFonts w:ascii="Arial Narrow" w:hAnsi="Arial Narrow" w:cs="Times New Roman"/>
          <w:b/>
          <w:sz w:val="24"/>
          <w:szCs w:val="24"/>
          <w:lang w:val="en-GB"/>
        </w:rPr>
        <w:t>of</w:t>
      </w:r>
      <w:r w:rsidR="00DA7EB8" w:rsidRPr="007B69F7">
        <w:rPr>
          <w:rFonts w:ascii="Arial Narrow" w:hAnsi="Arial Narrow" w:cs="Times New Roman"/>
          <w:b/>
          <w:sz w:val="24"/>
          <w:szCs w:val="24"/>
        </w:rPr>
        <w:t xml:space="preserve"> </w:t>
      </w:r>
      <w:r w:rsidR="00DA7EB8" w:rsidRPr="007B69F7">
        <w:rPr>
          <w:rFonts w:ascii="Arial Narrow" w:hAnsi="Arial Narrow" w:cs="Times New Roman"/>
          <w:b/>
          <w:sz w:val="24"/>
          <w:szCs w:val="24"/>
          <w:lang w:val="en-GB"/>
        </w:rPr>
        <w:t>Economic</w:t>
      </w:r>
      <w:r w:rsidR="00DA7EB8" w:rsidRPr="007B69F7">
        <w:rPr>
          <w:rFonts w:ascii="Arial Narrow" w:hAnsi="Arial Narrow" w:cs="Times New Roman"/>
          <w:b/>
          <w:sz w:val="24"/>
          <w:szCs w:val="24"/>
        </w:rPr>
        <w:t xml:space="preserve"> </w:t>
      </w:r>
      <w:r w:rsidR="00DA7EB8" w:rsidRPr="007B69F7">
        <w:rPr>
          <w:rFonts w:ascii="Arial Narrow" w:hAnsi="Arial Narrow" w:cs="Times New Roman"/>
          <w:b/>
          <w:sz w:val="24"/>
          <w:szCs w:val="24"/>
          <w:lang w:val="en-GB"/>
        </w:rPr>
        <w:t>Development</w:t>
      </w:r>
      <w:r w:rsidR="005C3812" w:rsidRPr="007B69F7">
        <w:rPr>
          <w:rFonts w:ascii="Arial Narrow" w:hAnsi="Arial Narrow" w:cs="Times New Roman"/>
          <w:b/>
          <w:sz w:val="24"/>
          <w:szCs w:val="24"/>
        </w:rPr>
        <w:t xml:space="preserve"> – </w:t>
      </w:r>
      <w:r w:rsidR="005C3812" w:rsidRPr="007B69F7">
        <w:rPr>
          <w:rFonts w:ascii="Arial Narrow" w:hAnsi="Arial Narrow" w:cs="Times New Roman"/>
          <w:b/>
          <w:sz w:val="24"/>
          <w:szCs w:val="24"/>
          <w:lang w:val="en-US"/>
        </w:rPr>
        <w:t>DED</w:t>
      </w:r>
      <w:r w:rsidR="004D55F7" w:rsidRPr="007B69F7">
        <w:rPr>
          <w:rFonts w:ascii="Arial Narrow" w:hAnsi="Arial Narrow" w:cs="Times New Roman"/>
          <w:b/>
          <w:sz w:val="24"/>
          <w:szCs w:val="24"/>
          <w:lang w:val="en-US"/>
        </w:rPr>
        <w:t>s</w:t>
      </w:r>
      <w:r w:rsidR="00DA7EB8" w:rsidRPr="007B69F7">
        <w:rPr>
          <w:rFonts w:ascii="Arial Narrow" w:hAnsi="Arial Narrow" w:cs="Times New Roman"/>
          <w:sz w:val="24"/>
          <w:szCs w:val="24"/>
        </w:rPr>
        <w:t>), καταχωρούν</w:t>
      </w:r>
      <w:r w:rsidR="00047527" w:rsidRPr="007B69F7">
        <w:rPr>
          <w:rFonts w:ascii="Arial Narrow" w:hAnsi="Arial Narrow" w:cs="Times New Roman"/>
          <w:sz w:val="24"/>
          <w:szCs w:val="24"/>
        </w:rPr>
        <w:t xml:space="preserve"> </w:t>
      </w:r>
      <w:r w:rsidR="009241AB" w:rsidRPr="007B69F7">
        <w:rPr>
          <w:rFonts w:ascii="Arial Narrow" w:hAnsi="Arial Narrow" w:cs="Times New Roman"/>
          <w:sz w:val="24"/>
          <w:szCs w:val="24"/>
        </w:rPr>
        <w:t xml:space="preserve">και </w:t>
      </w:r>
      <w:r w:rsidR="00DA7EB8" w:rsidRPr="007B69F7">
        <w:rPr>
          <w:rFonts w:ascii="Arial Narrow" w:hAnsi="Arial Narrow" w:cs="Times New Roman"/>
          <w:sz w:val="24"/>
          <w:szCs w:val="24"/>
        </w:rPr>
        <w:t>ελέγχουν</w:t>
      </w:r>
      <w:r w:rsidR="00A75A7F" w:rsidRPr="007B69F7">
        <w:rPr>
          <w:rFonts w:ascii="Arial Narrow" w:hAnsi="Arial Narrow" w:cs="Times New Roman"/>
          <w:sz w:val="24"/>
          <w:szCs w:val="24"/>
        </w:rPr>
        <w:t xml:space="preserve"> </w:t>
      </w:r>
      <w:r w:rsidR="00DA7EB8" w:rsidRPr="007B69F7">
        <w:rPr>
          <w:rFonts w:ascii="Arial Narrow" w:hAnsi="Arial Narrow" w:cs="Times New Roman"/>
          <w:sz w:val="24"/>
          <w:szCs w:val="24"/>
        </w:rPr>
        <w:t xml:space="preserve">προϊόντα πριν </w:t>
      </w:r>
      <w:r w:rsidR="00AC4BC0" w:rsidRPr="007B69F7">
        <w:rPr>
          <w:rFonts w:ascii="Arial Narrow" w:hAnsi="Arial Narrow" w:cs="Times New Roman"/>
          <w:sz w:val="24"/>
          <w:szCs w:val="24"/>
        </w:rPr>
        <w:t xml:space="preserve">αυτά </w:t>
      </w:r>
      <w:r w:rsidR="00DA7EB8" w:rsidRPr="007B69F7">
        <w:rPr>
          <w:rFonts w:ascii="Arial Narrow" w:hAnsi="Arial Narrow" w:cs="Times New Roman"/>
          <w:sz w:val="24"/>
          <w:szCs w:val="24"/>
        </w:rPr>
        <w:t>τεθούν σε κυκλοφορία στην αγορά (</w:t>
      </w:r>
      <w:r w:rsidR="00DA7EB8" w:rsidRPr="007B69F7">
        <w:rPr>
          <w:rFonts w:ascii="Arial Narrow" w:hAnsi="Arial Narrow" w:cs="Times New Roman"/>
          <w:b/>
          <w:sz w:val="24"/>
          <w:szCs w:val="24"/>
          <w:lang w:val="en-GB"/>
        </w:rPr>
        <w:t>Municipalities</w:t>
      </w:r>
      <w:r w:rsidR="00DA7EB8" w:rsidRPr="007B69F7">
        <w:rPr>
          <w:rFonts w:ascii="Arial Narrow" w:hAnsi="Arial Narrow" w:cs="Times New Roman"/>
          <w:sz w:val="24"/>
          <w:szCs w:val="24"/>
        </w:rPr>
        <w:t>)</w:t>
      </w:r>
      <w:r w:rsidR="002D67CE" w:rsidRPr="007B69F7">
        <w:rPr>
          <w:rFonts w:ascii="Arial Narrow" w:hAnsi="Arial Narrow" w:cs="Times New Roman"/>
          <w:sz w:val="24"/>
          <w:szCs w:val="24"/>
        </w:rPr>
        <w:t xml:space="preserve"> και </w:t>
      </w:r>
      <w:r w:rsidR="00DA7EB8" w:rsidRPr="007B69F7">
        <w:rPr>
          <w:rFonts w:ascii="Arial Narrow" w:hAnsi="Arial Narrow" w:cs="Times New Roman"/>
          <w:sz w:val="24"/>
          <w:szCs w:val="24"/>
        </w:rPr>
        <w:t>παρέχουν υπηρεσίες κοινής ωφελείας</w:t>
      </w:r>
      <w:r w:rsidR="009241AB" w:rsidRPr="007B69F7">
        <w:rPr>
          <w:rFonts w:ascii="Arial Narrow" w:hAnsi="Arial Narrow" w:cs="Times New Roman"/>
          <w:sz w:val="24"/>
          <w:szCs w:val="24"/>
        </w:rPr>
        <w:t>.</w:t>
      </w:r>
      <w:r w:rsidR="00DA7EB8" w:rsidRPr="007B69F7">
        <w:rPr>
          <w:rFonts w:ascii="Arial Narrow" w:hAnsi="Arial Narrow" w:cs="Times New Roman"/>
          <w:sz w:val="24"/>
          <w:szCs w:val="24"/>
        </w:rPr>
        <w:t xml:space="preserve"> </w:t>
      </w:r>
    </w:p>
    <w:p w14:paraId="67179AD4" w14:textId="41A81EB3" w:rsidR="00DA7EB8" w:rsidRPr="007B69F7" w:rsidRDefault="000F0EE1" w:rsidP="00567BCF">
      <w:pPr>
        <w:ind w:firstLine="567"/>
        <w:jc w:val="both"/>
        <w:rPr>
          <w:rFonts w:ascii="Arial Narrow" w:hAnsi="Arial Narrow" w:cs="Times New Roman"/>
          <w:sz w:val="24"/>
          <w:szCs w:val="24"/>
        </w:rPr>
      </w:pPr>
      <w:r w:rsidRPr="007B69F7">
        <w:rPr>
          <w:rFonts w:ascii="Arial Narrow" w:hAnsi="Arial Narrow" w:cs="Times New Roman"/>
          <w:sz w:val="24"/>
          <w:szCs w:val="24"/>
        </w:rPr>
        <w:t>Επιπλέον, υ</w:t>
      </w:r>
      <w:r w:rsidR="006A7B90" w:rsidRPr="007B69F7">
        <w:rPr>
          <w:rFonts w:ascii="Arial Narrow" w:hAnsi="Arial Narrow" w:cs="Times New Roman"/>
          <w:sz w:val="24"/>
          <w:szCs w:val="24"/>
        </w:rPr>
        <w:t>πογραμμίζεται ότι υφίστανται</w:t>
      </w:r>
      <w:r w:rsidR="00AC4BC0" w:rsidRPr="007B69F7">
        <w:rPr>
          <w:rFonts w:ascii="Arial Narrow" w:hAnsi="Arial Narrow" w:cs="Times New Roman"/>
          <w:sz w:val="24"/>
          <w:szCs w:val="24"/>
        </w:rPr>
        <w:t xml:space="preserve"> </w:t>
      </w:r>
      <w:r w:rsidR="006A7B90" w:rsidRPr="007B69F7">
        <w:rPr>
          <w:rFonts w:ascii="Arial Narrow" w:hAnsi="Arial Narrow" w:cs="Times New Roman"/>
          <w:sz w:val="24"/>
          <w:szCs w:val="24"/>
        </w:rPr>
        <w:t xml:space="preserve">σημαντικές διαφοροποιήσεις </w:t>
      </w:r>
      <w:r w:rsidR="00C86EF4" w:rsidRPr="007B69F7">
        <w:rPr>
          <w:rFonts w:ascii="Arial Narrow" w:hAnsi="Arial Narrow" w:cs="Times New Roman"/>
          <w:sz w:val="24"/>
          <w:szCs w:val="24"/>
        </w:rPr>
        <w:t xml:space="preserve">μεταξύ των 7 Εμιράτων </w:t>
      </w:r>
      <w:r w:rsidR="00AC4BC0" w:rsidRPr="007B69F7">
        <w:rPr>
          <w:rFonts w:ascii="Arial Narrow" w:hAnsi="Arial Narrow" w:cs="Times New Roman"/>
          <w:sz w:val="24"/>
          <w:szCs w:val="24"/>
        </w:rPr>
        <w:t xml:space="preserve">και </w:t>
      </w:r>
      <w:r w:rsidR="006A7B90" w:rsidRPr="007B69F7">
        <w:rPr>
          <w:rFonts w:ascii="Arial Narrow" w:hAnsi="Arial Narrow" w:cs="Times New Roman"/>
          <w:sz w:val="24"/>
          <w:szCs w:val="24"/>
        </w:rPr>
        <w:t>ως προς το</w:t>
      </w:r>
      <w:r w:rsidR="0094577B" w:rsidRPr="007B69F7">
        <w:rPr>
          <w:rFonts w:ascii="Arial Narrow" w:hAnsi="Arial Narrow" w:cs="Times New Roman"/>
          <w:sz w:val="24"/>
          <w:szCs w:val="24"/>
        </w:rPr>
        <w:t>ν</w:t>
      </w:r>
      <w:r w:rsidR="006A7B90" w:rsidRPr="007B69F7">
        <w:rPr>
          <w:rFonts w:ascii="Arial Narrow" w:hAnsi="Arial Narrow" w:cs="Times New Roman"/>
          <w:sz w:val="24"/>
          <w:szCs w:val="24"/>
        </w:rPr>
        <w:t xml:space="preserve"> </w:t>
      </w:r>
      <w:r w:rsidR="00DA7EB8" w:rsidRPr="007B69F7">
        <w:rPr>
          <w:rFonts w:ascii="Arial Narrow" w:hAnsi="Arial Narrow" w:cs="Times New Roman"/>
          <w:sz w:val="24"/>
          <w:szCs w:val="24"/>
        </w:rPr>
        <w:t xml:space="preserve">βαθμό </w:t>
      </w:r>
      <w:r w:rsidR="00086BCC" w:rsidRPr="007B69F7">
        <w:rPr>
          <w:rFonts w:ascii="Arial Narrow" w:hAnsi="Arial Narrow" w:cs="Times New Roman"/>
          <w:sz w:val="24"/>
          <w:szCs w:val="24"/>
        </w:rPr>
        <w:t xml:space="preserve">εξωστρέφειας, </w:t>
      </w:r>
      <w:r w:rsidR="00DA7EB8" w:rsidRPr="007B69F7">
        <w:rPr>
          <w:rFonts w:ascii="Arial Narrow" w:hAnsi="Arial Narrow" w:cs="Times New Roman"/>
          <w:b/>
          <w:sz w:val="24"/>
          <w:szCs w:val="24"/>
        </w:rPr>
        <w:t>ελευθερίας και ανεκτικότητας</w:t>
      </w:r>
      <w:r w:rsidR="00DA7EB8" w:rsidRPr="007B69F7">
        <w:rPr>
          <w:rFonts w:ascii="Arial Narrow" w:hAnsi="Arial Narrow" w:cs="Times New Roman"/>
          <w:sz w:val="24"/>
          <w:szCs w:val="24"/>
        </w:rPr>
        <w:t xml:space="preserve"> </w:t>
      </w:r>
      <w:r w:rsidR="00C86EF4" w:rsidRPr="007B69F7">
        <w:rPr>
          <w:rFonts w:ascii="Arial Narrow" w:hAnsi="Arial Narrow" w:cs="Times New Roman"/>
          <w:sz w:val="24"/>
          <w:szCs w:val="24"/>
        </w:rPr>
        <w:t xml:space="preserve">της δυτικής κουλτούρας σε όλες τις εκφάνσεις της καθημερινής ζωής, όπως για παράδειγμα </w:t>
      </w:r>
      <w:r w:rsidR="00DA7EB8" w:rsidRPr="007B69F7">
        <w:rPr>
          <w:rFonts w:ascii="Arial Narrow" w:hAnsi="Arial Narrow" w:cs="Times New Roman"/>
          <w:sz w:val="24"/>
          <w:szCs w:val="24"/>
        </w:rPr>
        <w:t>στον τρόπο ενδυμασίας, στην κατανάλωση ή μη αλκοόλ κ.</w:t>
      </w:r>
      <w:r w:rsidR="00AC4BC0" w:rsidRPr="007B69F7">
        <w:rPr>
          <w:rFonts w:ascii="Arial Narrow" w:hAnsi="Arial Narrow" w:cs="Times New Roman"/>
          <w:sz w:val="24"/>
          <w:szCs w:val="24"/>
        </w:rPr>
        <w:t>λπ</w:t>
      </w:r>
      <w:r w:rsidR="00DA7EB8" w:rsidRPr="007B69F7">
        <w:rPr>
          <w:rFonts w:ascii="Arial Narrow" w:hAnsi="Arial Narrow" w:cs="Times New Roman"/>
          <w:sz w:val="24"/>
          <w:szCs w:val="24"/>
        </w:rPr>
        <w:t>.</w:t>
      </w:r>
      <w:r w:rsidR="00554E43" w:rsidRPr="007B69F7">
        <w:rPr>
          <w:rFonts w:ascii="Arial Narrow" w:hAnsi="Arial Narrow" w:cs="Times New Roman"/>
          <w:sz w:val="24"/>
          <w:szCs w:val="24"/>
        </w:rPr>
        <w:t xml:space="preserve"> Ωστόσο, επισημαίνεται η επιθυμία των Ηγεμόνων των 7 Εμιράτων για διαμόρφωση </w:t>
      </w:r>
      <w:r w:rsidR="00554E43" w:rsidRPr="007B69F7">
        <w:rPr>
          <w:rFonts w:ascii="Arial Narrow" w:hAnsi="Arial Narrow" w:cs="Times New Roman"/>
          <w:b/>
          <w:sz w:val="24"/>
          <w:szCs w:val="24"/>
        </w:rPr>
        <w:t>ενιαίων πολιτικών</w:t>
      </w:r>
      <w:r w:rsidR="00554E43" w:rsidRPr="007B69F7">
        <w:rPr>
          <w:rFonts w:ascii="Arial Narrow" w:hAnsi="Arial Narrow" w:cs="Times New Roman"/>
          <w:sz w:val="24"/>
          <w:szCs w:val="24"/>
        </w:rPr>
        <w:t xml:space="preserve">, </w:t>
      </w:r>
      <w:r w:rsidR="005A0A13" w:rsidRPr="007B69F7">
        <w:rPr>
          <w:rFonts w:ascii="Arial Narrow" w:hAnsi="Arial Narrow" w:cs="Times New Roman"/>
          <w:sz w:val="24"/>
          <w:szCs w:val="24"/>
        </w:rPr>
        <w:t>βάσει της λογικής ε</w:t>
      </w:r>
      <w:r w:rsidR="00DC09CF" w:rsidRPr="007B69F7">
        <w:rPr>
          <w:rFonts w:ascii="Arial Narrow" w:hAnsi="Arial Narrow" w:cs="Times New Roman"/>
          <w:sz w:val="24"/>
          <w:szCs w:val="24"/>
        </w:rPr>
        <w:t>νίσχυση</w:t>
      </w:r>
      <w:r w:rsidR="005A0A13" w:rsidRPr="007B69F7">
        <w:rPr>
          <w:rFonts w:ascii="Arial Narrow" w:hAnsi="Arial Narrow" w:cs="Times New Roman"/>
          <w:sz w:val="24"/>
          <w:szCs w:val="24"/>
        </w:rPr>
        <w:t>ς</w:t>
      </w:r>
      <w:r w:rsidR="00DC09CF" w:rsidRPr="007B69F7">
        <w:rPr>
          <w:rFonts w:ascii="Arial Narrow" w:hAnsi="Arial Narrow" w:cs="Times New Roman"/>
          <w:sz w:val="24"/>
          <w:szCs w:val="24"/>
        </w:rPr>
        <w:t xml:space="preserve"> </w:t>
      </w:r>
      <w:r w:rsidR="005A0A13" w:rsidRPr="007B69F7">
        <w:rPr>
          <w:rFonts w:ascii="Arial Narrow" w:hAnsi="Arial Narrow" w:cs="Times New Roman"/>
          <w:sz w:val="24"/>
          <w:szCs w:val="24"/>
        </w:rPr>
        <w:t xml:space="preserve">της </w:t>
      </w:r>
      <w:r w:rsidR="00DC09CF" w:rsidRPr="007B69F7">
        <w:rPr>
          <w:rFonts w:ascii="Arial Narrow" w:hAnsi="Arial Narrow" w:cs="Times New Roman"/>
          <w:sz w:val="24"/>
          <w:szCs w:val="24"/>
        </w:rPr>
        <w:t xml:space="preserve">ενότητας </w:t>
      </w:r>
      <w:r w:rsidR="005A0A13" w:rsidRPr="007B69F7">
        <w:rPr>
          <w:rFonts w:ascii="Arial Narrow" w:hAnsi="Arial Narrow" w:cs="Times New Roman"/>
          <w:sz w:val="24"/>
          <w:szCs w:val="24"/>
        </w:rPr>
        <w:t xml:space="preserve">των </w:t>
      </w:r>
      <w:r w:rsidR="00DC09CF" w:rsidRPr="007B69F7">
        <w:rPr>
          <w:rFonts w:ascii="Arial Narrow" w:hAnsi="Arial Narrow" w:cs="Times New Roman"/>
          <w:sz w:val="24"/>
          <w:szCs w:val="24"/>
        </w:rPr>
        <w:t>Εμιράτων</w:t>
      </w:r>
      <w:r w:rsidR="005A0A13" w:rsidRPr="007B69F7">
        <w:rPr>
          <w:rFonts w:ascii="Arial Narrow" w:hAnsi="Arial Narrow" w:cs="Times New Roman"/>
          <w:sz w:val="24"/>
          <w:szCs w:val="24"/>
        </w:rPr>
        <w:t xml:space="preserve">, </w:t>
      </w:r>
      <w:r w:rsidR="00DC09CF" w:rsidRPr="007B69F7">
        <w:rPr>
          <w:rFonts w:ascii="Arial Narrow" w:hAnsi="Arial Narrow" w:cs="Times New Roman"/>
          <w:sz w:val="24"/>
          <w:szCs w:val="24"/>
        </w:rPr>
        <w:t>οποία αποτελεί ύψιστη προτεραιότ</w:t>
      </w:r>
      <w:r w:rsidR="009F25B6" w:rsidRPr="007B69F7">
        <w:rPr>
          <w:rFonts w:ascii="Arial Narrow" w:hAnsi="Arial Narrow" w:cs="Times New Roman"/>
          <w:sz w:val="24"/>
          <w:szCs w:val="24"/>
        </w:rPr>
        <w:t>ητ</w:t>
      </w:r>
      <w:r w:rsidR="00FF27F7" w:rsidRPr="007B69F7">
        <w:rPr>
          <w:rFonts w:ascii="Arial Narrow" w:hAnsi="Arial Narrow" w:cs="Times New Roman"/>
          <w:sz w:val="24"/>
          <w:szCs w:val="24"/>
        </w:rPr>
        <w:t>ά τους.</w:t>
      </w:r>
    </w:p>
    <w:p w14:paraId="253CAC5E" w14:textId="5BF8BF0A" w:rsidR="008C4A4C" w:rsidRPr="007B69F7" w:rsidRDefault="008C4A4C" w:rsidP="00567BCF">
      <w:pPr>
        <w:ind w:firstLine="567"/>
        <w:jc w:val="both"/>
        <w:rPr>
          <w:rFonts w:ascii="Arial Narrow" w:hAnsi="Arial Narrow" w:cs="Times New Roman"/>
          <w:sz w:val="24"/>
          <w:szCs w:val="24"/>
        </w:rPr>
      </w:pPr>
      <w:r w:rsidRPr="007B69F7">
        <w:rPr>
          <w:rFonts w:ascii="Arial Narrow" w:hAnsi="Arial Narrow" w:cs="Times New Roman"/>
          <w:sz w:val="24"/>
          <w:szCs w:val="24"/>
          <w:lang w:val="en-US"/>
        </w:rPr>
        <w:t>E</w:t>
      </w:r>
      <w:r w:rsidRPr="007B69F7">
        <w:rPr>
          <w:rFonts w:ascii="Arial Narrow" w:hAnsi="Arial Narrow" w:cs="Times New Roman"/>
          <w:sz w:val="24"/>
          <w:szCs w:val="24"/>
        </w:rPr>
        <w:t xml:space="preserve">πίσημη θρησκεία των ΗΑΕ είναι ο </w:t>
      </w:r>
      <w:r w:rsidRPr="007B69F7">
        <w:rPr>
          <w:rFonts w:ascii="Arial Narrow" w:hAnsi="Arial Narrow" w:cs="Times New Roman"/>
          <w:b/>
          <w:sz w:val="24"/>
          <w:szCs w:val="24"/>
        </w:rPr>
        <w:t>ισλαμισμός</w:t>
      </w:r>
      <w:r w:rsidRPr="007B69F7">
        <w:rPr>
          <w:rFonts w:ascii="Arial Narrow" w:hAnsi="Arial Narrow" w:cs="Times New Roman"/>
          <w:sz w:val="24"/>
          <w:szCs w:val="24"/>
        </w:rPr>
        <w:t xml:space="preserve">, οπότε ο Νόμος της Σαρίας είναι πρωταρχική πηγή </w:t>
      </w:r>
      <w:r w:rsidR="00C86788" w:rsidRPr="007B69F7">
        <w:rPr>
          <w:rFonts w:ascii="Arial Narrow" w:hAnsi="Arial Narrow" w:cs="Times New Roman"/>
          <w:sz w:val="24"/>
          <w:szCs w:val="24"/>
        </w:rPr>
        <w:t>ο</w:t>
      </w:r>
      <w:r w:rsidRPr="007B69F7">
        <w:rPr>
          <w:rFonts w:ascii="Arial Narrow" w:hAnsi="Arial Narrow" w:cs="Times New Roman"/>
          <w:sz w:val="24"/>
          <w:szCs w:val="24"/>
        </w:rPr>
        <w:t xml:space="preserve">μοσπονδιακής ή </w:t>
      </w:r>
      <w:r w:rsidR="00C86788" w:rsidRPr="007B69F7">
        <w:rPr>
          <w:rFonts w:ascii="Arial Narrow" w:hAnsi="Arial Narrow" w:cs="Times New Roman"/>
          <w:sz w:val="24"/>
          <w:szCs w:val="24"/>
        </w:rPr>
        <w:t>τ</w:t>
      </w:r>
      <w:r w:rsidRPr="007B69F7">
        <w:rPr>
          <w:rFonts w:ascii="Arial Narrow" w:hAnsi="Arial Narrow" w:cs="Times New Roman"/>
          <w:sz w:val="24"/>
          <w:szCs w:val="24"/>
        </w:rPr>
        <w:t xml:space="preserve">οπικής </w:t>
      </w:r>
      <w:r w:rsidR="00C86788" w:rsidRPr="007B69F7">
        <w:rPr>
          <w:rFonts w:ascii="Arial Narrow" w:hAnsi="Arial Narrow" w:cs="Times New Roman"/>
          <w:sz w:val="24"/>
          <w:szCs w:val="24"/>
        </w:rPr>
        <w:t>ν</w:t>
      </w:r>
      <w:r w:rsidRPr="007B69F7">
        <w:rPr>
          <w:rFonts w:ascii="Arial Narrow" w:hAnsi="Arial Narrow" w:cs="Times New Roman"/>
          <w:sz w:val="24"/>
          <w:szCs w:val="24"/>
        </w:rPr>
        <w:t>ομοθεσίας.</w:t>
      </w:r>
      <w:r w:rsidR="00EE3BF2" w:rsidRPr="007B69F7">
        <w:rPr>
          <w:rFonts w:ascii="Arial Narrow" w:hAnsi="Arial Narrow" w:cs="Times New Roman"/>
          <w:sz w:val="24"/>
          <w:szCs w:val="24"/>
        </w:rPr>
        <w:t xml:space="preserve"> Επίσημη γλώσσα του κράτους είναι η </w:t>
      </w:r>
      <w:r w:rsidR="00EE3BF2" w:rsidRPr="007B69F7">
        <w:rPr>
          <w:rFonts w:ascii="Arial Narrow" w:hAnsi="Arial Narrow" w:cs="Times New Roman"/>
          <w:b/>
          <w:sz w:val="24"/>
          <w:szCs w:val="24"/>
        </w:rPr>
        <w:t>αραβική</w:t>
      </w:r>
      <w:r w:rsidR="00EE3BF2" w:rsidRPr="007B69F7">
        <w:rPr>
          <w:rFonts w:ascii="Arial Narrow" w:hAnsi="Arial Narrow" w:cs="Times New Roman"/>
          <w:sz w:val="24"/>
          <w:szCs w:val="24"/>
        </w:rPr>
        <w:t xml:space="preserve">, ενώ η </w:t>
      </w:r>
      <w:r w:rsidR="00EE3BF2" w:rsidRPr="007B69F7">
        <w:rPr>
          <w:rFonts w:ascii="Arial Narrow" w:hAnsi="Arial Narrow" w:cs="Times New Roman"/>
          <w:b/>
          <w:sz w:val="24"/>
          <w:szCs w:val="24"/>
        </w:rPr>
        <w:t xml:space="preserve">αγγλική </w:t>
      </w:r>
      <w:r w:rsidR="00EE3BF2" w:rsidRPr="007B69F7">
        <w:rPr>
          <w:rFonts w:ascii="Arial Narrow" w:hAnsi="Arial Narrow" w:cs="Times New Roman"/>
          <w:sz w:val="24"/>
          <w:szCs w:val="24"/>
        </w:rPr>
        <w:t xml:space="preserve">χρησιμοποιείται παράλληλα σε κρατικά έγγραφα αλλά και ευρέως  στην καθημερινή ζωή. </w:t>
      </w:r>
    </w:p>
    <w:p w14:paraId="5BBBC0DF" w14:textId="54B8D27F" w:rsidR="00A725C8" w:rsidRDefault="0039477B" w:rsidP="00BC22BA">
      <w:pPr>
        <w:ind w:firstLine="567"/>
        <w:jc w:val="both"/>
        <w:rPr>
          <w:rFonts w:ascii="Arial Narrow" w:hAnsi="Arial Narrow" w:cs="Times New Roman"/>
          <w:sz w:val="24"/>
          <w:szCs w:val="24"/>
        </w:rPr>
      </w:pPr>
      <w:r w:rsidRPr="007B69F7">
        <w:rPr>
          <w:rFonts w:ascii="Arial Narrow" w:hAnsi="Arial Narrow" w:cs="Times New Roman"/>
          <w:sz w:val="24"/>
          <w:szCs w:val="24"/>
        </w:rPr>
        <w:t>Τέλος, σ</w:t>
      </w:r>
      <w:r w:rsidR="006316F2" w:rsidRPr="007B69F7">
        <w:rPr>
          <w:rFonts w:ascii="Arial Narrow" w:hAnsi="Arial Narrow" w:cs="Times New Roman"/>
          <w:sz w:val="24"/>
          <w:szCs w:val="24"/>
        </w:rPr>
        <w:t xml:space="preserve">ύμφωνα με </w:t>
      </w:r>
      <w:r w:rsidR="001E202F" w:rsidRPr="007B69F7">
        <w:rPr>
          <w:rFonts w:ascii="Arial Narrow" w:hAnsi="Arial Narrow" w:cs="Times New Roman"/>
          <w:sz w:val="24"/>
          <w:szCs w:val="24"/>
        </w:rPr>
        <w:t>τα πιο πρόσφατα</w:t>
      </w:r>
      <w:r w:rsidR="006D5C6F" w:rsidRPr="007B69F7">
        <w:rPr>
          <w:rFonts w:ascii="Arial Narrow" w:hAnsi="Arial Narrow" w:cs="Times New Roman"/>
          <w:sz w:val="24"/>
          <w:szCs w:val="24"/>
        </w:rPr>
        <w:t xml:space="preserve"> </w:t>
      </w:r>
      <w:r w:rsidR="006316F2" w:rsidRPr="007B69F7">
        <w:rPr>
          <w:rFonts w:ascii="Arial Narrow" w:hAnsi="Arial Narrow" w:cs="Times New Roman"/>
          <w:sz w:val="24"/>
          <w:szCs w:val="24"/>
        </w:rPr>
        <w:t>διαθέσιμα στοιχεία</w:t>
      </w:r>
      <w:r w:rsidR="00271DA4" w:rsidRPr="007B69F7">
        <w:rPr>
          <w:rFonts w:ascii="Arial Narrow" w:hAnsi="Arial Narrow" w:cs="Times New Roman"/>
          <w:sz w:val="24"/>
          <w:szCs w:val="24"/>
        </w:rPr>
        <w:t xml:space="preserve"> του Ομοσπονδιακού Κέντρου Ανταγωνιστικότητας και Στατιστικής των ΗΑΕ (</w:t>
      </w:r>
      <w:r w:rsidR="00271DA4" w:rsidRPr="007B69F7">
        <w:rPr>
          <w:rFonts w:ascii="Arial Narrow" w:hAnsi="Arial Narrow" w:cs="Times New Roman"/>
          <w:sz w:val="24"/>
          <w:szCs w:val="24"/>
          <w:lang w:val="en-US"/>
        </w:rPr>
        <w:t>Federal</w:t>
      </w:r>
      <w:r w:rsidR="00271DA4" w:rsidRPr="007B69F7">
        <w:rPr>
          <w:rFonts w:ascii="Arial Narrow" w:hAnsi="Arial Narrow" w:cs="Times New Roman"/>
          <w:sz w:val="24"/>
          <w:szCs w:val="24"/>
        </w:rPr>
        <w:t xml:space="preserve"> </w:t>
      </w:r>
      <w:r w:rsidR="00271DA4" w:rsidRPr="007B69F7">
        <w:rPr>
          <w:rFonts w:ascii="Arial Narrow" w:hAnsi="Arial Narrow" w:cs="Times New Roman"/>
          <w:sz w:val="24"/>
          <w:szCs w:val="24"/>
          <w:lang w:val="en-US"/>
        </w:rPr>
        <w:t>Competitiveness</w:t>
      </w:r>
      <w:r w:rsidR="00271DA4" w:rsidRPr="007B69F7">
        <w:rPr>
          <w:rFonts w:ascii="Arial Narrow" w:hAnsi="Arial Narrow" w:cs="Times New Roman"/>
          <w:sz w:val="24"/>
          <w:szCs w:val="24"/>
        </w:rPr>
        <w:t xml:space="preserve"> &amp; </w:t>
      </w:r>
      <w:r w:rsidR="00271DA4" w:rsidRPr="007B69F7">
        <w:rPr>
          <w:rFonts w:ascii="Arial Narrow" w:hAnsi="Arial Narrow" w:cs="Times New Roman"/>
          <w:sz w:val="24"/>
          <w:szCs w:val="24"/>
          <w:lang w:val="en-US"/>
        </w:rPr>
        <w:t>Statistics</w:t>
      </w:r>
      <w:r w:rsidR="00271DA4" w:rsidRPr="007B69F7">
        <w:rPr>
          <w:rFonts w:ascii="Arial Narrow" w:hAnsi="Arial Narrow" w:cs="Times New Roman"/>
          <w:sz w:val="24"/>
          <w:szCs w:val="24"/>
        </w:rPr>
        <w:t xml:space="preserve"> </w:t>
      </w:r>
      <w:r w:rsidR="00271DA4" w:rsidRPr="007B69F7">
        <w:rPr>
          <w:rFonts w:ascii="Arial Narrow" w:hAnsi="Arial Narrow" w:cs="Times New Roman"/>
          <w:sz w:val="24"/>
          <w:szCs w:val="24"/>
          <w:lang w:val="en-US"/>
        </w:rPr>
        <w:t>Centre</w:t>
      </w:r>
      <w:r w:rsidR="00271DA4" w:rsidRPr="007B69F7">
        <w:rPr>
          <w:rFonts w:ascii="Arial Narrow" w:hAnsi="Arial Narrow" w:cs="Times New Roman"/>
          <w:sz w:val="24"/>
          <w:szCs w:val="24"/>
        </w:rPr>
        <w:t xml:space="preserve"> – </w:t>
      </w:r>
      <w:r w:rsidR="00271DA4" w:rsidRPr="007B69F7">
        <w:rPr>
          <w:rFonts w:ascii="Arial Narrow" w:hAnsi="Arial Narrow" w:cs="Times New Roman"/>
          <w:sz w:val="24"/>
          <w:szCs w:val="24"/>
          <w:lang w:val="pt-PT"/>
        </w:rPr>
        <w:t>FCSC)</w:t>
      </w:r>
      <w:r w:rsidR="00271DA4" w:rsidRPr="007B69F7">
        <w:rPr>
          <w:rFonts w:ascii="Arial Narrow" w:hAnsi="Arial Narrow" w:cs="Times New Roman"/>
          <w:sz w:val="24"/>
          <w:szCs w:val="24"/>
        </w:rPr>
        <w:t xml:space="preserve"> </w:t>
      </w:r>
      <w:r w:rsidR="00095B34" w:rsidRPr="007B69F7">
        <w:rPr>
          <w:rFonts w:ascii="Arial Narrow" w:hAnsi="Arial Narrow" w:cs="Times New Roman"/>
          <w:sz w:val="24"/>
          <w:szCs w:val="24"/>
        </w:rPr>
        <w:t>για</w:t>
      </w:r>
      <w:r w:rsidR="006D5C6F" w:rsidRPr="007B69F7">
        <w:rPr>
          <w:rFonts w:ascii="Arial Narrow" w:hAnsi="Arial Narrow" w:cs="Times New Roman"/>
          <w:sz w:val="24"/>
          <w:szCs w:val="24"/>
        </w:rPr>
        <w:t xml:space="preserve"> το έτος 202</w:t>
      </w:r>
      <w:r w:rsidR="00271DA4" w:rsidRPr="007B69F7">
        <w:rPr>
          <w:rFonts w:ascii="Arial Narrow" w:hAnsi="Arial Narrow" w:cs="Times New Roman"/>
          <w:sz w:val="24"/>
          <w:szCs w:val="24"/>
        </w:rPr>
        <w:t>3</w:t>
      </w:r>
      <w:r w:rsidR="00E22F53" w:rsidRPr="007B69F7">
        <w:rPr>
          <w:rFonts w:ascii="Arial Narrow" w:hAnsi="Arial Narrow" w:cs="Times New Roman"/>
          <w:sz w:val="24"/>
          <w:szCs w:val="24"/>
        </w:rPr>
        <w:t>,</w:t>
      </w:r>
      <w:r w:rsidR="006316F2" w:rsidRPr="007B69F7">
        <w:rPr>
          <w:rFonts w:ascii="Arial Narrow" w:hAnsi="Arial Narrow" w:cs="Times New Roman"/>
          <w:sz w:val="24"/>
          <w:szCs w:val="24"/>
        </w:rPr>
        <w:t xml:space="preserve"> ο συνολικός πληθυσμός της χώρας ανέρχεται σε </w:t>
      </w:r>
      <w:r w:rsidR="00E22F53" w:rsidRPr="007B69F7">
        <w:rPr>
          <w:rFonts w:ascii="Arial Narrow" w:hAnsi="Arial Narrow" w:cs="Times New Roman"/>
          <w:sz w:val="24"/>
          <w:szCs w:val="24"/>
        </w:rPr>
        <w:t>1</w:t>
      </w:r>
      <w:r w:rsidR="00271DA4" w:rsidRPr="007B69F7">
        <w:rPr>
          <w:rFonts w:ascii="Arial Narrow" w:hAnsi="Arial Narrow" w:cs="Times New Roman"/>
          <w:sz w:val="24"/>
          <w:szCs w:val="24"/>
        </w:rPr>
        <w:t>0,68</w:t>
      </w:r>
      <w:r w:rsidR="00095B34" w:rsidRPr="007B69F7">
        <w:rPr>
          <w:rFonts w:ascii="Arial Narrow" w:hAnsi="Arial Narrow" w:cs="Times New Roman"/>
          <w:sz w:val="24"/>
          <w:szCs w:val="24"/>
        </w:rPr>
        <w:t xml:space="preserve"> εκατ. </w:t>
      </w:r>
      <w:r w:rsidR="006316F2" w:rsidRPr="007B69F7">
        <w:rPr>
          <w:rFonts w:ascii="Arial Narrow" w:hAnsi="Arial Narrow" w:cs="Times New Roman"/>
          <w:b/>
          <w:sz w:val="24"/>
          <w:szCs w:val="24"/>
        </w:rPr>
        <w:t>κατοίκους</w:t>
      </w:r>
      <w:r w:rsidR="001E202F" w:rsidRPr="007B69F7">
        <w:rPr>
          <w:rFonts w:ascii="Arial Narrow" w:hAnsi="Arial Narrow" w:cs="Times New Roman"/>
          <w:sz w:val="24"/>
          <w:szCs w:val="24"/>
        </w:rPr>
        <w:t>,</w:t>
      </w:r>
      <w:r w:rsidR="006316F2" w:rsidRPr="007B69F7">
        <w:rPr>
          <w:rFonts w:ascii="Arial Narrow" w:hAnsi="Arial Narrow" w:cs="Times New Roman"/>
          <w:sz w:val="24"/>
          <w:szCs w:val="24"/>
        </w:rPr>
        <w:t xml:space="preserve"> εκ των οποίων το </w:t>
      </w:r>
      <w:r w:rsidR="000960C9" w:rsidRPr="007B69F7">
        <w:rPr>
          <w:rFonts w:ascii="Arial Narrow" w:hAnsi="Arial Narrow" w:cs="Times New Roman"/>
          <w:sz w:val="24"/>
          <w:szCs w:val="24"/>
        </w:rPr>
        <w:t>6</w:t>
      </w:r>
      <w:r w:rsidR="00271DA4" w:rsidRPr="007B69F7">
        <w:rPr>
          <w:rFonts w:ascii="Arial Narrow" w:hAnsi="Arial Narrow" w:cs="Times New Roman"/>
          <w:sz w:val="24"/>
          <w:szCs w:val="24"/>
        </w:rPr>
        <w:t>4</w:t>
      </w:r>
      <w:r w:rsidR="006316F2" w:rsidRPr="007B69F7">
        <w:rPr>
          <w:rFonts w:ascii="Arial Narrow" w:hAnsi="Arial Narrow" w:cs="Times New Roman"/>
          <w:sz w:val="24"/>
          <w:szCs w:val="24"/>
        </w:rPr>
        <w:t>% είναι άρρενες και το 3</w:t>
      </w:r>
      <w:r w:rsidR="00271DA4" w:rsidRPr="007B69F7">
        <w:rPr>
          <w:rFonts w:ascii="Arial Narrow" w:hAnsi="Arial Narrow" w:cs="Times New Roman"/>
          <w:sz w:val="24"/>
          <w:szCs w:val="24"/>
        </w:rPr>
        <w:t>6</w:t>
      </w:r>
      <w:r w:rsidR="006316F2" w:rsidRPr="007B69F7">
        <w:rPr>
          <w:rFonts w:ascii="Arial Narrow" w:hAnsi="Arial Narrow" w:cs="Times New Roman"/>
          <w:sz w:val="24"/>
          <w:szCs w:val="24"/>
        </w:rPr>
        <w:t>% θήλεα</w:t>
      </w:r>
      <w:r w:rsidR="00095B34" w:rsidRPr="007B69F7">
        <w:rPr>
          <w:rFonts w:ascii="Arial Narrow" w:hAnsi="Arial Narrow" w:cs="Times New Roman"/>
          <w:sz w:val="24"/>
          <w:szCs w:val="24"/>
        </w:rPr>
        <w:t xml:space="preserve">. </w:t>
      </w:r>
      <w:r w:rsidR="006316F2" w:rsidRPr="007B69F7">
        <w:rPr>
          <w:rFonts w:ascii="Arial Narrow" w:hAnsi="Arial Narrow" w:cs="Times New Roman"/>
          <w:sz w:val="24"/>
          <w:szCs w:val="24"/>
        </w:rPr>
        <w:t xml:space="preserve">Όσον αφορά την εθνική κατανομή του πληθυσμού, </w:t>
      </w:r>
      <w:r w:rsidR="00532FD8" w:rsidRPr="007B69F7">
        <w:rPr>
          <w:rFonts w:ascii="Arial Narrow" w:hAnsi="Arial Narrow" w:cs="Times New Roman"/>
          <w:sz w:val="24"/>
          <w:szCs w:val="24"/>
        </w:rPr>
        <w:t xml:space="preserve">υπάρχουν πάνω από </w:t>
      </w:r>
      <w:r w:rsidR="00532FD8" w:rsidRPr="007B69F7">
        <w:rPr>
          <w:rFonts w:ascii="Arial Narrow" w:hAnsi="Arial Narrow" w:cs="Times New Roman"/>
          <w:b/>
          <w:sz w:val="24"/>
          <w:szCs w:val="24"/>
        </w:rPr>
        <w:t>200 εθνικότητες</w:t>
      </w:r>
      <w:r w:rsidR="00532FD8" w:rsidRPr="007B69F7">
        <w:rPr>
          <w:rFonts w:ascii="Arial Narrow" w:hAnsi="Arial Narrow" w:cs="Times New Roman"/>
          <w:sz w:val="24"/>
          <w:szCs w:val="24"/>
        </w:rPr>
        <w:t>, μ</w:t>
      </w:r>
      <w:r w:rsidR="009B2C1B" w:rsidRPr="007B69F7">
        <w:rPr>
          <w:rFonts w:ascii="Arial Narrow" w:hAnsi="Arial Narrow" w:cs="Times New Roman"/>
          <w:sz w:val="24"/>
          <w:szCs w:val="24"/>
        </w:rPr>
        <w:t xml:space="preserve">ε τους </w:t>
      </w:r>
      <w:r w:rsidR="009B2C1B" w:rsidRPr="007B69F7">
        <w:rPr>
          <w:rFonts w:ascii="Arial Narrow" w:hAnsi="Arial Narrow" w:cs="Times New Roman"/>
          <w:b/>
          <w:sz w:val="24"/>
          <w:szCs w:val="24"/>
        </w:rPr>
        <w:t>εμιρ</w:t>
      </w:r>
      <w:r w:rsidR="00B60CA8" w:rsidRPr="007B69F7">
        <w:rPr>
          <w:rFonts w:ascii="Arial Narrow" w:hAnsi="Arial Narrow" w:cs="Times New Roman"/>
          <w:b/>
          <w:sz w:val="24"/>
          <w:szCs w:val="24"/>
        </w:rPr>
        <w:t xml:space="preserve">ατινούς υπηκόους </w:t>
      </w:r>
      <w:r w:rsidR="00176A0D" w:rsidRPr="007B69F7">
        <w:rPr>
          <w:rFonts w:ascii="Arial Narrow" w:hAnsi="Arial Narrow" w:cs="Times New Roman"/>
          <w:b/>
          <w:sz w:val="24"/>
          <w:szCs w:val="24"/>
        </w:rPr>
        <w:t>(1</w:t>
      </w:r>
      <w:r w:rsidR="00095B34" w:rsidRPr="007B69F7">
        <w:rPr>
          <w:rFonts w:ascii="Arial Narrow" w:hAnsi="Arial Narrow" w:cs="Times New Roman"/>
          <w:b/>
          <w:sz w:val="24"/>
          <w:szCs w:val="24"/>
        </w:rPr>
        <w:t>1</w:t>
      </w:r>
      <w:r w:rsidR="00176A0D" w:rsidRPr="007B69F7">
        <w:rPr>
          <w:rFonts w:ascii="Arial Narrow" w:hAnsi="Arial Narrow" w:cs="Times New Roman"/>
          <w:b/>
          <w:sz w:val="24"/>
          <w:szCs w:val="24"/>
        </w:rPr>
        <w:t>%)</w:t>
      </w:r>
      <w:r w:rsidR="00176A0D" w:rsidRPr="007B69F7">
        <w:rPr>
          <w:rFonts w:ascii="Arial Narrow" w:hAnsi="Arial Narrow" w:cs="Times New Roman"/>
          <w:sz w:val="24"/>
          <w:szCs w:val="24"/>
        </w:rPr>
        <w:t xml:space="preserve"> </w:t>
      </w:r>
      <w:r w:rsidR="00B60CA8" w:rsidRPr="007B69F7">
        <w:rPr>
          <w:rFonts w:ascii="Arial Narrow" w:hAnsi="Arial Narrow" w:cs="Times New Roman"/>
          <w:sz w:val="24"/>
          <w:szCs w:val="24"/>
        </w:rPr>
        <w:t xml:space="preserve">να υπολείπονται κατά πολύ </w:t>
      </w:r>
      <w:r w:rsidR="00176A0D" w:rsidRPr="007B69F7">
        <w:rPr>
          <w:rFonts w:ascii="Arial Narrow" w:hAnsi="Arial Narrow" w:cs="Times New Roman"/>
          <w:sz w:val="24"/>
          <w:szCs w:val="24"/>
        </w:rPr>
        <w:t>τ</w:t>
      </w:r>
      <w:r w:rsidR="001F2D0A" w:rsidRPr="007B69F7">
        <w:rPr>
          <w:rFonts w:ascii="Arial Narrow" w:hAnsi="Arial Narrow" w:cs="Times New Roman"/>
          <w:sz w:val="24"/>
          <w:szCs w:val="24"/>
        </w:rPr>
        <w:t>ων ξένων εθνικοτήτων,</w:t>
      </w:r>
      <w:r w:rsidR="00A24A8C" w:rsidRPr="007B69F7">
        <w:rPr>
          <w:rFonts w:ascii="Arial Narrow" w:hAnsi="Arial Narrow" w:cs="Times New Roman"/>
          <w:sz w:val="24"/>
          <w:szCs w:val="24"/>
        </w:rPr>
        <w:t xml:space="preserve"> </w:t>
      </w:r>
      <w:r w:rsidR="00A7617F" w:rsidRPr="007B69F7">
        <w:rPr>
          <w:rFonts w:ascii="Arial Narrow" w:hAnsi="Arial Narrow" w:cs="Times New Roman"/>
          <w:sz w:val="24"/>
          <w:szCs w:val="24"/>
        </w:rPr>
        <w:t xml:space="preserve">τους Ινδούς και τους Πακιστανούς </w:t>
      </w:r>
      <w:r w:rsidR="00FF27F7" w:rsidRPr="007B69F7">
        <w:rPr>
          <w:rFonts w:ascii="Arial Narrow" w:hAnsi="Arial Narrow" w:cs="Times New Roman"/>
          <w:sz w:val="24"/>
          <w:szCs w:val="24"/>
        </w:rPr>
        <w:t xml:space="preserve">και λοιπούς υπηκόους </w:t>
      </w:r>
      <w:r w:rsidR="00376BCE" w:rsidRPr="007B69F7">
        <w:rPr>
          <w:rFonts w:ascii="Arial Narrow" w:hAnsi="Arial Narrow" w:cs="Times New Roman"/>
          <w:sz w:val="24"/>
          <w:szCs w:val="24"/>
        </w:rPr>
        <w:t>Νότιας</w:t>
      </w:r>
      <w:r w:rsidR="00FF27F7" w:rsidRPr="007B69F7">
        <w:rPr>
          <w:rFonts w:ascii="Arial Narrow" w:hAnsi="Arial Narrow" w:cs="Times New Roman"/>
          <w:sz w:val="24"/>
          <w:szCs w:val="24"/>
        </w:rPr>
        <w:t xml:space="preserve"> Ασίας, </w:t>
      </w:r>
      <w:r w:rsidR="00A7617F" w:rsidRPr="007B69F7">
        <w:rPr>
          <w:rFonts w:ascii="Arial Narrow" w:hAnsi="Arial Narrow" w:cs="Times New Roman"/>
          <w:sz w:val="24"/>
          <w:szCs w:val="24"/>
        </w:rPr>
        <w:t>να αποτελούν τη μεγαλύτερη πληθυσμιακή κοινότητα (</w:t>
      </w:r>
      <w:r w:rsidR="007B5413" w:rsidRPr="007B69F7">
        <w:rPr>
          <w:rFonts w:ascii="Arial Narrow" w:hAnsi="Arial Narrow" w:cs="Times New Roman"/>
          <w:sz w:val="24"/>
          <w:szCs w:val="24"/>
        </w:rPr>
        <w:t>58%</w:t>
      </w:r>
      <w:r w:rsidR="00A7617F" w:rsidRPr="007B69F7">
        <w:rPr>
          <w:rFonts w:ascii="Arial Narrow" w:hAnsi="Arial Narrow" w:cs="Times New Roman"/>
          <w:sz w:val="24"/>
          <w:szCs w:val="24"/>
        </w:rPr>
        <w:t>)</w:t>
      </w:r>
      <w:r w:rsidR="007B5413" w:rsidRPr="007B69F7">
        <w:rPr>
          <w:rFonts w:ascii="Arial Narrow" w:hAnsi="Arial Narrow" w:cs="Times New Roman"/>
          <w:sz w:val="24"/>
          <w:szCs w:val="24"/>
        </w:rPr>
        <w:t xml:space="preserve">, </w:t>
      </w:r>
      <w:r w:rsidR="00A7617F" w:rsidRPr="007B69F7">
        <w:rPr>
          <w:rFonts w:ascii="Arial Narrow" w:hAnsi="Arial Narrow" w:cs="Times New Roman"/>
          <w:sz w:val="24"/>
          <w:szCs w:val="24"/>
        </w:rPr>
        <w:t xml:space="preserve">το </w:t>
      </w:r>
      <w:r w:rsidR="006316F2" w:rsidRPr="007B69F7">
        <w:rPr>
          <w:rFonts w:ascii="Arial Narrow" w:hAnsi="Arial Narrow" w:cs="Times New Roman"/>
          <w:sz w:val="24"/>
          <w:szCs w:val="24"/>
        </w:rPr>
        <w:t xml:space="preserve">17% </w:t>
      </w:r>
      <w:r w:rsidR="007B5413" w:rsidRPr="007B69F7">
        <w:rPr>
          <w:rFonts w:ascii="Arial Narrow" w:hAnsi="Arial Narrow" w:cs="Times New Roman"/>
          <w:sz w:val="24"/>
          <w:szCs w:val="24"/>
        </w:rPr>
        <w:t xml:space="preserve">να </w:t>
      </w:r>
      <w:r w:rsidR="00A7617F" w:rsidRPr="007B69F7">
        <w:rPr>
          <w:rFonts w:ascii="Arial Narrow" w:hAnsi="Arial Narrow" w:cs="Times New Roman"/>
          <w:sz w:val="24"/>
          <w:szCs w:val="24"/>
        </w:rPr>
        <w:t xml:space="preserve">προέρχεται </w:t>
      </w:r>
      <w:r w:rsidR="006316F2" w:rsidRPr="007B69F7">
        <w:rPr>
          <w:rFonts w:ascii="Arial Narrow" w:hAnsi="Arial Narrow" w:cs="Times New Roman"/>
          <w:sz w:val="24"/>
          <w:szCs w:val="24"/>
        </w:rPr>
        <w:t xml:space="preserve">από λοιπές ασιατικές χώρες, </w:t>
      </w:r>
      <w:r w:rsidR="00A24A8C" w:rsidRPr="007B69F7">
        <w:rPr>
          <w:rFonts w:ascii="Arial Narrow" w:hAnsi="Arial Narrow" w:cs="Times New Roman"/>
          <w:sz w:val="24"/>
          <w:szCs w:val="24"/>
        </w:rPr>
        <w:t>κυρίως από</w:t>
      </w:r>
      <w:r w:rsidR="006316F2" w:rsidRPr="007B69F7">
        <w:rPr>
          <w:rFonts w:ascii="Arial Narrow" w:hAnsi="Arial Narrow" w:cs="Times New Roman"/>
          <w:sz w:val="24"/>
          <w:szCs w:val="24"/>
        </w:rPr>
        <w:t xml:space="preserve"> Φιλιππίνες</w:t>
      </w:r>
      <w:r w:rsidR="00430AF2" w:rsidRPr="007B69F7">
        <w:rPr>
          <w:rFonts w:ascii="Arial Narrow" w:hAnsi="Arial Narrow" w:cs="Times New Roman"/>
          <w:sz w:val="24"/>
          <w:szCs w:val="24"/>
        </w:rPr>
        <w:t xml:space="preserve"> και τέλος, </w:t>
      </w:r>
      <w:r w:rsidR="00A24A8C" w:rsidRPr="007B69F7">
        <w:rPr>
          <w:rFonts w:ascii="Arial Narrow" w:hAnsi="Arial Narrow" w:cs="Times New Roman"/>
          <w:sz w:val="24"/>
          <w:szCs w:val="24"/>
        </w:rPr>
        <w:t xml:space="preserve">το </w:t>
      </w:r>
      <w:r w:rsidR="006316F2" w:rsidRPr="007B69F7">
        <w:rPr>
          <w:rFonts w:ascii="Arial Narrow" w:hAnsi="Arial Narrow" w:cs="Times New Roman"/>
          <w:sz w:val="24"/>
          <w:szCs w:val="24"/>
        </w:rPr>
        <w:t>8,5</w:t>
      </w:r>
      <w:r w:rsidR="00A24A8C" w:rsidRPr="007B69F7">
        <w:rPr>
          <w:rFonts w:ascii="Arial Narrow" w:hAnsi="Arial Narrow" w:cs="Times New Roman"/>
          <w:sz w:val="24"/>
          <w:szCs w:val="24"/>
        </w:rPr>
        <w:t xml:space="preserve">% </w:t>
      </w:r>
      <w:r w:rsidR="00376BCE" w:rsidRPr="007B69F7">
        <w:rPr>
          <w:rFonts w:ascii="Arial Narrow" w:hAnsi="Arial Narrow" w:cs="Times New Roman"/>
          <w:sz w:val="24"/>
          <w:szCs w:val="24"/>
        </w:rPr>
        <w:t xml:space="preserve">να </w:t>
      </w:r>
      <w:r w:rsidR="00A24A8C" w:rsidRPr="007B69F7">
        <w:rPr>
          <w:rFonts w:ascii="Arial Narrow" w:hAnsi="Arial Narrow" w:cs="Times New Roman"/>
          <w:sz w:val="24"/>
          <w:szCs w:val="24"/>
        </w:rPr>
        <w:t>προέρχεται</w:t>
      </w:r>
      <w:r w:rsidR="007B5413" w:rsidRPr="007B69F7">
        <w:rPr>
          <w:rFonts w:ascii="Arial Narrow" w:hAnsi="Arial Narrow" w:cs="Times New Roman"/>
          <w:sz w:val="24"/>
          <w:szCs w:val="24"/>
        </w:rPr>
        <w:t xml:space="preserve"> </w:t>
      </w:r>
      <w:r w:rsidR="00A7617F" w:rsidRPr="007B69F7">
        <w:rPr>
          <w:rFonts w:ascii="Arial Narrow" w:hAnsi="Arial Narrow" w:cs="Times New Roman"/>
          <w:sz w:val="24"/>
          <w:szCs w:val="24"/>
        </w:rPr>
        <w:t>από τη</w:t>
      </w:r>
      <w:r w:rsidR="007B5413" w:rsidRPr="007B69F7">
        <w:rPr>
          <w:rFonts w:ascii="Arial Narrow" w:hAnsi="Arial Narrow" w:cs="Times New Roman"/>
          <w:sz w:val="24"/>
          <w:szCs w:val="24"/>
        </w:rPr>
        <w:t>ν</w:t>
      </w:r>
      <w:r w:rsidR="00A7617F" w:rsidRPr="007B69F7">
        <w:rPr>
          <w:rFonts w:ascii="Arial Narrow" w:hAnsi="Arial Narrow" w:cs="Times New Roman"/>
          <w:sz w:val="24"/>
          <w:szCs w:val="24"/>
        </w:rPr>
        <w:t xml:space="preserve"> </w:t>
      </w:r>
      <w:r w:rsidR="00617A7D" w:rsidRPr="007B69F7">
        <w:rPr>
          <w:rFonts w:ascii="Arial Narrow" w:hAnsi="Arial Narrow" w:cs="Times New Roman"/>
          <w:sz w:val="24"/>
          <w:szCs w:val="24"/>
        </w:rPr>
        <w:t>Ευρώ</w:t>
      </w:r>
      <w:r w:rsidR="00A7617F" w:rsidRPr="007B69F7">
        <w:rPr>
          <w:rFonts w:ascii="Arial Narrow" w:hAnsi="Arial Narrow" w:cs="Times New Roman"/>
          <w:sz w:val="24"/>
          <w:szCs w:val="24"/>
        </w:rPr>
        <w:t>πη</w:t>
      </w:r>
      <w:r w:rsidR="00BC22BA" w:rsidRPr="007B69F7">
        <w:rPr>
          <w:rFonts w:ascii="Arial Narrow" w:hAnsi="Arial Narrow" w:cs="Times New Roman"/>
          <w:sz w:val="24"/>
          <w:szCs w:val="24"/>
        </w:rPr>
        <w:t>.</w:t>
      </w:r>
      <w:r w:rsidR="00514923" w:rsidRPr="007B69F7">
        <w:rPr>
          <w:rFonts w:ascii="Arial Narrow" w:hAnsi="Arial Narrow" w:cs="Times New Roman"/>
          <w:sz w:val="24"/>
          <w:szCs w:val="24"/>
        </w:rPr>
        <w:t xml:space="preserve"> </w:t>
      </w:r>
    </w:p>
    <w:p w14:paraId="17A4C913" w14:textId="462EADE9" w:rsidR="00402D4A" w:rsidRPr="00205BE4" w:rsidRDefault="001916A3" w:rsidP="00681FC1">
      <w:pPr>
        <w:ind w:firstLine="567"/>
        <w:jc w:val="both"/>
        <w:rPr>
          <w:rFonts w:ascii="Arial Narrow" w:hAnsi="Arial Narrow" w:cs="Times New Roman"/>
          <w:b/>
          <w:color w:val="1F497D" w:themeColor="text2"/>
          <w:sz w:val="28"/>
          <w:szCs w:val="28"/>
        </w:rPr>
      </w:pPr>
      <w:r>
        <w:rPr>
          <w:rFonts w:ascii="Arial Narrow" w:hAnsi="Arial Narrow" w:cs="Times New Roman"/>
          <w:b/>
          <w:color w:val="1F497D" w:themeColor="text2"/>
          <w:sz w:val="28"/>
          <w:szCs w:val="28"/>
        </w:rPr>
        <w:t xml:space="preserve">2. </w:t>
      </w:r>
      <w:r w:rsidR="00402D4A" w:rsidRPr="00205BE4">
        <w:rPr>
          <w:rFonts w:ascii="Arial Narrow" w:hAnsi="Arial Narrow" w:cs="Times New Roman"/>
          <w:b/>
          <w:color w:val="1F497D" w:themeColor="text2"/>
          <w:sz w:val="28"/>
          <w:szCs w:val="28"/>
        </w:rPr>
        <w:t xml:space="preserve">ΕΠΙΠΤΩΣΕΙΣ ΣΤΗΝ ΟΙΚΟΝΟΜΙΑ ΤΩΝ ΗΑΕ ΜΕΤΑ ΤΗΝ ΥΠΟΓΡΑΦΗ ΤΟΥ ΜΝΗΜΟΝΙΟΥ ΚΑΤΑΝΟΗΣΗΣ – </w:t>
      </w:r>
      <w:r w:rsidR="00402D4A" w:rsidRPr="00205BE4">
        <w:rPr>
          <w:rFonts w:ascii="Arial Narrow" w:hAnsi="Arial Narrow" w:cs="Times New Roman"/>
          <w:b/>
          <w:color w:val="1F497D" w:themeColor="text2"/>
          <w:sz w:val="28"/>
          <w:szCs w:val="28"/>
          <w:lang w:val="en-US"/>
        </w:rPr>
        <w:t>MEMORANDUM</w:t>
      </w:r>
      <w:r w:rsidR="00402D4A" w:rsidRPr="00205BE4">
        <w:rPr>
          <w:rFonts w:ascii="Arial Narrow" w:hAnsi="Arial Narrow" w:cs="Times New Roman"/>
          <w:b/>
          <w:color w:val="1F497D" w:themeColor="text2"/>
          <w:sz w:val="28"/>
          <w:szCs w:val="28"/>
        </w:rPr>
        <w:t xml:space="preserve"> </w:t>
      </w:r>
      <w:r w:rsidR="00402D4A" w:rsidRPr="00205BE4">
        <w:rPr>
          <w:rFonts w:ascii="Arial Narrow" w:hAnsi="Arial Narrow" w:cs="Times New Roman"/>
          <w:b/>
          <w:color w:val="1F497D" w:themeColor="text2"/>
          <w:sz w:val="28"/>
          <w:szCs w:val="28"/>
          <w:lang w:val="en-US"/>
        </w:rPr>
        <w:t>OF</w:t>
      </w:r>
      <w:r w:rsidR="00402D4A" w:rsidRPr="00205BE4">
        <w:rPr>
          <w:rFonts w:ascii="Arial Narrow" w:hAnsi="Arial Narrow" w:cs="Times New Roman"/>
          <w:b/>
          <w:color w:val="1F497D" w:themeColor="text2"/>
          <w:sz w:val="28"/>
          <w:szCs w:val="28"/>
        </w:rPr>
        <w:t xml:space="preserve"> </w:t>
      </w:r>
      <w:r w:rsidR="00402D4A" w:rsidRPr="00205BE4">
        <w:rPr>
          <w:rFonts w:ascii="Arial Narrow" w:hAnsi="Arial Narrow" w:cs="Times New Roman"/>
          <w:b/>
          <w:color w:val="1F497D" w:themeColor="text2"/>
          <w:sz w:val="28"/>
          <w:szCs w:val="28"/>
          <w:lang w:val="en-US"/>
        </w:rPr>
        <w:t>UNDERSTANDING</w:t>
      </w:r>
      <w:r w:rsidR="00402D4A" w:rsidRPr="00205BE4">
        <w:rPr>
          <w:rFonts w:ascii="Arial Narrow" w:hAnsi="Arial Narrow" w:cs="Times New Roman"/>
          <w:b/>
          <w:color w:val="1F497D" w:themeColor="text2"/>
          <w:sz w:val="28"/>
          <w:szCs w:val="28"/>
        </w:rPr>
        <w:t xml:space="preserve"> - </w:t>
      </w:r>
      <w:r w:rsidR="00402D4A" w:rsidRPr="00205BE4">
        <w:rPr>
          <w:rFonts w:ascii="Arial Narrow" w:hAnsi="Arial Narrow" w:cs="Times New Roman"/>
          <w:b/>
          <w:color w:val="1F497D" w:themeColor="text2"/>
          <w:sz w:val="28"/>
          <w:szCs w:val="28"/>
          <w:lang w:val="en-US"/>
        </w:rPr>
        <w:t>MoU</w:t>
      </w:r>
    </w:p>
    <w:p w14:paraId="05F41DD9" w14:textId="7A8CF6B0" w:rsidR="001F1A16" w:rsidRPr="001916A3" w:rsidRDefault="001916A3" w:rsidP="00BC22BA">
      <w:pPr>
        <w:ind w:firstLine="567"/>
        <w:jc w:val="both"/>
        <w:rPr>
          <w:rFonts w:ascii="Arial Narrow" w:hAnsi="Arial Narrow" w:cs="Times New Roman"/>
          <w:b/>
          <w:color w:val="4F81BD" w:themeColor="accent1"/>
          <w:sz w:val="24"/>
          <w:szCs w:val="24"/>
        </w:rPr>
      </w:pPr>
      <w:r w:rsidRPr="001916A3">
        <w:rPr>
          <w:rFonts w:ascii="Arial Narrow" w:hAnsi="Arial Narrow" w:cs="Times New Roman"/>
          <w:b/>
          <w:color w:val="4F81BD" w:themeColor="accent1"/>
          <w:sz w:val="24"/>
          <w:szCs w:val="24"/>
        </w:rPr>
        <w:t xml:space="preserve">2.1. </w:t>
      </w:r>
      <w:r w:rsidR="001F1A16" w:rsidRPr="001916A3">
        <w:rPr>
          <w:rFonts w:ascii="Arial Narrow" w:hAnsi="Arial Narrow" w:cs="Times New Roman"/>
          <w:b/>
          <w:color w:val="4F81BD" w:themeColor="accent1"/>
          <w:sz w:val="24"/>
          <w:szCs w:val="24"/>
        </w:rPr>
        <w:t xml:space="preserve">Επιπτώσεις στην Οικονομία των ΗΑΕ μετά την υπογραφή του Μνημονίου Κατανόησης </w:t>
      </w:r>
      <w:r w:rsidR="00527F7C" w:rsidRPr="001916A3">
        <w:rPr>
          <w:rFonts w:ascii="Arial Narrow" w:hAnsi="Arial Narrow" w:cs="Times New Roman"/>
          <w:b/>
          <w:color w:val="4F81BD" w:themeColor="accent1"/>
          <w:sz w:val="24"/>
          <w:szCs w:val="24"/>
        </w:rPr>
        <w:t>–</w:t>
      </w:r>
      <w:r w:rsidR="001F1A16" w:rsidRPr="001916A3">
        <w:rPr>
          <w:rFonts w:ascii="Arial Narrow" w:hAnsi="Arial Narrow" w:cs="Times New Roman"/>
          <w:b/>
          <w:color w:val="4F81BD" w:themeColor="accent1"/>
          <w:sz w:val="24"/>
          <w:szCs w:val="24"/>
        </w:rPr>
        <w:t xml:space="preserve"> </w:t>
      </w:r>
      <w:r w:rsidR="00527F7C" w:rsidRPr="001916A3">
        <w:rPr>
          <w:rFonts w:ascii="Arial Narrow" w:hAnsi="Arial Narrow" w:cs="Times New Roman"/>
          <w:b/>
          <w:color w:val="4F81BD" w:themeColor="accent1"/>
          <w:sz w:val="24"/>
          <w:szCs w:val="24"/>
          <w:lang w:val="en-US"/>
        </w:rPr>
        <w:t>MoU</w:t>
      </w:r>
      <w:r w:rsidR="00527F7C" w:rsidRPr="001916A3">
        <w:rPr>
          <w:rFonts w:ascii="Arial Narrow" w:hAnsi="Arial Narrow" w:cs="Times New Roman"/>
          <w:b/>
          <w:color w:val="4F81BD" w:themeColor="accent1"/>
          <w:sz w:val="24"/>
          <w:szCs w:val="24"/>
        </w:rPr>
        <w:t xml:space="preserve"> από τις ΗΠΑ και το Ιράν</w:t>
      </w:r>
    </w:p>
    <w:p w14:paraId="72486197" w14:textId="41A04408" w:rsidR="007B69F7" w:rsidRDefault="007B69F7" w:rsidP="00BC22BA">
      <w:pPr>
        <w:ind w:firstLine="567"/>
        <w:jc w:val="both"/>
        <w:rPr>
          <w:rFonts w:ascii="Arial Narrow" w:hAnsi="Arial Narrow" w:cs="Times New Roman"/>
          <w:sz w:val="24"/>
          <w:szCs w:val="24"/>
        </w:rPr>
      </w:pPr>
      <w:r>
        <w:rPr>
          <w:rFonts w:ascii="Arial Narrow" w:hAnsi="Arial Narrow" w:cs="Times New Roman"/>
          <w:sz w:val="24"/>
          <w:szCs w:val="24"/>
        </w:rPr>
        <w:t>Σημαντικό θέμα για το οποίο θα πρέπει να γίνει ιδιαίτερη αναφορά, σε συνδυασμό με τις επιπτώσεις που είχε και εξακολουθεί να έχει η πρόσφατη πολεμική σύγκρουση ΗΠΑ, Ισραήλ και Ιράν, ακόμη και μετά τη πρόσφατη υπογραφή του Μνημονίου Κατανόησης (</w:t>
      </w:r>
      <w:r>
        <w:rPr>
          <w:rFonts w:ascii="Arial Narrow" w:hAnsi="Arial Narrow" w:cs="Times New Roman"/>
          <w:sz w:val="24"/>
          <w:szCs w:val="24"/>
          <w:lang w:val="en-US"/>
        </w:rPr>
        <w:t>MoU</w:t>
      </w:r>
      <w:r w:rsidRPr="007B69F7">
        <w:rPr>
          <w:rFonts w:ascii="Arial Narrow" w:hAnsi="Arial Narrow" w:cs="Times New Roman"/>
          <w:sz w:val="24"/>
          <w:szCs w:val="24"/>
        </w:rPr>
        <w:t>)</w:t>
      </w:r>
      <w:r w:rsidR="001F1A16">
        <w:rPr>
          <w:rFonts w:ascii="Arial Narrow" w:hAnsi="Arial Narrow" w:cs="Times New Roman"/>
          <w:sz w:val="24"/>
          <w:szCs w:val="24"/>
        </w:rPr>
        <w:t>, οι συνθήκες που επικρατούν στον Αραβικό Κόλπο και στην ευρύτερή περιοχή της Μέσης Ανατολής, καταδεικνύουν τη καχυποψία και δυσπιστία και στα δύο μέρη των διαπραγματεύσεων για οριστική παύση των συγκρούσεων και την διευθέτηση θεμάτων, όπως το πυρηνικό πρόγραμμα του Ιράν και το οριστικό άνοιγμα των Στενών του Ορμούζ, θαλάσσιου διαύλου εξαιρετικής σημασίας για την παγκόσμια οικονομία και την παγκόσμια εφοδιαστική αλυσίδα. Η υπογραφή του Μνημονίου Κατανόησης (</w:t>
      </w:r>
      <w:r w:rsidR="001F1A16">
        <w:rPr>
          <w:rFonts w:ascii="Arial Narrow" w:hAnsi="Arial Narrow" w:cs="Times New Roman"/>
          <w:sz w:val="24"/>
          <w:szCs w:val="24"/>
          <w:lang w:val="en-US"/>
        </w:rPr>
        <w:t>Memorandum</w:t>
      </w:r>
      <w:r w:rsidR="001F1A16" w:rsidRPr="001F1A16">
        <w:rPr>
          <w:rFonts w:ascii="Arial Narrow" w:hAnsi="Arial Narrow" w:cs="Times New Roman"/>
          <w:sz w:val="24"/>
          <w:szCs w:val="24"/>
        </w:rPr>
        <w:t xml:space="preserve"> </w:t>
      </w:r>
      <w:r w:rsidR="001F1A16">
        <w:rPr>
          <w:rFonts w:ascii="Arial Narrow" w:hAnsi="Arial Narrow" w:cs="Times New Roman"/>
          <w:sz w:val="24"/>
          <w:szCs w:val="24"/>
          <w:lang w:val="en-US"/>
        </w:rPr>
        <w:t>of</w:t>
      </w:r>
      <w:r w:rsidR="001F1A16" w:rsidRPr="001F1A16">
        <w:rPr>
          <w:rFonts w:ascii="Arial Narrow" w:hAnsi="Arial Narrow" w:cs="Times New Roman"/>
          <w:sz w:val="24"/>
          <w:szCs w:val="24"/>
        </w:rPr>
        <w:t xml:space="preserve"> </w:t>
      </w:r>
      <w:r w:rsidR="001F1A16">
        <w:rPr>
          <w:rFonts w:ascii="Arial Narrow" w:hAnsi="Arial Narrow" w:cs="Times New Roman"/>
          <w:sz w:val="24"/>
          <w:szCs w:val="24"/>
          <w:lang w:val="en-US"/>
        </w:rPr>
        <w:t>Understanding</w:t>
      </w:r>
      <w:r w:rsidR="001F1A16" w:rsidRPr="001F1A16">
        <w:rPr>
          <w:rFonts w:ascii="Arial Narrow" w:hAnsi="Arial Narrow" w:cs="Times New Roman"/>
          <w:sz w:val="24"/>
          <w:szCs w:val="24"/>
        </w:rPr>
        <w:t xml:space="preserve"> – </w:t>
      </w:r>
      <w:r w:rsidR="001F1A16">
        <w:rPr>
          <w:rFonts w:ascii="Arial Narrow" w:hAnsi="Arial Narrow" w:cs="Times New Roman"/>
          <w:sz w:val="24"/>
          <w:szCs w:val="24"/>
          <w:lang w:val="en-US"/>
        </w:rPr>
        <w:t>MoU</w:t>
      </w:r>
      <w:r w:rsidR="001F1A16" w:rsidRPr="001F1A16">
        <w:rPr>
          <w:rFonts w:ascii="Arial Narrow" w:hAnsi="Arial Narrow" w:cs="Times New Roman"/>
          <w:sz w:val="24"/>
          <w:szCs w:val="24"/>
        </w:rPr>
        <w:t xml:space="preserve">) </w:t>
      </w:r>
      <w:r w:rsidR="001F1A16">
        <w:rPr>
          <w:rFonts w:ascii="Arial Narrow" w:hAnsi="Arial Narrow" w:cs="Times New Roman"/>
          <w:sz w:val="24"/>
          <w:szCs w:val="24"/>
        </w:rPr>
        <w:t>μεταξύ των ΗΠΑ και του Ιράν</w:t>
      </w:r>
      <w:r w:rsidR="00527F7C">
        <w:rPr>
          <w:rFonts w:ascii="Arial Narrow" w:hAnsi="Arial Narrow" w:cs="Times New Roman"/>
          <w:sz w:val="24"/>
          <w:szCs w:val="24"/>
        </w:rPr>
        <w:t xml:space="preserve"> αποτελεί μία από τις σημαντικότερες γεωπολιτικές εξελίξεις στη Μέση Ανατολή τα τελευταία χρόνια. Το Μνημόνιο δεν συνιστά οριστική ειρηνευτική συμφωνία, αλλά ένα μεταβατικό πλαίσιο 60 ημερών για διαπραγματεύσεις σχετικά με το πυρηνικό πρόγραμμα του Ιράν, τη σταδιακή άρση ορισμένων κυρώσεων, την επαναλειτουργία των Στενών του Ορμούζ και την αποκλιμάκωση των περιφερειακών συγκρούσεων.</w:t>
      </w:r>
    </w:p>
    <w:p w14:paraId="55822A7B" w14:textId="17CD41E7" w:rsidR="00527F7C" w:rsidRDefault="00F73DF1" w:rsidP="00BC22BA">
      <w:pPr>
        <w:ind w:firstLine="567"/>
        <w:jc w:val="both"/>
        <w:rPr>
          <w:rFonts w:ascii="Arial Narrow" w:hAnsi="Arial Narrow" w:cs="Times New Roman"/>
          <w:sz w:val="24"/>
          <w:szCs w:val="24"/>
        </w:rPr>
      </w:pPr>
      <w:r>
        <w:rPr>
          <w:rFonts w:ascii="Arial Narrow" w:hAnsi="Arial Narrow" w:cs="Times New Roman"/>
          <w:sz w:val="24"/>
          <w:szCs w:val="24"/>
        </w:rPr>
        <w:t>Για τα ΗΑΕ, η συμφωνία έχει ιδιαίτερη σημασία, καθώς η οικονομία τους είναι άμεσα συνδεδεμένη με:</w:t>
      </w:r>
    </w:p>
    <w:p w14:paraId="38660193" w14:textId="4333BF82" w:rsidR="00F73DF1" w:rsidRDefault="00F73DF1" w:rsidP="006E5A5F">
      <w:pPr>
        <w:pStyle w:val="ListParagraph"/>
        <w:numPr>
          <w:ilvl w:val="0"/>
          <w:numId w:val="17"/>
        </w:numPr>
        <w:jc w:val="both"/>
        <w:rPr>
          <w:rFonts w:ascii="Arial Narrow" w:hAnsi="Arial Narrow" w:cs="Times New Roman"/>
          <w:sz w:val="24"/>
          <w:szCs w:val="24"/>
        </w:rPr>
      </w:pPr>
      <w:r>
        <w:rPr>
          <w:rFonts w:ascii="Arial Narrow" w:hAnsi="Arial Narrow" w:cs="Times New Roman"/>
          <w:sz w:val="24"/>
          <w:szCs w:val="24"/>
        </w:rPr>
        <w:t>την ασφάλεια της περιοχής του Κόλπου</w:t>
      </w:r>
    </w:p>
    <w:p w14:paraId="56EB6093" w14:textId="3E208C43" w:rsidR="00F73DF1" w:rsidRDefault="00F73DF1" w:rsidP="006E5A5F">
      <w:pPr>
        <w:pStyle w:val="ListParagraph"/>
        <w:numPr>
          <w:ilvl w:val="0"/>
          <w:numId w:val="17"/>
        </w:numPr>
        <w:jc w:val="both"/>
        <w:rPr>
          <w:rFonts w:ascii="Arial Narrow" w:hAnsi="Arial Narrow" w:cs="Times New Roman"/>
          <w:sz w:val="24"/>
          <w:szCs w:val="24"/>
        </w:rPr>
      </w:pPr>
      <w:r>
        <w:rPr>
          <w:rFonts w:ascii="Arial Narrow" w:hAnsi="Arial Narrow" w:cs="Times New Roman"/>
          <w:sz w:val="24"/>
          <w:szCs w:val="24"/>
        </w:rPr>
        <w:t>τη ναυσιπλοϊα στα Στενά του Ορμούζ</w:t>
      </w:r>
    </w:p>
    <w:p w14:paraId="01B1B83E" w14:textId="30B5001F" w:rsidR="00F73DF1" w:rsidRDefault="00F73DF1" w:rsidP="006E5A5F">
      <w:pPr>
        <w:pStyle w:val="ListParagraph"/>
        <w:numPr>
          <w:ilvl w:val="0"/>
          <w:numId w:val="17"/>
        </w:numPr>
        <w:jc w:val="both"/>
        <w:rPr>
          <w:rFonts w:ascii="Arial Narrow" w:hAnsi="Arial Narrow" w:cs="Times New Roman"/>
          <w:sz w:val="24"/>
          <w:szCs w:val="24"/>
        </w:rPr>
      </w:pPr>
      <w:r>
        <w:rPr>
          <w:rFonts w:ascii="Arial Narrow" w:hAnsi="Arial Narrow" w:cs="Times New Roman"/>
          <w:sz w:val="24"/>
          <w:szCs w:val="24"/>
        </w:rPr>
        <w:t>τις διεθνείς τιμές πετρελαίου και φ/α</w:t>
      </w:r>
    </w:p>
    <w:p w14:paraId="2AD266FA" w14:textId="46EAF0D7" w:rsidR="00F73DF1" w:rsidRDefault="00F73DF1" w:rsidP="006E5A5F">
      <w:pPr>
        <w:pStyle w:val="ListParagraph"/>
        <w:numPr>
          <w:ilvl w:val="0"/>
          <w:numId w:val="17"/>
        </w:numPr>
        <w:jc w:val="both"/>
        <w:rPr>
          <w:rFonts w:ascii="Arial Narrow" w:hAnsi="Arial Narrow" w:cs="Times New Roman"/>
          <w:sz w:val="24"/>
          <w:szCs w:val="24"/>
        </w:rPr>
      </w:pPr>
      <w:r>
        <w:rPr>
          <w:rFonts w:ascii="Arial Narrow" w:hAnsi="Arial Narrow" w:cs="Times New Roman"/>
          <w:sz w:val="24"/>
          <w:szCs w:val="24"/>
        </w:rPr>
        <w:t>το επενδυτικό κλίμα</w:t>
      </w:r>
    </w:p>
    <w:p w14:paraId="3E264EAF" w14:textId="3F1C569D" w:rsidR="00F73DF1" w:rsidRDefault="00F73DF1" w:rsidP="006E5A5F">
      <w:pPr>
        <w:pStyle w:val="ListParagraph"/>
        <w:numPr>
          <w:ilvl w:val="0"/>
          <w:numId w:val="17"/>
        </w:numPr>
        <w:jc w:val="both"/>
        <w:rPr>
          <w:rFonts w:ascii="Arial Narrow" w:hAnsi="Arial Narrow" w:cs="Times New Roman"/>
          <w:sz w:val="24"/>
          <w:szCs w:val="24"/>
        </w:rPr>
      </w:pPr>
      <w:r>
        <w:rPr>
          <w:rFonts w:ascii="Arial Narrow" w:hAnsi="Arial Narrow" w:cs="Times New Roman"/>
          <w:sz w:val="24"/>
          <w:szCs w:val="24"/>
        </w:rPr>
        <w:t>τον τουρισμό και τις χρηματοοικονομικές υπηρεσίες</w:t>
      </w:r>
    </w:p>
    <w:p w14:paraId="798E7496" w14:textId="0FB0D035" w:rsidR="001948C4" w:rsidRPr="00624524" w:rsidRDefault="001948C4" w:rsidP="001948C4">
      <w:pPr>
        <w:ind w:left="432"/>
        <w:jc w:val="both"/>
        <w:rPr>
          <w:rFonts w:ascii="Arial Narrow" w:hAnsi="Arial Narrow" w:cs="Times New Roman"/>
          <w:b/>
          <w:color w:val="4F81BD" w:themeColor="accent1"/>
          <w:sz w:val="24"/>
          <w:szCs w:val="24"/>
        </w:rPr>
      </w:pPr>
      <w:r w:rsidRPr="00624524">
        <w:rPr>
          <w:rFonts w:ascii="Arial Narrow" w:hAnsi="Arial Narrow" w:cs="Times New Roman"/>
          <w:b/>
          <w:color w:val="4F81BD" w:themeColor="accent1"/>
          <w:sz w:val="24"/>
          <w:szCs w:val="24"/>
        </w:rPr>
        <w:t>2</w:t>
      </w:r>
      <w:r w:rsidR="001916A3">
        <w:rPr>
          <w:rFonts w:ascii="Arial Narrow" w:hAnsi="Arial Narrow" w:cs="Times New Roman"/>
          <w:b/>
          <w:color w:val="4F81BD" w:themeColor="accent1"/>
          <w:sz w:val="24"/>
          <w:szCs w:val="24"/>
        </w:rPr>
        <w:t>.2.</w:t>
      </w:r>
      <w:r w:rsidRPr="00624524">
        <w:rPr>
          <w:rFonts w:ascii="Arial Narrow" w:hAnsi="Arial Narrow" w:cs="Times New Roman"/>
          <w:b/>
          <w:color w:val="4F81BD" w:themeColor="accent1"/>
          <w:sz w:val="24"/>
          <w:szCs w:val="24"/>
        </w:rPr>
        <w:t xml:space="preserve"> ‘Αμεση Επίδραση στις αγορές Πετρελαίου </w:t>
      </w:r>
    </w:p>
    <w:p w14:paraId="71D9BAD4" w14:textId="1A6F5FEF" w:rsidR="001948C4" w:rsidRPr="00624524" w:rsidRDefault="001948C4" w:rsidP="001948C4">
      <w:pPr>
        <w:ind w:left="432"/>
        <w:jc w:val="both"/>
        <w:rPr>
          <w:rFonts w:ascii="Arial Narrow" w:hAnsi="Arial Narrow" w:cs="Times New Roman"/>
          <w:b/>
          <w:color w:val="4F81BD" w:themeColor="accent1"/>
          <w:sz w:val="24"/>
          <w:szCs w:val="24"/>
        </w:rPr>
      </w:pPr>
      <w:r w:rsidRPr="00624524">
        <w:rPr>
          <w:rFonts w:ascii="Arial Narrow" w:hAnsi="Arial Narrow" w:cs="Times New Roman"/>
          <w:b/>
          <w:color w:val="4F81BD" w:themeColor="accent1"/>
          <w:sz w:val="24"/>
          <w:szCs w:val="24"/>
        </w:rPr>
        <w:t>Α. Μείωση του γεωπολιτικού κινδύνου</w:t>
      </w:r>
    </w:p>
    <w:p w14:paraId="3DC00414" w14:textId="157E0D4E" w:rsidR="001948C4" w:rsidRDefault="001948C4" w:rsidP="001948C4">
      <w:pPr>
        <w:ind w:left="432"/>
        <w:jc w:val="both"/>
        <w:rPr>
          <w:rFonts w:ascii="Arial Narrow" w:hAnsi="Arial Narrow" w:cs="Times New Roman"/>
          <w:sz w:val="24"/>
          <w:szCs w:val="24"/>
        </w:rPr>
      </w:pPr>
      <w:r>
        <w:rPr>
          <w:rFonts w:ascii="Arial Narrow" w:hAnsi="Arial Narrow" w:cs="Times New Roman"/>
          <w:sz w:val="24"/>
          <w:szCs w:val="24"/>
        </w:rPr>
        <w:t xml:space="preserve">Μετά την ανακοίνωση του Μνημονίου παρατηρήθηκε αποκλιμάκωση του γεωπολτικού </w:t>
      </w:r>
      <w:r>
        <w:rPr>
          <w:rFonts w:ascii="Arial Narrow" w:hAnsi="Arial Narrow" w:cs="Times New Roman"/>
          <w:sz w:val="24"/>
          <w:szCs w:val="24"/>
          <w:lang w:val="en-US"/>
        </w:rPr>
        <w:t>risk</w:t>
      </w:r>
      <w:r w:rsidRPr="001948C4">
        <w:rPr>
          <w:rFonts w:ascii="Arial Narrow" w:hAnsi="Arial Narrow" w:cs="Times New Roman"/>
          <w:sz w:val="24"/>
          <w:szCs w:val="24"/>
        </w:rPr>
        <w:t xml:space="preserve"> </w:t>
      </w:r>
      <w:r>
        <w:rPr>
          <w:rFonts w:ascii="Arial Narrow" w:hAnsi="Arial Narrow" w:cs="Times New Roman"/>
          <w:sz w:val="24"/>
          <w:szCs w:val="24"/>
          <w:lang w:val="en-US"/>
        </w:rPr>
        <w:t>premium</w:t>
      </w:r>
      <w:r w:rsidRPr="001948C4">
        <w:rPr>
          <w:rFonts w:ascii="Arial Narrow" w:hAnsi="Arial Narrow" w:cs="Times New Roman"/>
          <w:sz w:val="24"/>
          <w:szCs w:val="24"/>
        </w:rPr>
        <w:t xml:space="preserve"> </w:t>
      </w:r>
      <w:r>
        <w:rPr>
          <w:rFonts w:ascii="Arial Narrow" w:hAnsi="Arial Narrow" w:cs="Times New Roman"/>
          <w:sz w:val="24"/>
          <w:szCs w:val="24"/>
        </w:rPr>
        <w:t>στις διεθνείες αγορές ενέργειας. Οι αγορές εκτίμησαν θετικά κυρίως:</w:t>
      </w:r>
    </w:p>
    <w:p w14:paraId="1FD11373" w14:textId="024E1BE7" w:rsidR="001948C4" w:rsidRDefault="001948C4" w:rsidP="006E5A5F">
      <w:pPr>
        <w:pStyle w:val="ListParagraph"/>
        <w:numPr>
          <w:ilvl w:val="0"/>
          <w:numId w:val="18"/>
        </w:numPr>
        <w:jc w:val="both"/>
        <w:rPr>
          <w:rFonts w:ascii="Arial Narrow" w:hAnsi="Arial Narrow" w:cs="Times New Roman"/>
          <w:sz w:val="24"/>
          <w:szCs w:val="24"/>
        </w:rPr>
      </w:pPr>
      <w:r>
        <w:rPr>
          <w:rFonts w:ascii="Arial Narrow" w:hAnsi="Arial Narrow" w:cs="Times New Roman"/>
          <w:sz w:val="24"/>
          <w:szCs w:val="24"/>
        </w:rPr>
        <w:t>την προσωρινή παύση των εχθροπραξιών</w:t>
      </w:r>
    </w:p>
    <w:p w14:paraId="09911AED" w14:textId="75E466CF" w:rsidR="001948C4" w:rsidRDefault="001948C4" w:rsidP="006E5A5F">
      <w:pPr>
        <w:pStyle w:val="ListParagraph"/>
        <w:numPr>
          <w:ilvl w:val="0"/>
          <w:numId w:val="18"/>
        </w:numPr>
        <w:jc w:val="both"/>
        <w:rPr>
          <w:rFonts w:ascii="Arial Narrow" w:hAnsi="Arial Narrow" w:cs="Times New Roman"/>
          <w:sz w:val="24"/>
          <w:szCs w:val="24"/>
        </w:rPr>
      </w:pPr>
      <w:r>
        <w:rPr>
          <w:rFonts w:ascii="Arial Narrow" w:hAnsi="Arial Narrow" w:cs="Times New Roman"/>
          <w:sz w:val="24"/>
          <w:szCs w:val="24"/>
        </w:rPr>
        <w:t>τη δέσμευση για επαναλειτουργία των Στενών του Ορμούζ</w:t>
      </w:r>
    </w:p>
    <w:p w14:paraId="5648F9DA" w14:textId="7AB2FDDB" w:rsidR="001948C4" w:rsidRDefault="001948C4" w:rsidP="006E5A5F">
      <w:pPr>
        <w:pStyle w:val="ListParagraph"/>
        <w:numPr>
          <w:ilvl w:val="0"/>
          <w:numId w:val="18"/>
        </w:numPr>
        <w:jc w:val="both"/>
        <w:rPr>
          <w:rFonts w:ascii="Arial Narrow" w:hAnsi="Arial Narrow" w:cs="Times New Roman"/>
          <w:sz w:val="24"/>
          <w:szCs w:val="24"/>
        </w:rPr>
      </w:pPr>
      <w:r>
        <w:rPr>
          <w:rFonts w:ascii="Arial Narrow" w:hAnsi="Arial Narrow" w:cs="Times New Roman"/>
          <w:sz w:val="24"/>
          <w:szCs w:val="24"/>
        </w:rPr>
        <w:t>τη δημιουργία μηχανισμών αποτροπής νέως επεισοδίων στη θαλάσσια περιοχή</w:t>
      </w:r>
    </w:p>
    <w:p w14:paraId="3FC1C759" w14:textId="31238795" w:rsidR="007E4ADE" w:rsidRPr="00624524" w:rsidRDefault="007E4ADE" w:rsidP="007E4ADE">
      <w:pPr>
        <w:ind w:left="432"/>
        <w:jc w:val="both"/>
        <w:rPr>
          <w:rFonts w:ascii="Arial Narrow" w:hAnsi="Arial Narrow" w:cs="Times New Roman"/>
          <w:b/>
          <w:color w:val="4F81BD" w:themeColor="accent1"/>
          <w:sz w:val="24"/>
          <w:szCs w:val="24"/>
        </w:rPr>
      </w:pPr>
      <w:r w:rsidRPr="00624524">
        <w:rPr>
          <w:rFonts w:ascii="Arial Narrow" w:hAnsi="Arial Narrow" w:cs="Times New Roman"/>
          <w:b/>
          <w:color w:val="4F81BD" w:themeColor="accent1"/>
          <w:sz w:val="24"/>
          <w:szCs w:val="24"/>
        </w:rPr>
        <w:t xml:space="preserve">Β. Πιθανή υποχώρηση των τιμών πετρελαίου </w:t>
      </w:r>
    </w:p>
    <w:p w14:paraId="3B153286" w14:textId="00BBBF32" w:rsidR="007E4ADE" w:rsidRDefault="00FD2577" w:rsidP="007E4ADE">
      <w:pPr>
        <w:ind w:left="432"/>
        <w:jc w:val="both"/>
        <w:rPr>
          <w:rFonts w:ascii="Arial Narrow" w:hAnsi="Arial Narrow" w:cs="Times New Roman"/>
          <w:sz w:val="24"/>
          <w:szCs w:val="24"/>
        </w:rPr>
      </w:pPr>
      <w:r>
        <w:rPr>
          <w:rFonts w:ascii="Arial Narrow" w:hAnsi="Arial Narrow" w:cs="Times New Roman"/>
          <w:sz w:val="24"/>
          <w:szCs w:val="24"/>
        </w:rPr>
        <w:t>Η σταδιακή επιστροφή ιρανικών εξαγωγών στην αγορά αυξάνει τη παγκόσμια προσφορά πετρελαίου, γεγονός που μπορεί να ασκήσει πτωτικές πιέσεις στις τιμές. Στις θετικές επιπτώσεις υπολογίζονται η σταθερότερη λειτουργία της αγοράς, η μικρότερη μεταβλητότητα, το χαμηλότερο κόστος μεταφορών και ασφάλισης. Αντίστοιχα στις αρνητικές επιπτώσεις καταλογίζονται η πιθανη μείωση των δημοσίων εσόδων από εξαγωγές υδρογονανθράκων εάν οι τιμές του πετρελαίου υποχωρήσουν σημαντικά</w:t>
      </w:r>
      <w:r w:rsidR="008E4D22">
        <w:rPr>
          <w:rFonts w:ascii="Arial Narrow" w:hAnsi="Arial Narrow" w:cs="Times New Roman"/>
          <w:sz w:val="24"/>
          <w:szCs w:val="24"/>
        </w:rPr>
        <w:t xml:space="preserve">. Ωστόσο, η οικονομία των ΗΑΕ είναι πλέον περισσότερο διαφοροποιημένη, με περίπου το 77% του ΑΕΠ να προέρχεται από μη πετρελαϊκούς κλάδους, περιορίζοντας την εξάρτηση από τις διακυμάνσεις των τιμών του πετρελαίου. </w:t>
      </w:r>
    </w:p>
    <w:p w14:paraId="3DA2A43A" w14:textId="6EE5392E" w:rsidR="008E4D22" w:rsidRPr="001916A3" w:rsidRDefault="008E4D22" w:rsidP="007E4ADE">
      <w:pPr>
        <w:ind w:left="432"/>
        <w:jc w:val="both"/>
        <w:rPr>
          <w:rFonts w:ascii="Arial Narrow" w:hAnsi="Arial Narrow" w:cs="Times New Roman"/>
          <w:b/>
          <w:color w:val="4F81BD" w:themeColor="accent1"/>
          <w:sz w:val="24"/>
          <w:szCs w:val="24"/>
        </w:rPr>
      </w:pPr>
      <w:r w:rsidRPr="001916A3">
        <w:rPr>
          <w:rFonts w:ascii="Arial Narrow" w:hAnsi="Arial Narrow" w:cs="Times New Roman"/>
          <w:b/>
          <w:color w:val="4F81BD" w:themeColor="accent1"/>
          <w:sz w:val="24"/>
          <w:szCs w:val="24"/>
        </w:rPr>
        <w:t>2</w:t>
      </w:r>
      <w:r w:rsidR="001916A3" w:rsidRPr="001916A3">
        <w:rPr>
          <w:rFonts w:ascii="Arial Narrow" w:hAnsi="Arial Narrow" w:cs="Times New Roman"/>
          <w:b/>
          <w:color w:val="4F81BD" w:themeColor="accent1"/>
          <w:sz w:val="24"/>
          <w:szCs w:val="24"/>
        </w:rPr>
        <w:t xml:space="preserve">.3. </w:t>
      </w:r>
      <w:r w:rsidRPr="001916A3">
        <w:rPr>
          <w:rFonts w:ascii="Arial Narrow" w:hAnsi="Arial Narrow" w:cs="Times New Roman"/>
          <w:b/>
          <w:color w:val="4F81BD" w:themeColor="accent1"/>
          <w:sz w:val="24"/>
          <w:szCs w:val="24"/>
        </w:rPr>
        <w:t>Επαναλειτουργία των Στενών του Ορμούζ</w:t>
      </w:r>
    </w:p>
    <w:p w14:paraId="07F915BF" w14:textId="56793D18" w:rsidR="008E4D22" w:rsidRPr="005C5349" w:rsidRDefault="008E4D22" w:rsidP="007E4ADE">
      <w:pPr>
        <w:ind w:left="432"/>
        <w:jc w:val="both"/>
        <w:rPr>
          <w:rFonts w:ascii="Arial Narrow" w:hAnsi="Arial Narrow" w:cs="Times New Roman"/>
          <w:b/>
          <w:sz w:val="24"/>
          <w:szCs w:val="24"/>
        </w:rPr>
      </w:pPr>
      <w:r>
        <w:rPr>
          <w:rFonts w:ascii="Arial Narrow" w:hAnsi="Arial Narrow" w:cs="Times New Roman"/>
          <w:sz w:val="24"/>
          <w:szCs w:val="24"/>
        </w:rPr>
        <w:t>Η σημαντικότερη ίσως οικονομική επίπτωση αφορά την ελεύθερη ναυσιπλόϊα. Το Μνημόνιο προβλέπει αποκατάσταση της ελεύθερης ναυσιπλόϊας, μηχανισμό επικοινωνίας για την αποτροπή επεισοδίων και σταδιακή αποκατάσταση της εμπορικής κίνησης. Τα οφέλη που προέρχονται για τα ΗΑΕ είναι, μεταξύ των άλλων, η μείωση των ασφαλίστρων κινδύνου (</w:t>
      </w:r>
      <w:r w:rsidR="00402D4A">
        <w:rPr>
          <w:rFonts w:ascii="Arial Narrow" w:hAnsi="Arial Narrow" w:cs="Times New Roman"/>
          <w:sz w:val="24"/>
          <w:szCs w:val="24"/>
          <w:lang w:val="en-US"/>
        </w:rPr>
        <w:t>war</w:t>
      </w:r>
      <w:r w:rsidR="00402D4A" w:rsidRPr="00402D4A">
        <w:rPr>
          <w:rFonts w:ascii="Arial Narrow" w:hAnsi="Arial Narrow" w:cs="Times New Roman"/>
          <w:sz w:val="24"/>
          <w:szCs w:val="24"/>
        </w:rPr>
        <w:t xml:space="preserve"> </w:t>
      </w:r>
      <w:r w:rsidR="00402D4A">
        <w:rPr>
          <w:rFonts w:ascii="Arial Narrow" w:hAnsi="Arial Narrow" w:cs="Times New Roman"/>
          <w:sz w:val="24"/>
          <w:szCs w:val="24"/>
          <w:lang w:val="en-US"/>
        </w:rPr>
        <w:t>risk</w:t>
      </w:r>
      <w:r w:rsidR="00402D4A" w:rsidRPr="00402D4A">
        <w:rPr>
          <w:rFonts w:ascii="Arial Narrow" w:hAnsi="Arial Narrow" w:cs="Times New Roman"/>
          <w:sz w:val="24"/>
          <w:szCs w:val="24"/>
        </w:rPr>
        <w:t xml:space="preserve"> </w:t>
      </w:r>
      <w:r w:rsidR="00402D4A">
        <w:rPr>
          <w:rFonts w:ascii="Arial Narrow" w:hAnsi="Arial Narrow" w:cs="Times New Roman"/>
          <w:sz w:val="24"/>
          <w:szCs w:val="24"/>
          <w:lang w:val="en-US"/>
        </w:rPr>
        <w:t>premium</w:t>
      </w:r>
      <w:r w:rsidR="00402D4A" w:rsidRPr="00402D4A">
        <w:rPr>
          <w:rFonts w:ascii="Arial Narrow" w:hAnsi="Arial Narrow" w:cs="Times New Roman"/>
          <w:sz w:val="24"/>
          <w:szCs w:val="24"/>
        </w:rPr>
        <w:t xml:space="preserve">), </w:t>
      </w:r>
      <w:r w:rsidR="00402D4A">
        <w:rPr>
          <w:rFonts w:ascii="Arial Narrow" w:hAnsi="Arial Narrow" w:cs="Times New Roman"/>
          <w:sz w:val="24"/>
          <w:szCs w:val="24"/>
        </w:rPr>
        <w:t xml:space="preserve">το χαμηλότερο κόστος μεταφοράς εμπορευμάτων, οι ταχύτερες εξαγωγές πετρελαίου, η αύξηση της διακίνησης εμπορευματοκιβωτίων και η ενίσχυση τω λιμένων και των υπηρεσιών </w:t>
      </w:r>
      <w:r w:rsidR="00402D4A">
        <w:rPr>
          <w:rFonts w:ascii="Arial Narrow" w:hAnsi="Arial Narrow" w:cs="Times New Roman"/>
          <w:sz w:val="24"/>
          <w:szCs w:val="24"/>
          <w:lang w:val="en-US"/>
        </w:rPr>
        <w:t>logistics</w:t>
      </w:r>
      <w:r w:rsidR="00402D4A" w:rsidRPr="001916A3">
        <w:rPr>
          <w:rFonts w:ascii="Arial Narrow" w:hAnsi="Arial Narrow" w:cs="Times New Roman"/>
          <w:b/>
          <w:sz w:val="24"/>
          <w:szCs w:val="24"/>
        </w:rPr>
        <w:t>.</w:t>
      </w:r>
      <w:r w:rsidR="00681FC1" w:rsidRPr="001916A3">
        <w:rPr>
          <w:rFonts w:ascii="Arial Narrow" w:hAnsi="Arial Narrow" w:cs="Times New Roman"/>
          <w:b/>
          <w:sz w:val="24"/>
          <w:szCs w:val="24"/>
        </w:rPr>
        <w:t xml:space="preserve"> </w:t>
      </w:r>
      <w:r w:rsidR="001916A3" w:rsidRPr="001916A3">
        <w:rPr>
          <w:rFonts w:ascii="Arial Narrow" w:hAnsi="Arial Narrow" w:cs="Times New Roman"/>
          <w:b/>
          <w:sz w:val="24"/>
          <w:szCs w:val="24"/>
        </w:rPr>
        <w:t>Στο σημείο αυτό οφείλουμε</w:t>
      </w:r>
      <w:r w:rsidR="001916A3">
        <w:rPr>
          <w:rFonts w:ascii="Arial Narrow" w:hAnsi="Arial Narrow" w:cs="Times New Roman"/>
          <w:b/>
          <w:sz w:val="24"/>
          <w:szCs w:val="24"/>
        </w:rPr>
        <w:t xml:space="preserve"> να τονίσουμε την ουσιαστική ακύρωση της εφαρμογής του πρόσφατου </w:t>
      </w:r>
      <w:r w:rsidR="005C5349">
        <w:rPr>
          <w:rFonts w:ascii="Arial Narrow" w:hAnsi="Arial Narrow" w:cs="Times New Roman"/>
          <w:b/>
          <w:sz w:val="24"/>
          <w:szCs w:val="24"/>
          <w:lang w:val="en-US"/>
        </w:rPr>
        <w:t>MoU</w:t>
      </w:r>
      <w:r w:rsidR="005C5349" w:rsidRPr="005C5349">
        <w:rPr>
          <w:rFonts w:ascii="Arial Narrow" w:hAnsi="Arial Narrow" w:cs="Times New Roman"/>
          <w:b/>
          <w:sz w:val="24"/>
          <w:szCs w:val="24"/>
        </w:rPr>
        <w:t xml:space="preserve">, </w:t>
      </w:r>
      <w:r w:rsidR="00060A0F">
        <w:rPr>
          <w:rFonts w:ascii="Arial Narrow" w:hAnsi="Arial Narrow" w:cs="Times New Roman"/>
          <w:b/>
          <w:sz w:val="24"/>
          <w:szCs w:val="24"/>
        </w:rPr>
        <w:t xml:space="preserve">μεταξύ ΗΠΑ και Ιράν, </w:t>
      </w:r>
      <w:r w:rsidR="005C5349">
        <w:rPr>
          <w:rFonts w:ascii="Arial Narrow" w:hAnsi="Arial Narrow" w:cs="Times New Roman"/>
          <w:b/>
          <w:sz w:val="24"/>
          <w:szCs w:val="24"/>
        </w:rPr>
        <w:t>σχετικά με την ανεμπόδιστη διέλευση των Στενών του Ορμούζ</w:t>
      </w:r>
      <w:r w:rsidR="00462A9E">
        <w:rPr>
          <w:rFonts w:ascii="Arial Narrow" w:hAnsi="Arial Narrow" w:cs="Times New Roman"/>
          <w:b/>
          <w:sz w:val="24"/>
          <w:szCs w:val="24"/>
        </w:rPr>
        <w:t>, δημιουργώντας ένα νέο κλίμα ανησυχίας και αβεβαιότητας για εξομάλυνση της κατάστασης και σχετικής κανονικότητας για τη διεξαγωγή ελεύθερης και χωρίς περιορισμούς</w:t>
      </w:r>
      <w:r w:rsidR="00060A0F">
        <w:rPr>
          <w:rFonts w:ascii="Arial Narrow" w:hAnsi="Arial Narrow" w:cs="Times New Roman"/>
          <w:b/>
          <w:sz w:val="24"/>
          <w:szCs w:val="24"/>
        </w:rPr>
        <w:t xml:space="preserve"> </w:t>
      </w:r>
      <w:r w:rsidR="00462A9E">
        <w:rPr>
          <w:rFonts w:ascii="Arial Narrow" w:hAnsi="Arial Narrow" w:cs="Times New Roman"/>
          <w:b/>
          <w:sz w:val="24"/>
          <w:szCs w:val="24"/>
        </w:rPr>
        <w:t xml:space="preserve">διεθνούς ναυσιπλοϊας από την εν λόγω περιοχή. </w:t>
      </w:r>
    </w:p>
    <w:p w14:paraId="5B61E304" w14:textId="0DD6DB76" w:rsidR="00681FC1" w:rsidRPr="001916A3" w:rsidRDefault="001916A3" w:rsidP="007E4ADE">
      <w:pPr>
        <w:ind w:left="432"/>
        <w:jc w:val="both"/>
        <w:rPr>
          <w:rFonts w:ascii="Arial Narrow" w:hAnsi="Arial Narrow" w:cs="Times New Roman"/>
          <w:b/>
          <w:color w:val="4F81BD" w:themeColor="accent1"/>
          <w:sz w:val="24"/>
          <w:szCs w:val="24"/>
        </w:rPr>
      </w:pPr>
      <w:r w:rsidRPr="001916A3">
        <w:rPr>
          <w:rFonts w:ascii="Arial Narrow" w:hAnsi="Arial Narrow" w:cs="Times New Roman"/>
          <w:b/>
          <w:color w:val="4F81BD" w:themeColor="accent1"/>
          <w:sz w:val="24"/>
          <w:szCs w:val="24"/>
        </w:rPr>
        <w:t xml:space="preserve">2.4. </w:t>
      </w:r>
      <w:r w:rsidR="00681FC1" w:rsidRPr="001916A3">
        <w:rPr>
          <w:rFonts w:ascii="Arial Narrow" w:hAnsi="Arial Narrow" w:cs="Times New Roman"/>
          <w:b/>
          <w:color w:val="4F81BD" w:themeColor="accent1"/>
          <w:sz w:val="24"/>
          <w:szCs w:val="24"/>
          <w:lang w:val="en-US"/>
        </w:rPr>
        <w:t>E</w:t>
      </w:r>
      <w:r w:rsidR="00681FC1" w:rsidRPr="001916A3">
        <w:rPr>
          <w:rFonts w:ascii="Arial Narrow" w:hAnsi="Arial Narrow" w:cs="Times New Roman"/>
          <w:b/>
          <w:color w:val="4F81BD" w:themeColor="accent1"/>
          <w:sz w:val="24"/>
          <w:szCs w:val="24"/>
        </w:rPr>
        <w:t xml:space="preserve">πίδραση στο τομέα των </w:t>
      </w:r>
      <w:r w:rsidR="00681FC1" w:rsidRPr="001916A3">
        <w:rPr>
          <w:rFonts w:ascii="Arial Narrow" w:hAnsi="Arial Narrow" w:cs="Times New Roman"/>
          <w:b/>
          <w:color w:val="4F81BD" w:themeColor="accent1"/>
          <w:sz w:val="24"/>
          <w:szCs w:val="24"/>
          <w:lang w:val="en-US"/>
        </w:rPr>
        <w:t>Logistics</w:t>
      </w:r>
    </w:p>
    <w:p w14:paraId="50670DB9" w14:textId="06DADEFB" w:rsidR="00681FC1" w:rsidRDefault="00A46E8E" w:rsidP="007E4ADE">
      <w:pPr>
        <w:ind w:left="432"/>
        <w:jc w:val="both"/>
        <w:rPr>
          <w:rFonts w:ascii="Arial Narrow" w:hAnsi="Arial Narrow" w:cs="Times New Roman"/>
          <w:sz w:val="24"/>
          <w:szCs w:val="24"/>
        </w:rPr>
      </w:pPr>
      <w:r>
        <w:rPr>
          <w:rFonts w:ascii="Arial Narrow" w:hAnsi="Arial Narrow" w:cs="Times New Roman"/>
          <w:sz w:val="24"/>
          <w:szCs w:val="24"/>
        </w:rPr>
        <w:t xml:space="preserve">Τα ΗΑΕ αποτελούν τον σημαντικότερο διαμετακομιστικό κόμβο της Μέσης Ανατολής. Η αποκλιμάκωση της έντασης αναμένεται να οδηγήσει σε αύξηση διακίνησης φορτίων, οι περισσότερες διεθνείς ναυτιλιακές συνδέσεις, η μείωση των καθυστερήσεων, η ενίσχυση της ανταγωνιστικότητας των λιμένων. Ιδιαίτερα ωφελούνται το λιμάνι </w:t>
      </w:r>
      <w:r>
        <w:rPr>
          <w:rFonts w:ascii="Arial Narrow" w:hAnsi="Arial Narrow" w:cs="Times New Roman"/>
          <w:sz w:val="24"/>
          <w:szCs w:val="24"/>
          <w:lang w:val="en-US"/>
        </w:rPr>
        <w:t>Jebel</w:t>
      </w:r>
      <w:r w:rsidRPr="00A46E8E">
        <w:rPr>
          <w:rFonts w:ascii="Arial Narrow" w:hAnsi="Arial Narrow" w:cs="Times New Roman"/>
          <w:sz w:val="24"/>
          <w:szCs w:val="24"/>
        </w:rPr>
        <w:t xml:space="preserve"> </w:t>
      </w:r>
      <w:r>
        <w:rPr>
          <w:rFonts w:ascii="Arial Narrow" w:hAnsi="Arial Narrow" w:cs="Times New Roman"/>
          <w:sz w:val="24"/>
          <w:szCs w:val="24"/>
          <w:lang w:val="en-US"/>
        </w:rPr>
        <w:t>Ali</w:t>
      </w:r>
      <w:r w:rsidRPr="00A46E8E">
        <w:rPr>
          <w:rFonts w:ascii="Arial Narrow" w:hAnsi="Arial Narrow" w:cs="Times New Roman"/>
          <w:sz w:val="24"/>
          <w:szCs w:val="24"/>
        </w:rPr>
        <w:t xml:space="preserve">, </w:t>
      </w:r>
      <w:r>
        <w:rPr>
          <w:rFonts w:ascii="Arial Narrow" w:hAnsi="Arial Narrow" w:cs="Times New Roman"/>
          <w:sz w:val="24"/>
          <w:szCs w:val="24"/>
          <w:lang w:val="en-US"/>
        </w:rPr>
        <w:t>Khalifa</w:t>
      </w:r>
      <w:r w:rsidRPr="00A46E8E">
        <w:rPr>
          <w:rFonts w:ascii="Arial Narrow" w:hAnsi="Arial Narrow" w:cs="Times New Roman"/>
          <w:sz w:val="24"/>
          <w:szCs w:val="24"/>
        </w:rPr>
        <w:t xml:space="preserve"> </w:t>
      </w:r>
      <w:r>
        <w:rPr>
          <w:rFonts w:ascii="Arial Narrow" w:hAnsi="Arial Narrow" w:cs="Times New Roman"/>
          <w:sz w:val="24"/>
          <w:szCs w:val="24"/>
          <w:lang w:val="en-US"/>
        </w:rPr>
        <w:t>Port</w:t>
      </w:r>
      <w:r w:rsidRPr="00A46E8E">
        <w:rPr>
          <w:rFonts w:ascii="Arial Narrow" w:hAnsi="Arial Narrow" w:cs="Times New Roman"/>
          <w:sz w:val="24"/>
          <w:szCs w:val="24"/>
        </w:rPr>
        <w:t xml:space="preserve"> </w:t>
      </w:r>
      <w:r>
        <w:rPr>
          <w:rFonts w:ascii="Arial Narrow" w:hAnsi="Arial Narrow" w:cs="Times New Roman"/>
          <w:sz w:val="24"/>
          <w:szCs w:val="24"/>
        </w:rPr>
        <w:t xml:space="preserve">και το λιμάνι της </w:t>
      </w:r>
      <w:r>
        <w:rPr>
          <w:rFonts w:ascii="Arial Narrow" w:hAnsi="Arial Narrow" w:cs="Times New Roman"/>
          <w:sz w:val="24"/>
          <w:szCs w:val="24"/>
          <w:lang w:val="en-US"/>
        </w:rPr>
        <w:t>Fujairah</w:t>
      </w:r>
      <w:r w:rsidRPr="00A46E8E">
        <w:rPr>
          <w:rFonts w:ascii="Arial Narrow" w:hAnsi="Arial Narrow" w:cs="Times New Roman"/>
          <w:sz w:val="24"/>
          <w:szCs w:val="24"/>
        </w:rPr>
        <w:t>.</w:t>
      </w:r>
    </w:p>
    <w:p w14:paraId="15A8FFCE" w14:textId="4FDBDC21" w:rsidR="00A46E8E" w:rsidRPr="002937C8" w:rsidRDefault="00060A0F" w:rsidP="007E4ADE">
      <w:pPr>
        <w:ind w:left="432"/>
        <w:jc w:val="both"/>
        <w:rPr>
          <w:rFonts w:ascii="Arial Narrow" w:hAnsi="Arial Narrow" w:cs="Times New Roman"/>
          <w:b/>
          <w:color w:val="4F81BD" w:themeColor="accent1"/>
          <w:sz w:val="28"/>
          <w:szCs w:val="28"/>
        </w:rPr>
      </w:pPr>
      <w:r w:rsidRPr="002937C8">
        <w:rPr>
          <w:rFonts w:ascii="Arial Narrow" w:hAnsi="Arial Narrow" w:cs="Times New Roman"/>
          <w:b/>
          <w:color w:val="4F81BD" w:themeColor="accent1"/>
          <w:sz w:val="28"/>
          <w:szCs w:val="28"/>
        </w:rPr>
        <w:t xml:space="preserve">3. </w:t>
      </w:r>
      <w:r w:rsidR="00A46E8E" w:rsidRPr="002937C8">
        <w:rPr>
          <w:rFonts w:ascii="Arial Narrow" w:hAnsi="Arial Narrow" w:cs="Times New Roman"/>
          <w:b/>
          <w:color w:val="4F81BD" w:themeColor="accent1"/>
          <w:sz w:val="28"/>
          <w:szCs w:val="28"/>
        </w:rPr>
        <w:t xml:space="preserve">Τουρισμός </w:t>
      </w:r>
    </w:p>
    <w:p w14:paraId="1D8CF2DD" w14:textId="5E2AA867" w:rsidR="00A346DE" w:rsidRPr="00205BE4" w:rsidRDefault="00A46E8E" w:rsidP="00205BE4">
      <w:pPr>
        <w:ind w:left="432"/>
        <w:jc w:val="both"/>
        <w:rPr>
          <w:rFonts w:ascii="Arial Narrow" w:hAnsi="Arial Narrow" w:cs="Times New Roman"/>
          <w:sz w:val="24"/>
          <w:szCs w:val="24"/>
        </w:rPr>
      </w:pPr>
      <w:r>
        <w:rPr>
          <w:rFonts w:ascii="Arial Narrow" w:hAnsi="Arial Narrow" w:cs="Times New Roman"/>
          <w:sz w:val="24"/>
          <w:szCs w:val="24"/>
        </w:rPr>
        <w:t xml:space="preserve">Η ασφάλεια αποτελεί καθοριστικό παράγοντα για τον τουρισμό. Με τη μείωση της έντασης και του κλίματος αβεβαιότητας και δυσπιστίας που επικρατεί αναμένονται αύξηση των κρατήσεων, περισσότερες αεροπορικές συνδέσεις, ενίσχυση του συνεδριακού τουρισμού, αύξηση της επιχειρηματικής ταξιδιωτικής κίνησης. Το </w:t>
      </w:r>
      <w:r>
        <w:rPr>
          <w:rFonts w:ascii="Arial Narrow" w:hAnsi="Arial Narrow" w:cs="Times New Roman"/>
          <w:sz w:val="24"/>
          <w:szCs w:val="24"/>
          <w:lang w:val="en-US"/>
        </w:rPr>
        <w:t>DUBAI</w:t>
      </w:r>
      <w:r w:rsidRPr="00A46E8E">
        <w:rPr>
          <w:rFonts w:ascii="Arial Narrow" w:hAnsi="Arial Narrow" w:cs="Times New Roman"/>
          <w:sz w:val="24"/>
          <w:szCs w:val="24"/>
        </w:rPr>
        <w:t xml:space="preserve"> </w:t>
      </w:r>
      <w:r>
        <w:rPr>
          <w:rFonts w:ascii="Arial Narrow" w:hAnsi="Arial Narrow" w:cs="Times New Roman"/>
          <w:sz w:val="24"/>
          <w:szCs w:val="24"/>
        </w:rPr>
        <w:t xml:space="preserve">και το </w:t>
      </w:r>
      <w:r w:rsidRPr="00A46E8E">
        <w:rPr>
          <w:rFonts w:ascii="Arial Narrow" w:hAnsi="Arial Narrow" w:cs="Times New Roman"/>
          <w:sz w:val="24"/>
          <w:szCs w:val="24"/>
        </w:rPr>
        <w:t xml:space="preserve"> </w:t>
      </w:r>
      <w:r>
        <w:rPr>
          <w:rFonts w:ascii="Arial Narrow" w:hAnsi="Arial Narrow" w:cs="Times New Roman"/>
          <w:sz w:val="24"/>
          <w:szCs w:val="24"/>
          <w:lang w:val="en-US"/>
        </w:rPr>
        <w:t>ABU</w:t>
      </w:r>
      <w:r w:rsidRPr="00A46E8E">
        <w:rPr>
          <w:rFonts w:ascii="Arial Narrow" w:hAnsi="Arial Narrow" w:cs="Times New Roman"/>
          <w:sz w:val="24"/>
          <w:szCs w:val="24"/>
        </w:rPr>
        <w:t>-</w:t>
      </w:r>
      <w:r>
        <w:rPr>
          <w:rFonts w:ascii="Arial Narrow" w:hAnsi="Arial Narrow" w:cs="Times New Roman"/>
          <w:sz w:val="24"/>
          <w:szCs w:val="24"/>
          <w:lang w:val="en-US"/>
        </w:rPr>
        <w:t>DHABI</w:t>
      </w:r>
      <w:r w:rsidRPr="00A46E8E">
        <w:rPr>
          <w:rFonts w:ascii="Arial Narrow" w:hAnsi="Arial Narrow" w:cs="Times New Roman"/>
          <w:sz w:val="24"/>
          <w:szCs w:val="24"/>
        </w:rPr>
        <w:t xml:space="preserve"> </w:t>
      </w:r>
      <w:r>
        <w:rPr>
          <w:rFonts w:ascii="Arial Narrow" w:hAnsi="Arial Narrow" w:cs="Times New Roman"/>
          <w:sz w:val="24"/>
          <w:szCs w:val="24"/>
        </w:rPr>
        <w:t xml:space="preserve">αναμένεται να επωφεληθούν ιδιαίτερα. </w:t>
      </w:r>
    </w:p>
    <w:p w14:paraId="7A8F60E6" w14:textId="6BD47168" w:rsidR="00A46E8E" w:rsidRPr="002937C8" w:rsidRDefault="00060A0F" w:rsidP="007E4ADE">
      <w:pPr>
        <w:ind w:left="432"/>
        <w:jc w:val="both"/>
        <w:rPr>
          <w:rFonts w:ascii="Arial Narrow" w:hAnsi="Arial Narrow" w:cs="Times New Roman"/>
          <w:b/>
          <w:color w:val="4F81BD" w:themeColor="accent1"/>
          <w:sz w:val="28"/>
          <w:szCs w:val="28"/>
        </w:rPr>
      </w:pPr>
      <w:r w:rsidRPr="002937C8">
        <w:rPr>
          <w:rFonts w:ascii="Arial Narrow" w:hAnsi="Arial Narrow" w:cs="Times New Roman"/>
          <w:b/>
          <w:color w:val="4F81BD" w:themeColor="accent1"/>
          <w:sz w:val="28"/>
          <w:szCs w:val="28"/>
        </w:rPr>
        <w:t xml:space="preserve">4. </w:t>
      </w:r>
      <w:r w:rsidR="00A46E8E" w:rsidRPr="002937C8">
        <w:rPr>
          <w:rFonts w:ascii="Arial Narrow" w:hAnsi="Arial Narrow" w:cs="Times New Roman"/>
          <w:b/>
          <w:color w:val="4F81BD" w:themeColor="accent1"/>
          <w:sz w:val="28"/>
          <w:szCs w:val="28"/>
        </w:rPr>
        <w:t>Άμεσες Ξένες Επενδύσεις (</w:t>
      </w:r>
      <w:r w:rsidR="00A46E8E" w:rsidRPr="002937C8">
        <w:rPr>
          <w:rFonts w:ascii="Arial Narrow" w:hAnsi="Arial Narrow" w:cs="Times New Roman"/>
          <w:b/>
          <w:color w:val="4F81BD" w:themeColor="accent1"/>
          <w:sz w:val="28"/>
          <w:szCs w:val="28"/>
          <w:lang w:val="en-US"/>
        </w:rPr>
        <w:t>FDI</w:t>
      </w:r>
      <w:r w:rsidR="00A46E8E" w:rsidRPr="002937C8">
        <w:rPr>
          <w:rFonts w:ascii="Arial Narrow" w:hAnsi="Arial Narrow" w:cs="Times New Roman"/>
          <w:b/>
          <w:color w:val="4F81BD" w:themeColor="accent1"/>
          <w:sz w:val="28"/>
          <w:szCs w:val="28"/>
        </w:rPr>
        <w:t>)</w:t>
      </w:r>
    </w:p>
    <w:p w14:paraId="1D5FCE91" w14:textId="6EACAE27" w:rsidR="00A346DE" w:rsidRDefault="004A1016" w:rsidP="007E4ADE">
      <w:pPr>
        <w:ind w:left="432"/>
        <w:jc w:val="both"/>
        <w:rPr>
          <w:rFonts w:ascii="Arial Narrow" w:hAnsi="Arial Narrow" w:cs="Times New Roman"/>
          <w:sz w:val="24"/>
          <w:szCs w:val="24"/>
        </w:rPr>
      </w:pPr>
      <w:r>
        <w:rPr>
          <w:rFonts w:ascii="Arial Narrow" w:hAnsi="Arial Narrow" w:cs="Times New Roman"/>
          <w:sz w:val="24"/>
          <w:szCs w:val="24"/>
        </w:rPr>
        <w:t xml:space="preserve">Η γεωπολιτική σταθερότητα αποτελεί βασικό παράγοντα για τις επενδυτικές αποφάσεις. Η αποκλιμάκωση μπορεί να οδηγήσει σε αύξηση των επενδύσεων, μείωση του </w:t>
      </w:r>
      <w:r>
        <w:rPr>
          <w:rFonts w:ascii="Arial Narrow" w:hAnsi="Arial Narrow" w:cs="Times New Roman"/>
          <w:sz w:val="24"/>
          <w:szCs w:val="24"/>
          <w:lang w:val="en-US"/>
        </w:rPr>
        <w:t>country</w:t>
      </w:r>
      <w:r w:rsidRPr="004A1016">
        <w:rPr>
          <w:rFonts w:ascii="Arial Narrow" w:hAnsi="Arial Narrow" w:cs="Times New Roman"/>
          <w:sz w:val="24"/>
          <w:szCs w:val="24"/>
        </w:rPr>
        <w:t xml:space="preserve"> </w:t>
      </w:r>
      <w:r>
        <w:rPr>
          <w:rFonts w:ascii="Arial Narrow" w:hAnsi="Arial Narrow" w:cs="Times New Roman"/>
          <w:sz w:val="24"/>
          <w:szCs w:val="24"/>
          <w:lang w:val="en-US"/>
        </w:rPr>
        <w:t>risk</w:t>
      </w:r>
      <w:r w:rsidRPr="004A1016">
        <w:rPr>
          <w:rFonts w:ascii="Arial Narrow" w:hAnsi="Arial Narrow" w:cs="Times New Roman"/>
          <w:sz w:val="24"/>
          <w:szCs w:val="24"/>
        </w:rPr>
        <w:t xml:space="preserve">, </w:t>
      </w:r>
      <w:r>
        <w:rPr>
          <w:rFonts w:ascii="Arial Narrow" w:hAnsi="Arial Narrow" w:cs="Times New Roman"/>
          <w:sz w:val="24"/>
          <w:szCs w:val="24"/>
        </w:rPr>
        <w:t>βελτίωση της πιστοληπτικής εικόνας της περιοχής, προσέλκυση πολυεθνικών επιχειρήσεων. Οι κλάδοι που αναμένεται να προσελκύσουν περισσότερα κεφάλαια είναι η τεχνολογία, η τεχνητή νοημοσύνη (</w:t>
      </w:r>
      <w:r>
        <w:rPr>
          <w:rFonts w:ascii="Arial Narrow" w:hAnsi="Arial Narrow" w:cs="Times New Roman"/>
          <w:sz w:val="24"/>
          <w:szCs w:val="24"/>
          <w:lang w:val="en-US"/>
        </w:rPr>
        <w:t>AI</w:t>
      </w:r>
      <w:r w:rsidRPr="004A1016">
        <w:rPr>
          <w:rFonts w:ascii="Arial Narrow" w:hAnsi="Arial Narrow" w:cs="Times New Roman"/>
          <w:sz w:val="24"/>
          <w:szCs w:val="24"/>
        </w:rPr>
        <w:t xml:space="preserve">), </w:t>
      </w:r>
      <w:r>
        <w:rPr>
          <w:rFonts w:ascii="Arial Narrow" w:hAnsi="Arial Narrow" w:cs="Times New Roman"/>
          <w:sz w:val="24"/>
          <w:szCs w:val="24"/>
        </w:rPr>
        <w:t xml:space="preserve">τα </w:t>
      </w:r>
      <w:r>
        <w:rPr>
          <w:rFonts w:ascii="Arial Narrow" w:hAnsi="Arial Narrow" w:cs="Times New Roman"/>
          <w:sz w:val="24"/>
          <w:szCs w:val="24"/>
          <w:lang w:val="en-US"/>
        </w:rPr>
        <w:t>data</w:t>
      </w:r>
      <w:r w:rsidRPr="004A1016">
        <w:rPr>
          <w:rFonts w:ascii="Arial Narrow" w:hAnsi="Arial Narrow" w:cs="Times New Roman"/>
          <w:sz w:val="24"/>
          <w:szCs w:val="24"/>
        </w:rPr>
        <w:t xml:space="preserve"> </w:t>
      </w:r>
      <w:r>
        <w:rPr>
          <w:rFonts w:ascii="Arial Narrow" w:hAnsi="Arial Narrow" w:cs="Times New Roman"/>
          <w:sz w:val="24"/>
          <w:szCs w:val="24"/>
          <w:lang w:val="en-US"/>
        </w:rPr>
        <w:t>centers</w:t>
      </w:r>
      <w:r w:rsidRPr="004A1016">
        <w:rPr>
          <w:rFonts w:ascii="Arial Narrow" w:hAnsi="Arial Narrow" w:cs="Times New Roman"/>
          <w:sz w:val="24"/>
          <w:szCs w:val="24"/>
        </w:rPr>
        <w:t xml:space="preserve">, </w:t>
      </w:r>
      <w:r>
        <w:rPr>
          <w:rFonts w:ascii="Arial Narrow" w:hAnsi="Arial Narrow" w:cs="Times New Roman"/>
          <w:sz w:val="24"/>
          <w:szCs w:val="24"/>
        </w:rPr>
        <w:t>οι Ανανεώσιμες Πηγές Ενέργειας και οι χρηματοπιστωτικές υπηρεσίες.</w:t>
      </w:r>
    </w:p>
    <w:p w14:paraId="156E388E" w14:textId="3997DE58" w:rsidR="004A1016" w:rsidRPr="00624524" w:rsidRDefault="00060A0F" w:rsidP="007E4ADE">
      <w:pPr>
        <w:ind w:left="432"/>
        <w:jc w:val="both"/>
        <w:rPr>
          <w:rFonts w:ascii="Arial Narrow" w:hAnsi="Arial Narrow" w:cs="Times New Roman"/>
          <w:b/>
          <w:color w:val="1F497D" w:themeColor="text2"/>
          <w:sz w:val="28"/>
          <w:szCs w:val="28"/>
        </w:rPr>
      </w:pPr>
      <w:r>
        <w:rPr>
          <w:rFonts w:ascii="Arial Narrow" w:hAnsi="Arial Narrow" w:cs="Times New Roman"/>
          <w:b/>
          <w:color w:val="1F497D" w:themeColor="text2"/>
          <w:sz w:val="28"/>
          <w:szCs w:val="28"/>
        </w:rPr>
        <w:t xml:space="preserve">5. </w:t>
      </w:r>
      <w:r w:rsidR="004A1016" w:rsidRPr="00624524">
        <w:rPr>
          <w:rFonts w:ascii="Arial Narrow" w:hAnsi="Arial Narrow" w:cs="Times New Roman"/>
          <w:b/>
          <w:color w:val="1F497D" w:themeColor="text2"/>
          <w:sz w:val="28"/>
          <w:szCs w:val="28"/>
        </w:rPr>
        <w:t>Χρηματοπιστωτικός Τομέας</w:t>
      </w:r>
    </w:p>
    <w:p w14:paraId="5C2557A2" w14:textId="4CCD5849" w:rsidR="004A1016" w:rsidRDefault="004A1016" w:rsidP="007E4ADE">
      <w:pPr>
        <w:ind w:left="432"/>
        <w:jc w:val="both"/>
        <w:rPr>
          <w:rFonts w:ascii="Arial Narrow" w:hAnsi="Arial Narrow" w:cs="Times New Roman"/>
          <w:sz w:val="24"/>
          <w:szCs w:val="24"/>
        </w:rPr>
      </w:pPr>
      <w:r>
        <w:rPr>
          <w:rFonts w:ascii="Arial Narrow" w:hAnsi="Arial Narrow" w:cs="Times New Roman"/>
          <w:sz w:val="24"/>
          <w:szCs w:val="24"/>
        </w:rPr>
        <w:t>Τα χρηματιστήρια σε Ντουμπάϊ και Αμπου – Ντάμπι αντέδραααν θετικά με τις πρώτες ενδείξεις αποκλιμάκωσης. Η σταδιακή βελτίωση του επενδυτικού κλίματος μπορεί να οδηγήσει σε αυξημένες εισροές κεφαλαίων, οι περισσότερες δημόσιες εγγραφές (</w:t>
      </w:r>
      <w:r>
        <w:rPr>
          <w:rFonts w:ascii="Arial Narrow" w:hAnsi="Arial Narrow" w:cs="Times New Roman"/>
          <w:sz w:val="24"/>
          <w:szCs w:val="24"/>
          <w:lang w:val="en-US"/>
        </w:rPr>
        <w:t>IPO</w:t>
      </w:r>
      <w:r w:rsidRPr="004A1016">
        <w:rPr>
          <w:rFonts w:ascii="Arial Narrow" w:hAnsi="Arial Narrow" w:cs="Times New Roman"/>
          <w:sz w:val="24"/>
          <w:szCs w:val="24"/>
        </w:rPr>
        <w:t>’</w:t>
      </w:r>
      <w:r>
        <w:rPr>
          <w:rFonts w:ascii="Arial Narrow" w:hAnsi="Arial Narrow" w:cs="Times New Roman"/>
          <w:sz w:val="24"/>
          <w:szCs w:val="24"/>
          <w:lang w:val="en-US"/>
        </w:rPr>
        <w:t>s</w:t>
      </w:r>
      <w:r w:rsidRPr="004A1016">
        <w:rPr>
          <w:rFonts w:ascii="Arial Narrow" w:hAnsi="Arial Narrow" w:cs="Times New Roman"/>
          <w:sz w:val="24"/>
          <w:szCs w:val="24"/>
        </w:rPr>
        <w:t xml:space="preserve">), </w:t>
      </w:r>
      <w:r w:rsidR="005F2750">
        <w:rPr>
          <w:rFonts w:ascii="Arial Narrow" w:hAnsi="Arial Narrow" w:cs="Times New Roman"/>
          <w:sz w:val="24"/>
          <w:szCs w:val="24"/>
        </w:rPr>
        <w:t>η ενίσχυση της τραπεζικής χρηματοδότησης και η αύξηση της διαχείρισης περιουσιακών στοιχείων.</w:t>
      </w:r>
    </w:p>
    <w:p w14:paraId="6CE4A244" w14:textId="24272ED0" w:rsidR="005F2750" w:rsidRPr="00624524" w:rsidRDefault="00060A0F" w:rsidP="007E4ADE">
      <w:pPr>
        <w:ind w:left="432"/>
        <w:jc w:val="both"/>
        <w:rPr>
          <w:rFonts w:ascii="Arial Narrow" w:hAnsi="Arial Narrow" w:cs="Times New Roman"/>
          <w:b/>
          <w:color w:val="1F497D" w:themeColor="text2"/>
          <w:sz w:val="28"/>
          <w:szCs w:val="28"/>
        </w:rPr>
      </w:pPr>
      <w:r>
        <w:rPr>
          <w:rFonts w:ascii="Arial Narrow" w:hAnsi="Arial Narrow" w:cs="Times New Roman"/>
          <w:b/>
          <w:color w:val="1F497D" w:themeColor="text2"/>
          <w:sz w:val="28"/>
          <w:szCs w:val="28"/>
        </w:rPr>
        <w:t>6</w:t>
      </w:r>
      <w:r w:rsidR="005F2750" w:rsidRPr="00624524">
        <w:rPr>
          <w:rFonts w:ascii="Arial Narrow" w:hAnsi="Arial Narrow" w:cs="Times New Roman"/>
          <w:b/>
          <w:color w:val="1F497D" w:themeColor="text2"/>
          <w:sz w:val="28"/>
          <w:szCs w:val="28"/>
        </w:rPr>
        <w:t>.</w:t>
      </w:r>
      <w:r>
        <w:rPr>
          <w:rFonts w:ascii="Arial Narrow" w:hAnsi="Arial Narrow" w:cs="Times New Roman"/>
          <w:b/>
          <w:color w:val="1F497D" w:themeColor="text2"/>
          <w:sz w:val="28"/>
          <w:szCs w:val="28"/>
        </w:rPr>
        <w:t xml:space="preserve"> </w:t>
      </w:r>
      <w:r w:rsidR="005F2750" w:rsidRPr="00624524">
        <w:rPr>
          <w:rFonts w:ascii="Arial Narrow" w:hAnsi="Arial Narrow" w:cs="Times New Roman"/>
          <w:b/>
          <w:color w:val="1F497D" w:themeColor="text2"/>
          <w:sz w:val="28"/>
          <w:szCs w:val="28"/>
        </w:rPr>
        <w:t xml:space="preserve">Ακίνητη </w:t>
      </w:r>
      <w:r w:rsidR="005572EC" w:rsidRPr="00624524">
        <w:rPr>
          <w:rFonts w:ascii="Arial Narrow" w:hAnsi="Arial Narrow" w:cs="Times New Roman"/>
          <w:b/>
          <w:color w:val="1F497D" w:themeColor="text2"/>
          <w:sz w:val="28"/>
          <w:szCs w:val="28"/>
        </w:rPr>
        <w:t xml:space="preserve">Περιουσία </w:t>
      </w:r>
    </w:p>
    <w:p w14:paraId="77A4203E" w14:textId="3553466F" w:rsidR="005572EC" w:rsidRDefault="005572EC" w:rsidP="005572EC">
      <w:pPr>
        <w:ind w:left="432"/>
        <w:jc w:val="both"/>
        <w:rPr>
          <w:rFonts w:ascii="Arial Narrow" w:hAnsi="Arial Narrow" w:cs="Times New Roman"/>
          <w:sz w:val="24"/>
          <w:szCs w:val="24"/>
        </w:rPr>
      </w:pPr>
      <w:r>
        <w:rPr>
          <w:rFonts w:ascii="Arial Narrow" w:hAnsi="Arial Narrow" w:cs="Times New Roman"/>
          <w:sz w:val="24"/>
          <w:szCs w:val="24"/>
        </w:rPr>
        <w:t>Η αγορά ακινήτων πιθανόν να επωφεληθεί από μεγαλύτερη εμπιστοσύνη ξένων επενδυτών, αύξηση της ζήτησης για κατοικίες και επαγγελματικούς χώρους και η ενίσχυση της αγοράς πολυτελών ακινήτων.</w:t>
      </w:r>
    </w:p>
    <w:p w14:paraId="4F00198C" w14:textId="4C1901C6" w:rsidR="005572EC" w:rsidRPr="00624524" w:rsidRDefault="00060A0F" w:rsidP="005572EC">
      <w:pPr>
        <w:ind w:left="432"/>
        <w:jc w:val="both"/>
        <w:rPr>
          <w:rFonts w:ascii="Arial Narrow" w:hAnsi="Arial Narrow" w:cs="Times New Roman"/>
          <w:b/>
          <w:color w:val="1F497D" w:themeColor="text2"/>
          <w:sz w:val="28"/>
          <w:szCs w:val="28"/>
        </w:rPr>
      </w:pPr>
      <w:r>
        <w:rPr>
          <w:rFonts w:ascii="Arial Narrow" w:hAnsi="Arial Narrow" w:cs="Times New Roman"/>
          <w:b/>
          <w:color w:val="1F497D" w:themeColor="text2"/>
          <w:sz w:val="28"/>
          <w:szCs w:val="28"/>
        </w:rPr>
        <w:t>7</w:t>
      </w:r>
      <w:r w:rsidR="005572EC" w:rsidRPr="00624524">
        <w:rPr>
          <w:rFonts w:ascii="Arial Narrow" w:hAnsi="Arial Narrow" w:cs="Times New Roman"/>
          <w:b/>
          <w:color w:val="1F497D" w:themeColor="text2"/>
          <w:sz w:val="28"/>
          <w:szCs w:val="28"/>
        </w:rPr>
        <w:t xml:space="preserve">. Εμπόριο </w:t>
      </w:r>
    </w:p>
    <w:p w14:paraId="2A8A3872" w14:textId="7BEAD624" w:rsidR="005572EC" w:rsidRDefault="005572EC" w:rsidP="005572EC">
      <w:pPr>
        <w:ind w:left="432"/>
        <w:jc w:val="both"/>
        <w:rPr>
          <w:rFonts w:ascii="Arial Narrow" w:hAnsi="Arial Narrow" w:cs="Times New Roman"/>
          <w:sz w:val="24"/>
          <w:szCs w:val="24"/>
        </w:rPr>
      </w:pPr>
      <w:r>
        <w:rPr>
          <w:rFonts w:ascii="Arial Narrow" w:hAnsi="Arial Narrow" w:cs="Times New Roman"/>
          <w:sz w:val="24"/>
          <w:szCs w:val="24"/>
        </w:rPr>
        <w:t xml:space="preserve">Η επανεκκίνηση της οικονομικής δραστηριότητας του Ιράν ενδέχεται να δημιουργήσει νέες εμπορικές ευκαιρίες για τα ΗΑΕ. </w:t>
      </w:r>
      <w:r w:rsidR="00630964">
        <w:rPr>
          <w:rFonts w:ascii="Arial Narrow" w:hAnsi="Arial Narrow" w:cs="Times New Roman"/>
          <w:sz w:val="24"/>
          <w:szCs w:val="24"/>
        </w:rPr>
        <w:t xml:space="preserve">Οι τομείς με τις μεγαλύτερες προοπτικές είναι οι επανεξαγωγές, τα τρόφιμα, τα φαρμακευτικά προϊόντα, τα δομικά υλικά, ο βιομηχανικός εξοπλισμός και τα </w:t>
      </w:r>
      <w:r w:rsidR="00630964">
        <w:rPr>
          <w:rFonts w:ascii="Arial Narrow" w:hAnsi="Arial Narrow" w:cs="Times New Roman"/>
          <w:sz w:val="24"/>
          <w:szCs w:val="24"/>
          <w:lang w:val="en-US"/>
        </w:rPr>
        <w:t>logistics</w:t>
      </w:r>
      <w:r w:rsidR="00630964" w:rsidRPr="00630964">
        <w:rPr>
          <w:rFonts w:ascii="Arial Narrow" w:hAnsi="Arial Narrow" w:cs="Times New Roman"/>
          <w:sz w:val="24"/>
          <w:szCs w:val="24"/>
        </w:rPr>
        <w:t xml:space="preserve">. </w:t>
      </w:r>
      <w:r w:rsidR="00630964">
        <w:rPr>
          <w:rFonts w:ascii="Arial Narrow" w:hAnsi="Arial Narrow" w:cs="Times New Roman"/>
          <w:sz w:val="24"/>
          <w:szCs w:val="24"/>
        </w:rPr>
        <w:t>Παράλληλα, εάν χαλαρώσουν και οι κυρώσεις, μέρος του εμπορίου που σήμερα διέρχεται μέσω των ΗΑΕ ενδέχεται να κατευθυνθεί απευθείας προς το Ιράν, αυξάνοντας τον ανταγωνισμό.</w:t>
      </w:r>
    </w:p>
    <w:p w14:paraId="00FE6A87" w14:textId="4AC2780C" w:rsidR="00630964" w:rsidRPr="002C2272" w:rsidRDefault="00060A0F" w:rsidP="005572EC">
      <w:pPr>
        <w:ind w:left="432"/>
        <w:jc w:val="both"/>
        <w:rPr>
          <w:rFonts w:ascii="Arial Narrow" w:hAnsi="Arial Narrow" w:cs="Times New Roman"/>
          <w:b/>
          <w:color w:val="1F497D" w:themeColor="text2"/>
          <w:sz w:val="28"/>
          <w:szCs w:val="28"/>
        </w:rPr>
      </w:pPr>
      <w:r>
        <w:rPr>
          <w:rFonts w:ascii="Arial Narrow" w:hAnsi="Arial Narrow" w:cs="Times New Roman"/>
          <w:b/>
          <w:color w:val="1F497D" w:themeColor="text2"/>
          <w:sz w:val="28"/>
          <w:szCs w:val="28"/>
        </w:rPr>
        <w:t>8</w:t>
      </w:r>
      <w:r w:rsidR="00630964" w:rsidRPr="002C2272">
        <w:rPr>
          <w:rFonts w:ascii="Arial Narrow" w:hAnsi="Arial Narrow" w:cs="Times New Roman"/>
          <w:b/>
          <w:color w:val="1F497D" w:themeColor="text2"/>
          <w:sz w:val="28"/>
          <w:szCs w:val="28"/>
        </w:rPr>
        <w:t xml:space="preserve">. Δημοσιονομικές Επιπτώσεις </w:t>
      </w:r>
    </w:p>
    <w:p w14:paraId="150DDF5B" w14:textId="6D4E8309" w:rsidR="00630964" w:rsidRDefault="00630964" w:rsidP="005572EC">
      <w:pPr>
        <w:ind w:left="432"/>
        <w:jc w:val="both"/>
        <w:rPr>
          <w:rFonts w:ascii="Arial Narrow" w:hAnsi="Arial Narrow" w:cs="Times New Roman"/>
          <w:sz w:val="24"/>
          <w:szCs w:val="24"/>
        </w:rPr>
      </w:pPr>
      <w:r>
        <w:rPr>
          <w:rFonts w:ascii="Arial Narrow" w:hAnsi="Arial Narrow" w:cs="Times New Roman"/>
          <w:sz w:val="24"/>
          <w:szCs w:val="24"/>
        </w:rPr>
        <w:t>Στις δημοσιονομικές επιπτώσεις ως θετικές επιπτώσεις καταγράφονται η υψηλότερη οικονομική δραστηριότητα, τα αυξημένα φορολογικά έσοδα από ΦΠΑ και την εταιρική φορολογία και τις μεγαλύτερες ιδιωτικές επενδύσεις. Αντίστοιχα στις αρνητικές επιπτώσεις</w:t>
      </w:r>
      <w:r w:rsidR="00C06DF5">
        <w:rPr>
          <w:rFonts w:ascii="Arial Narrow" w:hAnsi="Arial Narrow" w:cs="Times New Roman"/>
          <w:sz w:val="24"/>
          <w:szCs w:val="24"/>
        </w:rPr>
        <w:t xml:space="preserve"> καταγράφεται ο κίνδυνος </w:t>
      </w:r>
      <w:r w:rsidR="00411B30">
        <w:rPr>
          <w:rFonts w:ascii="Arial Narrow" w:hAnsi="Arial Narrow" w:cs="Times New Roman"/>
          <w:sz w:val="24"/>
          <w:szCs w:val="24"/>
        </w:rPr>
        <w:t xml:space="preserve">μείωσης των πετρελαϊκών εσόδων για τα ΗΑΕ και, εφόσον οι διεθνείς τιμές πετρελαίου υποχωρήσουν αισθητά λόγω αύξησης της προσφοράς από το Ιράν. Ωστόσο, η διαφοροποίηση της οικονομίας λειτουργεί ως σημαντικός παράγων απορρόφησης των κραδασμών. </w:t>
      </w:r>
    </w:p>
    <w:p w14:paraId="7805F424" w14:textId="453C1E6F" w:rsidR="00015A9C" w:rsidRPr="002C2272" w:rsidRDefault="00060A0F" w:rsidP="005572EC">
      <w:pPr>
        <w:ind w:left="432"/>
        <w:jc w:val="both"/>
        <w:rPr>
          <w:rFonts w:ascii="Arial Narrow" w:hAnsi="Arial Narrow" w:cs="Times New Roman"/>
          <w:b/>
          <w:color w:val="1F497D" w:themeColor="text2"/>
          <w:sz w:val="28"/>
          <w:szCs w:val="28"/>
        </w:rPr>
      </w:pPr>
      <w:r>
        <w:rPr>
          <w:rFonts w:ascii="Arial Narrow" w:hAnsi="Arial Narrow" w:cs="Times New Roman"/>
          <w:b/>
          <w:color w:val="1F497D" w:themeColor="text2"/>
          <w:sz w:val="28"/>
          <w:szCs w:val="28"/>
        </w:rPr>
        <w:t>9.</w:t>
      </w:r>
      <w:r w:rsidR="00015A9C" w:rsidRPr="002C2272">
        <w:rPr>
          <w:rFonts w:ascii="Arial Narrow" w:hAnsi="Arial Narrow" w:cs="Times New Roman"/>
          <w:b/>
          <w:color w:val="1F497D" w:themeColor="text2"/>
          <w:sz w:val="28"/>
          <w:szCs w:val="28"/>
        </w:rPr>
        <w:t>Κίνδυνοι και Αβεβαιότητες</w:t>
      </w:r>
    </w:p>
    <w:p w14:paraId="39A47FDE" w14:textId="22B0E19D" w:rsidR="00015A9C" w:rsidRDefault="00015A9C" w:rsidP="00015A9C">
      <w:pPr>
        <w:ind w:left="432"/>
        <w:jc w:val="both"/>
        <w:rPr>
          <w:rFonts w:ascii="Arial Narrow" w:hAnsi="Arial Narrow" w:cs="Times New Roman"/>
          <w:sz w:val="24"/>
          <w:szCs w:val="24"/>
        </w:rPr>
      </w:pPr>
      <w:r>
        <w:rPr>
          <w:rFonts w:ascii="Arial Narrow" w:hAnsi="Arial Narrow" w:cs="Times New Roman"/>
          <w:sz w:val="24"/>
          <w:szCs w:val="24"/>
        </w:rPr>
        <w:t>Παρά τα θετικά μηνύματα, εξακολουθούν να ελοχεύουν σημαντικοί κίνδυνο όπως:</w:t>
      </w:r>
    </w:p>
    <w:p w14:paraId="76CC0286" w14:textId="543A526D" w:rsidR="00015A9C" w:rsidRDefault="00015A9C" w:rsidP="006E5A5F">
      <w:pPr>
        <w:pStyle w:val="ListParagraph"/>
        <w:numPr>
          <w:ilvl w:val="0"/>
          <w:numId w:val="19"/>
        </w:numPr>
        <w:jc w:val="both"/>
        <w:rPr>
          <w:rFonts w:ascii="Arial Narrow" w:hAnsi="Arial Narrow" w:cs="Times New Roman"/>
          <w:color w:val="FF0000"/>
          <w:sz w:val="24"/>
          <w:szCs w:val="24"/>
        </w:rPr>
      </w:pPr>
      <w:r w:rsidRPr="00015A9C">
        <w:rPr>
          <w:rFonts w:ascii="Arial Narrow" w:hAnsi="Arial Narrow" w:cs="Times New Roman"/>
          <w:color w:val="FF0000"/>
          <w:sz w:val="24"/>
          <w:szCs w:val="24"/>
        </w:rPr>
        <w:t xml:space="preserve">το Μνημόνιο Κατανόησης αποτελεί </w:t>
      </w:r>
      <w:r>
        <w:rPr>
          <w:rFonts w:ascii="Arial Narrow" w:hAnsi="Arial Narrow" w:cs="Times New Roman"/>
          <w:color w:val="FF0000"/>
          <w:sz w:val="24"/>
          <w:szCs w:val="24"/>
        </w:rPr>
        <w:t>προσωρινό πλαίσιο και όχι οριστική ειρηνευτική συμφωνία.</w:t>
      </w:r>
    </w:p>
    <w:p w14:paraId="5C791190" w14:textId="1F1DFF1C" w:rsidR="00015A9C" w:rsidRDefault="00015A9C" w:rsidP="006E5A5F">
      <w:pPr>
        <w:pStyle w:val="ListParagraph"/>
        <w:numPr>
          <w:ilvl w:val="0"/>
          <w:numId w:val="19"/>
        </w:numPr>
        <w:jc w:val="both"/>
        <w:rPr>
          <w:rFonts w:ascii="Arial Narrow" w:hAnsi="Arial Narrow" w:cs="Times New Roman"/>
          <w:color w:val="FF0000"/>
          <w:sz w:val="24"/>
          <w:szCs w:val="24"/>
        </w:rPr>
      </w:pPr>
      <w:r>
        <w:rPr>
          <w:rFonts w:ascii="Arial Narrow" w:hAnsi="Arial Narrow" w:cs="Times New Roman"/>
          <w:color w:val="FF0000"/>
          <w:sz w:val="24"/>
          <w:szCs w:val="24"/>
        </w:rPr>
        <w:t>Βασικά ζητήματα, όπως το πυρηνικό πρόγραμμα του Ιράν και η πλήρης άρση των κυρώσεων, παραπέμπονται στις διαπραγματεύσεις των επόμενων 60 ημερών.</w:t>
      </w:r>
    </w:p>
    <w:p w14:paraId="5CD0935C" w14:textId="4E3B86F8" w:rsidR="00015A9C" w:rsidRDefault="00015A9C" w:rsidP="006E5A5F">
      <w:pPr>
        <w:pStyle w:val="ListParagraph"/>
        <w:numPr>
          <w:ilvl w:val="0"/>
          <w:numId w:val="19"/>
        </w:numPr>
        <w:jc w:val="both"/>
        <w:rPr>
          <w:rFonts w:ascii="Arial Narrow" w:hAnsi="Arial Narrow" w:cs="Times New Roman"/>
          <w:color w:val="FF0000"/>
          <w:sz w:val="24"/>
          <w:szCs w:val="24"/>
        </w:rPr>
      </w:pPr>
      <w:r>
        <w:rPr>
          <w:rFonts w:ascii="Arial Narrow" w:hAnsi="Arial Narrow" w:cs="Times New Roman"/>
          <w:color w:val="FF0000"/>
          <w:sz w:val="24"/>
          <w:szCs w:val="24"/>
        </w:rPr>
        <w:t>Ορισμένες συγκρούσεις στη περιοχή συνεχίζονται, γεγονός που διατηρεί την αβεβαιότητα για την πλήρη λειτουργία της συμφωνίας.</w:t>
      </w:r>
    </w:p>
    <w:p w14:paraId="5CB5C7E3" w14:textId="7EEE9F3B" w:rsidR="00015A9C" w:rsidRDefault="00015A9C" w:rsidP="006E5A5F">
      <w:pPr>
        <w:pStyle w:val="ListParagraph"/>
        <w:numPr>
          <w:ilvl w:val="0"/>
          <w:numId w:val="19"/>
        </w:numPr>
        <w:jc w:val="both"/>
        <w:rPr>
          <w:rFonts w:ascii="Arial Narrow" w:hAnsi="Arial Narrow" w:cs="Times New Roman"/>
          <w:color w:val="FF0000"/>
          <w:sz w:val="24"/>
          <w:szCs w:val="24"/>
        </w:rPr>
      </w:pPr>
      <w:r>
        <w:rPr>
          <w:rFonts w:ascii="Arial Narrow" w:hAnsi="Arial Narrow" w:cs="Times New Roman"/>
          <w:color w:val="FF0000"/>
          <w:sz w:val="24"/>
          <w:szCs w:val="24"/>
        </w:rPr>
        <w:t xml:space="preserve">Οι αγορές παραμένουν επιφυλακτικές </w:t>
      </w:r>
      <w:r w:rsidR="006E07EF">
        <w:rPr>
          <w:rFonts w:ascii="Arial Narrow" w:hAnsi="Arial Narrow" w:cs="Times New Roman"/>
          <w:color w:val="FF0000"/>
          <w:sz w:val="24"/>
          <w:szCs w:val="24"/>
        </w:rPr>
        <w:t>ως προς την βιωσιμότητα του Μνημονίου και αντιδρούν με συγκρατημένη αισιοδοξία.</w:t>
      </w:r>
    </w:p>
    <w:p w14:paraId="235FA042" w14:textId="747C8315" w:rsidR="006E07EF" w:rsidRPr="002C2272" w:rsidRDefault="006E07EF" w:rsidP="006E07EF">
      <w:pPr>
        <w:ind w:left="432"/>
        <w:jc w:val="both"/>
        <w:rPr>
          <w:rFonts w:ascii="Arial Narrow" w:hAnsi="Arial Narrow" w:cs="Times New Roman"/>
          <w:b/>
          <w:color w:val="1F497D" w:themeColor="text2"/>
          <w:sz w:val="28"/>
          <w:szCs w:val="28"/>
        </w:rPr>
      </w:pPr>
      <w:r w:rsidRPr="002C2272">
        <w:rPr>
          <w:rFonts w:ascii="Arial Narrow" w:hAnsi="Arial Narrow" w:cs="Times New Roman"/>
          <w:b/>
          <w:color w:val="1F497D" w:themeColor="text2"/>
          <w:sz w:val="28"/>
          <w:szCs w:val="28"/>
        </w:rPr>
        <w:t>1</w:t>
      </w:r>
      <w:r w:rsidR="00060A0F">
        <w:rPr>
          <w:rFonts w:ascii="Arial Narrow" w:hAnsi="Arial Narrow" w:cs="Times New Roman"/>
          <w:b/>
          <w:color w:val="1F497D" w:themeColor="text2"/>
          <w:sz w:val="28"/>
          <w:szCs w:val="28"/>
        </w:rPr>
        <w:t>0</w:t>
      </w:r>
      <w:r w:rsidRPr="002C2272">
        <w:rPr>
          <w:rFonts w:ascii="Arial Narrow" w:hAnsi="Arial Narrow" w:cs="Times New Roman"/>
          <w:b/>
          <w:color w:val="1F497D" w:themeColor="text2"/>
          <w:sz w:val="28"/>
          <w:szCs w:val="28"/>
        </w:rPr>
        <w:t>. Συμπεράσματα</w:t>
      </w:r>
    </w:p>
    <w:p w14:paraId="2959656A" w14:textId="5969D50F" w:rsidR="006E07EF" w:rsidRDefault="006E07EF" w:rsidP="006E07EF">
      <w:pPr>
        <w:ind w:left="432"/>
        <w:jc w:val="both"/>
        <w:rPr>
          <w:rFonts w:ascii="Arial Narrow" w:hAnsi="Arial Narrow" w:cs="Times New Roman"/>
          <w:sz w:val="24"/>
          <w:szCs w:val="24"/>
        </w:rPr>
      </w:pPr>
      <w:r>
        <w:rPr>
          <w:rFonts w:ascii="Arial Narrow" w:hAnsi="Arial Narrow" w:cs="Times New Roman"/>
          <w:sz w:val="24"/>
          <w:szCs w:val="24"/>
        </w:rPr>
        <w:t>Η υπογραφή του Μνημονίου ΗΠΑ – Ιράν αποτελεί, για την οικονομία των ΗΑΕ, μία σημαντική αλλά μεταβατική θετική εξέλιξη. Η αποκλιμάκωση της έντασης στον Αραβικό Κόλπο, η προοπτική ομαλοποίησης της ναυσιπλόϊας στα Στενά του Ορμούζ και η πιθανή χαλάρωση των κυρώσεων κατά του Ιράν βελτιώνουν το επιχειρηματικό και επενδυτικό περιβάλλον των ΗΑΕ. Οι μεγαλύτεροι ωφελημένοι τομείς αναμένεται να είναι:</w:t>
      </w:r>
    </w:p>
    <w:p w14:paraId="4C1F9723" w14:textId="49CA683C" w:rsidR="006E07EF" w:rsidRPr="006E07EF" w:rsidRDefault="006E07EF" w:rsidP="006E5A5F">
      <w:pPr>
        <w:pStyle w:val="ListParagraph"/>
        <w:numPr>
          <w:ilvl w:val="0"/>
          <w:numId w:val="20"/>
        </w:numPr>
        <w:jc w:val="both"/>
        <w:rPr>
          <w:rFonts w:ascii="Arial Narrow" w:hAnsi="Arial Narrow" w:cs="Times New Roman"/>
          <w:sz w:val="24"/>
          <w:szCs w:val="24"/>
        </w:rPr>
      </w:pPr>
      <w:r>
        <w:rPr>
          <w:rFonts w:ascii="Arial Narrow" w:hAnsi="Arial Narrow" w:cs="Times New Roman"/>
          <w:sz w:val="24"/>
          <w:szCs w:val="24"/>
        </w:rPr>
        <w:t xml:space="preserve">οι μεταφορές και τα </w:t>
      </w:r>
      <w:r>
        <w:rPr>
          <w:rFonts w:ascii="Arial Narrow" w:hAnsi="Arial Narrow" w:cs="Times New Roman"/>
          <w:sz w:val="24"/>
          <w:szCs w:val="24"/>
          <w:lang w:val="en-US"/>
        </w:rPr>
        <w:t>Logistics</w:t>
      </w:r>
    </w:p>
    <w:p w14:paraId="750DA973" w14:textId="6FC04473" w:rsidR="006E07EF" w:rsidRDefault="006E07EF" w:rsidP="006E5A5F">
      <w:pPr>
        <w:pStyle w:val="ListParagraph"/>
        <w:numPr>
          <w:ilvl w:val="0"/>
          <w:numId w:val="20"/>
        </w:numPr>
        <w:jc w:val="both"/>
        <w:rPr>
          <w:rFonts w:ascii="Arial Narrow" w:hAnsi="Arial Narrow" w:cs="Times New Roman"/>
          <w:sz w:val="24"/>
          <w:szCs w:val="24"/>
        </w:rPr>
      </w:pPr>
      <w:r>
        <w:rPr>
          <w:rFonts w:ascii="Arial Narrow" w:hAnsi="Arial Narrow" w:cs="Times New Roman"/>
          <w:sz w:val="24"/>
          <w:szCs w:val="24"/>
        </w:rPr>
        <w:t>οι λιμενικές υπηρεσίες</w:t>
      </w:r>
    </w:p>
    <w:p w14:paraId="3E0ED109" w14:textId="748B644E" w:rsidR="006E07EF" w:rsidRDefault="006E07EF" w:rsidP="006E5A5F">
      <w:pPr>
        <w:pStyle w:val="ListParagraph"/>
        <w:numPr>
          <w:ilvl w:val="0"/>
          <w:numId w:val="20"/>
        </w:numPr>
        <w:jc w:val="both"/>
        <w:rPr>
          <w:rFonts w:ascii="Arial Narrow" w:hAnsi="Arial Narrow" w:cs="Times New Roman"/>
          <w:sz w:val="24"/>
          <w:szCs w:val="24"/>
        </w:rPr>
      </w:pPr>
      <w:r>
        <w:rPr>
          <w:rFonts w:ascii="Arial Narrow" w:hAnsi="Arial Narrow" w:cs="Times New Roman"/>
          <w:sz w:val="24"/>
          <w:szCs w:val="24"/>
        </w:rPr>
        <w:t>ο τουρισμός</w:t>
      </w:r>
    </w:p>
    <w:p w14:paraId="229401B1" w14:textId="01BABDE8" w:rsidR="006E07EF" w:rsidRDefault="006E07EF" w:rsidP="006E5A5F">
      <w:pPr>
        <w:pStyle w:val="ListParagraph"/>
        <w:numPr>
          <w:ilvl w:val="0"/>
          <w:numId w:val="20"/>
        </w:numPr>
        <w:jc w:val="both"/>
        <w:rPr>
          <w:rFonts w:ascii="Arial Narrow" w:hAnsi="Arial Narrow" w:cs="Times New Roman"/>
          <w:sz w:val="24"/>
          <w:szCs w:val="24"/>
        </w:rPr>
      </w:pPr>
      <w:r>
        <w:rPr>
          <w:rFonts w:ascii="Arial Narrow" w:hAnsi="Arial Narrow" w:cs="Times New Roman"/>
          <w:sz w:val="24"/>
          <w:szCs w:val="24"/>
        </w:rPr>
        <w:t>οι χρηματοπιστωτικές υπηρεσίες</w:t>
      </w:r>
    </w:p>
    <w:p w14:paraId="74141E82" w14:textId="511C4F47" w:rsidR="006E07EF" w:rsidRDefault="006E07EF" w:rsidP="006E5A5F">
      <w:pPr>
        <w:pStyle w:val="ListParagraph"/>
        <w:numPr>
          <w:ilvl w:val="0"/>
          <w:numId w:val="20"/>
        </w:numPr>
        <w:jc w:val="both"/>
        <w:rPr>
          <w:rFonts w:ascii="Arial Narrow" w:hAnsi="Arial Narrow" w:cs="Times New Roman"/>
          <w:sz w:val="24"/>
          <w:szCs w:val="24"/>
        </w:rPr>
      </w:pPr>
      <w:r>
        <w:rPr>
          <w:rFonts w:ascii="Arial Narrow" w:hAnsi="Arial Narrow" w:cs="Times New Roman"/>
          <w:sz w:val="24"/>
          <w:szCs w:val="24"/>
        </w:rPr>
        <w:t>η αγορά ακινήτων</w:t>
      </w:r>
    </w:p>
    <w:p w14:paraId="3DCD28C7" w14:textId="354BC98D" w:rsidR="006E07EF" w:rsidRDefault="006E07EF" w:rsidP="006E5A5F">
      <w:pPr>
        <w:pStyle w:val="ListParagraph"/>
        <w:numPr>
          <w:ilvl w:val="0"/>
          <w:numId w:val="20"/>
        </w:numPr>
        <w:jc w:val="both"/>
        <w:rPr>
          <w:rFonts w:ascii="Arial Narrow" w:hAnsi="Arial Narrow" w:cs="Times New Roman"/>
          <w:sz w:val="24"/>
          <w:szCs w:val="24"/>
        </w:rPr>
      </w:pPr>
      <w:r>
        <w:rPr>
          <w:rFonts w:ascii="Arial Narrow" w:hAnsi="Arial Narrow" w:cs="Times New Roman"/>
          <w:sz w:val="24"/>
          <w:szCs w:val="24"/>
        </w:rPr>
        <w:t>οι άμεσες ξένες επενδύσεις</w:t>
      </w:r>
    </w:p>
    <w:p w14:paraId="1A0D0ABE" w14:textId="12BB0491" w:rsidR="00A46E8E" w:rsidRPr="006E5A5F" w:rsidRDefault="006E07EF" w:rsidP="006E5A5F">
      <w:pPr>
        <w:ind w:left="432"/>
        <w:jc w:val="both"/>
        <w:rPr>
          <w:rFonts w:ascii="Arial Narrow" w:hAnsi="Arial Narrow" w:cs="Times New Roman"/>
          <w:sz w:val="24"/>
          <w:szCs w:val="24"/>
        </w:rPr>
      </w:pPr>
      <w:r>
        <w:rPr>
          <w:rFonts w:ascii="Arial Narrow" w:hAnsi="Arial Narrow" w:cs="Times New Roman"/>
          <w:sz w:val="24"/>
          <w:szCs w:val="24"/>
        </w:rPr>
        <w:t>Από την άλλη πλευρά, η πιθανή αύξηση των ιρανικών εξαγωγών πετρελαίου ενδέχεται να περιορίσει τις διεθνείς τιμές του πετρελαίου, μειώνοντας μέρος των πετρελαϊκών εσόδων των ΗΑΕ. Ωστόσο, η αυξημένη συμμετοχή του μη πετρελαϊκού τομέα στο ΑΕΠ και η συνεχιζόμενη πολιτική οικονομικής διαφοροποίησης καθιστούν την οικονομία των ΗΑΕ περισσότερο ανθεκτική σε τέτοιες διακυμάνσεις. Συνολικά, εφόσον το Μνημόνιο εφαρμοστεί επιτυχώς και οδηγήσει σε μόνιμη συμφωνία, οι καθαρές επιπτώσεις για την οικονομία των ΗΑΕ εκτιμάται ότι θα είναι θετικέ</w:t>
      </w:r>
      <w:r w:rsidR="006E5A5F">
        <w:rPr>
          <w:rFonts w:ascii="Arial Narrow" w:hAnsi="Arial Narrow" w:cs="Times New Roman"/>
          <w:sz w:val="24"/>
          <w:szCs w:val="24"/>
        </w:rPr>
        <w:t>ς, με ενίσχυση της περιφερειακής σταθερότητας, του εμπορίου και της ελκυστικότητας της χώρας ως διεθνούς επιχειρηματικού και χρηματοοικονομικού κόμβου.</w:t>
      </w:r>
    </w:p>
    <w:p w14:paraId="514CBC74" w14:textId="375B86B9" w:rsidR="001963FC" w:rsidRPr="00205BE4" w:rsidRDefault="00060A0F" w:rsidP="00060A0F">
      <w:pPr>
        <w:pStyle w:val="Heading1"/>
        <w:numPr>
          <w:ilvl w:val="0"/>
          <w:numId w:val="0"/>
        </w:numPr>
        <w:ind w:left="432"/>
        <w:rPr>
          <w:rFonts w:ascii="Arial Narrow" w:hAnsi="Arial Narrow"/>
        </w:rPr>
      </w:pPr>
      <w:bookmarkStart w:id="1" w:name="_Toc200448515"/>
      <w:r>
        <w:rPr>
          <w:rFonts w:ascii="Arial Narrow" w:hAnsi="Arial Narrow"/>
          <w:color w:val="1F497D" w:themeColor="text2"/>
        </w:rPr>
        <w:t xml:space="preserve">11. </w:t>
      </w:r>
      <w:r w:rsidR="001963FC" w:rsidRPr="00205BE4">
        <w:rPr>
          <w:rFonts w:ascii="Arial Narrow" w:hAnsi="Arial Narrow"/>
          <w:color w:val="1F497D" w:themeColor="text2"/>
        </w:rPr>
        <w:t>Ο</w:t>
      </w:r>
      <w:r w:rsidR="00381C2D" w:rsidRPr="00205BE4">
        <w:rPr>
          <w:rFonts w:ascii="Arial Narrow" w:hAnsi="Arial Narrow"/>
          <w:color w:val="1F497D" w:themeColor="text2"/>
        </w:rPr>
        <w:t>ΙΚΟΝΟΜΙΑ</w:t>
      </w:r>
      <w:r w:rsidR="006E5A5F" w:rsidRPr="00205BE4">
        <w:rPr>
          <w:rFonts w:ascii="Arial Narrow" w:hAnsi="Arial Narrow"/>
          <w:color w:val="1F497D" w:themeColor="text2"/>
        </w:rPr>
        <w:t xml:space="preserve"> </w:t>
      </w:r>
      <w:r w:rsidR="001963FC" w:rsidRPr="00205BE4">
        <w:rPr>
          <w:rFonts w:ascii="Arial Narrow" w:hAnsi="Arial Narrow"/>
          <w:color w:val="1F497D" w:themeColor="text2"/>
        </w:rPr>
        <w:t>HΝΩΜΕΝΩΝ ΑΡΑΒΙΚΩΝ ΕΜΙΡΑΤ</w:t>
      </w:r>
      <w:r w:rsidR="001963FC" w:rsidRPr="00205BE4">
        <w:rPr>
          <w:rFonts w:ascii="Arial Narrow" w:hAnsi="Arial Narrow"/>
        </w:rPr>
        <w:t>ΩΝ</w:t>
      </w:r>
      <w:bookmarkEnd w:id="1"/>
    </w:p>
    <w:p w14:paraId="4A19D30A" w14:textId="61CE57EA" w:rsidR="00BC4A21" w:rsidRDefault="00060A0F" w:rsidP="00060A0F">
      <w:pPr>
        <w:pStyle w:val="Heading2"/>
        <w:numPr>
          <w:ilvl w:val="0"/>
          <w:numId w:val="0"/>
        </w:numPr>
        <w:rPr>
          <w:rFonts w:ascii="Arial Narrow" w:hAnsi="Arial Narrow"/>
          <w:color w:val="1F497D" w:themeColor="text2"/>
          <w:sz w:val="28"/>
          <w:szCs w:val="28"/>
        </w:rPr>
      </w:pPr>
      <w:bookmarkStart w:id="2" w:name="_Επισκόπηση_της_Οικονομίας"/>
      <w:bookmarkStart w:id="3" w:name="_Toc200448516"/>
      <w:bookmarkEnd w:id="2"/>
      <w:r>
        <w:rPr>
          <w:rFonts w:ascii="Arial Narrow" w:hAnsi="Arial Narrow"/>
          <w:color w:val="1F497D" w:themeColor="text2"/>
          <w:sz w:val="28"/>
          <w:szCs w:val="28"/>
        </w:rPr>
        <w:t xml:space="preserve">11.1. </w:t>
      </w:r>
      <w:r w:rsidR="006316F2" w:rsidRPr="002C2272">
        <w:rPr>
          <w:rFonts w:ascii="Arial Narrow" w:hAnsi="Arial Narrow"/>
          <w:color w:val="1F497D" w:themeColor="text2"/>
          <w:sz w:val="28"/>
          <w:szCs w:val="28"/>
        </w:rPr>
        <w:t>Επισκόπηση</w:t>
      </w:r>
      <w:r w:rsidR="003D00F0" w:rsidRPr="002C2272">
        <w:rPr>
          <w:rFonts w:ascii="Arial Narrow" w:hAnsi="Arial Narrow"/>
          <w:color w:val="1F497D" w:themeColor="text2"/>
          <w:sz w:val="28"/>
          <w:szCs w:val="28"/>
        </w:rPr>
        <w:t xml:space="preserve"> </w:t>
      </w:r>
      <w:r w:rsidR="00FB0CE7" w:rsidRPr="002C2272">
        <w:rPr>
          <w:rFonts w:ascii="Arial Narrow" w:hAnsi="Arial Narrow"/>
          <w:color w:val="1F497D" w:themeColor="text2"/>
          <w:sz w:val="28"/>
          <w:szCs w:val="28"/>
        </w:rPr>
        <w:t xml:space="preserve">&amp; Δομή </w:t>
      </w:r>
      <w:r w:rsidR="006316F2" w:rsidRPr="002C2272">
        <w:rPr>
          <w:rFonts w:ascii="Arial Narrow" w:hAnsi="Arial Narrow"/>
          <w:color w:val="1F497D" w:themeColor="text2"/>
          <w:sz w:val="28"/>
          <w:szCs w:val="28"/>
        </w:rPr>
        <w:t xml:space="preserve">της </w:t>
      </w:r>
      <w:r w:rsidR="00425667" w:rsidRPr="002C2272">
        <w:rPr>
          <w:rFonts w:ascii="Arial Narrow" w:hAnsi="Arial Narrow"/>
          <w:color w:val="1F497D" w:themeColor="text2"/>
          <w:sz w:val="28"/>
          <w:szCs w:val="28"/>
        </w:rPr>
        <w:t>Ο</w:t>
      </w:r>
      <w:r w:rsidR="006316F2" w:rsidRPr="002C2272">
        <w:rPr>
          <w:rFonts w:ascii="Arial Narrow" w:hAnsi="Arial Narrow"/>
          <w:color w:val="1F497D" w:themeColor="text2"/>
          <w:sz w:val="28"/>
          <w:szCs w:val="28"/>
        </w:rPr>
        <w:t>ικονομίας των ΗΑΕ</w:t>
      </w:r>
      <w:bookmarkEnd w:id="3"/>
    </w:p>
    <w:p w14:paraId="3B5C3E87" w14:textId="77777777" w:rsidR="002C2272" w:rsidRPr="002C2272" w:rsidRDefault="002C2272" w:rsidP="002C2272"/>
    <w:p w14:paraId="57C62178" w14:textId="027FDF0B" w:rsidR="00D4488C" w:rsidRPr="007B69F7" w:rsidRDefault="00D4488C" w:rsidP="00567BCF">
      <w:pPr>
        <w:spacing w:after="120"/>
        <w:ind w:firstLine="567"/>
        <w:jc w:val="both"/>
        <w:rPr>
          <w:rFonts w:ascii="Arial Narrow" w:hAnsi="Arial Narrow" w:cs="Times New Roman"/>
          <w:sz w:val="24"/>
          <w:szCs w:val="24"/>
          <w:lang w:eastAsia="en-GB"/>
        </w:rPr>
      </w:pPr>
      <w:r w:rsidRPr="007B69F7">
        <w:rPr>
          <w:rFonts w:ascii="Arial Narrow" w:hAnsi="Arial Narrow" w:cs="Times New Roman"/>
          <w:sz w:val="24"/>
          <w:szCs w:val="24"/>
          <w:lang w:eastAsia="en-GB"/>
        </w:rPr>
        <w:t xml:space="preserve">Η οικονομία των ΗΑΕ είναι η </w:t>
      </w:r>
      <w:r w:rsidR="00644625" w:rsidRPr="007B69F7">
        <w:rPr>
          <w:rFonts w:ascii="Arial Narrow" w:hAnsi="Arial Narrow" w:cs="Times New Roman"/>
          <w:b/>
          <w:sz w:val="24"/>
          <w:szCs w:val="24"/>
          <w:lang w:eastAsia="en-GB"/>
        </w:rPr>
        <w:t>4</w:t>
      </w:r>
      <w:r w:rsidR="00EA0A74" w:rsidRPr="007B69F7">
        <w:rPr>
          <w:rFonts w:ascii="Arial Narrow" w:hAnsi="Arial Narrow" w:cs="Times New Roman"/>
          <w:b/>
          <w:sz w:val="24"/>
          <w:szCs w:val="24"/>
          <w:vertAlign w:val="superscript"/>
          <w:lang w:eastAsia="en-GB"/>
        </w:rPr>
        <w:t>η</w:t>
      </w:r>
      <w:r w:rsidRPr="007B69F7">
        <w:rPr>
          <w:rFonts w:ascii="Arial Narrow" w:hAnsi="Arial Narrow" w:cs="Times New Roman"/>
          <w:b/>
          <w:sz w:val="24"/>
          <w:szCs w:val="24"/>
          <w:lang w:eastAsia="en-GB"/>
        </w:rPr>
        <w:t xml:space="preserve"> σημαντικότερη στην περιοχή</w:t>
      </w:r>
      <w:r w:rsidRPr="007B69F7">
        <w:rPr>
          <w:rFonts w:ascii="Arial Narrow" w:hAnsi="Arial Narrow" w:cs="Times New Roman"/>
          <w:sz w:val="24"/>
          <w:szCs w:val="24"/>
          <w:lang w:eastAsia="en-GB"/>
        </w:rPr>
        <w:t xml:space="preserve"> της Μέσης Ανατολής και Βόρειας Αφρικής</w:t>
      </w:r>
      <w:r w:rsidR="00644625" w:rsidRPr="007B69F7">
        <w:rPr>
          <w:rFonts w:ascii="Arial Narrow" w:hAnsi="Arial Narrow" w:cs="Times New Roman"/>
          <w:sz w:val="24"/>
          <w:szCs w:val="24"/>
          <w:lang w:eastAsia="en-GB"/>
        </w:rPr>
        <w:t>, βάσει ΑΕΠ</w:t>
      </w:r>
      <w:r w:rsidR="00597816" w:rsidRPr="007B69F7">
        <w:rPr>
          <w:rFonts w:ascii="Arial Narrow" w:hAnsi="Arial Narrow" w:cs="Times New Roman"/>
          <w:sz w:val="24"/>
          <w:szCs w:val="24"/>
          <w:lang w:eastAsia="en-GB"/>
        </w:rPr>
        <w:t>. Επίσης, είναι</w:t>
      </w:r>
      <w:r w:rsidRPr="007B69F7">
        <w:rPr>
          <w:rFonts w:ascii="Arial Narrow" w:hAnsi="Arial Narrow" w:cs="Times New Roman"/>
          <w:sz w:val="24"/>
          <w:szCs w:val="24"/>
          <w:lang w:eastAsia="en-GB"/>
        </w:rPr>
        <w:t xml:space="preserve"> </w:t>
      </w:r>
      <w:r w:rsidR="00644625" w:rsidRPr="007B69F7">
        <w:rPr>
          <w:rFonts w:ascii="Arial Narrow" w:hAnsi="Arial Narrow" w:cs="Times New Roman"/>
          <w:b/>
          <w:sz w:val="24"/>
          <w:szCs w:val="24"/>
          <w:lang w:eastAsia="en-GB"/>
        </w:rPr>
        <w:t>2</w:t>
      </w:r>
      <w:r w:rsidR="00EA0A74" w:rsidRPr="007B69F7">
        <w:rPr>
          <w:rFonts w:ascii="Arial Narrow" w:hAnsi="Arial Narrow" w:cs="Times New Roman"/>
          <w:b/>
          <w:sz w:val="24"/>
          <w:szCs w:val="24"/>
          <w:vertAlign w:val="superscript"/>
          <w:lang w:eastAsia="en-GB"/>
        </w:rPr>
        <w:t>η</w:t>
      </w:r>
      <w:r w:rsidRPr="007B69F7">
        <w:rPr>
          <w:rFonts w:ascii="Arial Narrow" w:hAnsi="Arial Narrow" w:cs="Times New Roman"/>
          <w:b/>
          <w:sz w:val="24"/>
          <w:szCs w:val="24"/>
          <w:lang w:eastAsia="en-GB"/>
        </w:rPr>
        <w:t xml:space="preserve"> μεταξύ των αραβικών χωρών</w:t>
      </w:r>
      <w:r w:rsidR="00EA0A74" w:rsidRPr="007B69F7">
        <w:rPr>
          <w:rFonts w:ascii="Arial Narrow" w:hAnsi="Arial Narrow" w:cs="Times New Roman"/>
          <w:sz w:val="24"/>
          <w:szCs w:val="24"/>
          <w:lang w:eastAsia="en-GB"/>
        </w:rPr>
        <w:t>,</w:t>
      </w:r>
      <w:r w:rsidRPr="007B69F7">
        <w:rPr>
          <w:rFonts w:ascii="Arial Narrow" w:hAnsi="Arial Narrow" w:cs="Times New Roman"/>
          <w:sz w:val="24"/>
          <w:szCs w:val="24"/>
          <w:lang w:eastAsia="en-GB"/>
        </w:rPr>
        <w:t xml:space="preserve"> με ΑΕΠ περ</w:t>
      </w:r>
      <w:r w:rsidR="00EA0A74" w:rsidRPr="007B69F7">
        <w:rPr>
          <w:rFonts w:ascii="Arial Narrow" w:hAnsi="Arial Narrow" w:cs="Times New Roman"/>
          <w:sz w:val="24"/>
          <w:szCs w:val="24"/>
          <w:lang w:eastAsia="en-GB"/>
        </w:rPr>
        <w:t>ίπου</w:t>
      </w:r>
      <w:r w:rsidRPr="007B69F7">
        <w:rPr>
          <w:rFonts w:ascii="Arial Narrow" w:hAnsi="Arial Narrow" w:cs="Times New Roman"/>
          <w:sz w:val="24"/>
          <w:szCs w:val="24"/>
          <w:lang w:eastAsia="en-GB"/>
        </w:rPr>
        <w:t xml:space="preserve"> </w:t>
      </w:r>
      <w:r w:rsidR="00EA0A74" w:rsidRPr="007B69F7">
        <w:rPr>
          <w:rFonts w:ascii="Arial Narrow" w:hAnsi="Arial Narrow" w:cs="Times New Roman"/>
          <w:b/>
          <w:sz w:val="24"/>
          <w:szCs w:val="24"/>
          <w:lang w:eastAsia="en-GB"/>
        </w:rPr>
        <w:t>$</w:t>
      </w:r>
      <w:r w:rsidR="005E5F82" w:rsidRPr="007B69F7">
        <w:rPr>
          <w:rFonts w:ascii="Arial Narrow" w:hAnsi="Arial Narrow" w:cs="Times New Roman"/>
          <w:b/>
          <w:sz w:val="24"/>
          <w:szCs w:val="24"/>
          <w:lang w:eastAsia="en-GB"/>
        </w:rPr>
        <w:t>44</w:t>
      </w:r>
      <w:r w:rsidR="00FB1DA8" w:rsidRPr="007B69F7">
        <w:rPr>
          <w:rFonts w:ascii="Arial Narrow" w:hAnsi="Arial Narrow" w:cs="Times New Roman"/>
          <w:b/>
          <w:sz w:val="24"/>
          <w:szCs w:val="24"/>
          <w:lang w:eastAsia="en-GB"/>
        </w:rPr>
        <w:t>6</w:t>
      </w:r>
      <w:r w:rsidRPr="007B69F7">
        <w:rPr>
          <w:rFonts w:ascii="Arial Narrow" w:hAnsi="Arial Narrow" w:cs="Times New Roman"/>
          <w:b/>
          <w:sz w:val="24"/>
          <w:szCs w:val="24"/>
          <w:lang w:eastAsia="en-GB"/>
        </w:rPr>
        <w:t xml:space="preserve"> </w:t>
      </w:r>
      <w:r w:rsidR="00133844" w:rsidRPr="007B69F7">
        <w:rPr>
          <w:rFonts w:ascii="Arial Narrow" w:hAnsi="Arial Narrow" w:cs="Times New Roman"/>
          <w:b/>
          <w:sz w:val="24"/>
          <w:szCs w:val="24"/>
          <w:lang w:eastAsia="en-GB"/>
        </w:rPr>
        <w:t xml:space="preserve">δισεκ. </w:t>
      </w:r>
      <w:r w:rsidR="00EA0A74" w:rsidRPr="007B69F7">
        <w:rPr>
          <w:rFonts w:ascii="Arial Narrow" w:hAnsi="Arial Narrow" w:cs="Times New Roman"/>
          <w:b/>
          <w:sz w:val="24"/>
          <w:szCs w:val="24"/>
          <w:lang w:eastAsia="en-GB"/>
        </w:rPr>
        <w:t xml:space="preserve"> </w:t>
      </w:r>
      <w:r w:rsidRPr="007B69F7">
        <w:rPr>
          <w:rFonts w:ascii="Arial Narrow" w:hAnsi="Arial Narrow" w:cs="Times New Roman"/>
          <w:b/>
          <w:sz w:val="24"/>
          <w:szCs w:val="24"/>
          <w:lang w:eastAsia="en-GB"/>
        </w:rPr>
        <w:t>για το 202</w:t>
      </w:r>
      <w:r w:rsidR="00FB1DA8" w:rsidRPr="007B69F7">
        <w:rPr>
          <w:rFonts w:ascii="Arial Narrow" w:hAnsi="Arial Narrow" w:cs="Times New Roman"/>
          <w:b/>
          <w:sz w:val="24"/>
          <w:szCs w:val="24"/>
          <w:lang w:eastAsia="en-GB"/>
        </w:rPr>
        <w:t>3</w:t>
      </w:r>
      <w:r w:rsidR="008A25F5" w:rsidRPr="007B69F7">
        <w:rPr>
          <w:rFonts w:ascii="Arial Narrow" w:hAnsi="Arial Narrow" w:cs="Times New Roman"/>
          <w:b/>
          <w:sz w:val="24"/>
          <w:szCs w:val="24"/>
          <w:lang w:eastAsia="en-GB"/>
        </w:rPr>
        <w:t xml:space="preserve"> </w:t>
      </w:r>
      <w:r w:rsidR="008A25F5" w:rsidRPr="007B69F7">
        <w:rPr>
          <w:rFonts w:ascii="Arial Narrow" w:hAnsi="Arial Narrow" w:cs="Times New Roman"/>
          <w:bCs/>
          <w:sz w:val="24"/>
          <w:szCs w:val="24"/>
          <w:lang w:eastAsia="en-GB"/>
        </w:rPr>
        <w:t>(πηγή</w:t>
      </w:r>
      <w:r w:rsidR="00A4036C" w:rsidRPr="007B69F7">
        <w:rPr>
          <w:rFonts w:ascii="Arial Narrow" w:hAnsi="Arial Narrow" w:cs="Times New Roman"/>
          <w:bCs/>
          <w:sz w:val="24"/>
          <w:szCs w:val="24"/>
          <w:lang w:eastAsia="en-GB"/>
        </w:rPr>
        <w:t>:</w:t>
      </w:r>
      <w:r w:rsidR="008A25F5" w:rsidRPr="007B69F7">
        <w:rPr>
          <w:rFonts w:ascii="Arial Narrow" w:hAnsi="Arial Narrow" w:cs="Times New Roman"/>
          <w:bCs/>
          <w:sz w:val="24"/>
          <w:szCs w:val="24"/>
          <w:lang w:eastAsia="en-GB"/>
        </w:rPr>
        <w:t xml:space="preserve"> </w:t>
      </w:r>
      <w:r w:rsidR="008A25F5" w:rsidRPr="007B69F7">
        <w:rPr>
          <w:rFonts w:ascii="Arial Narrow" w:hAnsi="Arial Narrow" w:cs="Times New Roman"/>
          <w:bCs/>
          <w:sz w:val="24"/>
          <w:szCs w:val="24"/>
          <w:lang w:val="en-US" w:eastAsia="en-GB"/>
        </w:rPr>
        <w:t>CBUAE</w:t>
      </w:r>
      <w:r w:rsidR="008A25F5" w:rsidRPr="007B69F7">
        <w:rPr>
          <w:rFonts w:ascii="Arial Narrow" w:hAnsi="Arial Narrow" w:cs="Times New Roman"/>
          <w:bCs/>
          <w:sz w:val="24"/>
          <w:szCs w:val="24"/>
          <w:lang w:eastAsia="en-GB"/>
        </w:rPr>
        <w:t>)</w:t>
      </w:r>
      <w:r w:rsidR="00083519" w:rsidRPr="007B69F7">
        <w:rPr>
          <w:rFonts w:ascii="Arial Narrow" w:hAnsi="Arial Narrow" w:cs="Times New Roman"/>
          <w:sz w:val="24"/>
          <w:szCs w:val="24"/>
          <w:lang w:eastAsia="en-GB"/>
        </w:rPr>
        <w:t xml:space="preserve">, παρότι </w:t>
      </w:r>
      <w:r w:rsidR="00464D68" w:rsidRPr="007B69F7">
        <w:rPr>
          <w:rFonts w:ascii="Arial Narrow" w:hAnsi="Arial Narrow" w:cs="Times New Roman"/>
          <w:sz w:val="24"/>
          <w:szCs w:val="24"/>
          <w:lang w:eastAsia="en-GB"/>
        </w:rPr>
        <w:t>βάσει του πληθυσμού της κατατάσσεται μόλις στην 13</w:t>
      </w:r>
      <w:r w:rsidR="00464D68" w:rsidRPr="007B69F7">
        <w:rPr>
          <w:rFonts w:ascii="Arial Narrow" w:hAnsi="Arial Narrow" w:cs="Times New Roman"/>
          <w:sz w:val="24"/>
          <w:szCs w:val="24"/>
          <w:vertAlign w:val="superscript"/>
          <w:lang w:eastAsia="en-GB"/>
        </w:rPr>
        <w:t>η</w:t>
      </w:r>
      <w:r w:rsidR="00464D68" w:rsidRPr="007B69F7">
        <w:rPr>
          <w:rFonts w:ascii="Arial Narrow" w:hAnsi="Arial Narrow" w:cs="Times New Roman"/>
          <w:sz w:val="24"/>
          <w:szCs w:val="24"/>
          <w:lang w:eastAsia="en-GB"/>
        </w:rPr>
        <w:t xml:space="preserve"> θέση.</w:t>
      </w:r>
    </w:p>
    <w:p w14:paraId="37D52CDE" w14:textId="5309F763" w:rsidR="008C5C9F" w:rsidRPr="007B69F7" w:rsidRDefault="008C5C9F" w:rsidP="00567BCF">
      <w:pPr>
        <w:spacing w:after="120"/>
        <w:ind w:firstLine="567"/>
        <w:jc w:val="both"/>
        <w:rPr>
          <w:rFonts w:ascii="Arial Narrow" w:hAnsi="Arial Narrow" w:cs="Times New Roman"/>
          <w:sz w:val="24"/>
          <w:szCs w:val="24"/>
          <w:lang w:eastAsia="en-GB"/>
        </w:rPr>
      </w:pPr>
      <w:r w:rsidRPr="007B69F7">
        <w:rPr>
          <w:rFonts w:ascii="Arial Narrow" w:hAnsi="Arial Narrow" w:cs="Times New Roman"/>
          <w:sz w:val="24"/>
          <w:szCs w:val="24"/>
          <w:lang w:eastAsia="en-GB"/>
        </w:rPr>
        <w:t xml:space="preserve">Η </w:t>
      </w:r>
      <w:r w:rsidR="00A05511" w:rsidRPr="007B69F7">
        <w:rPr>
          <w:rFonts w:ascii="Arial Narrow" w:hAnsi="Arial Narrow" w:cs="Times New Roman"/>
          <w:sz w:val="24"/>
          <w:szCs w:val="24"/>
          <w:lang w:eastAsia="en-GB"/>
        </w:rPr>
        <w:t>ιλιγγιώδης</w:t>
      </w:r>
      <w:r w:rsidRPr="007B69F7">
        <w:rPr>
          <w:rFonts w:ascii="Arial Narrow" w:hAnsi="Arial Narrow" w:cs="Times New Roman"/>
          <w:sz w:val="24"/>
          <w:szCs w:val="24"/>
          <w:lang w:eastAsia="en-GB"/>
        </w:rPr>
        <w:t xml:space="preserve"> ανάπτυξη των ΗΑΕ κατά τη διάρκεια των τελευταίων </w:t>
      </w:r>
      <w:r w:rsidR="002D0702" w:rsidRPr="007B69F7">
        <w:rPr>
          <w:rFonts w:ascii="Arial Narrow" w:hAnsi="Arial Narrow" w:cs="Times New Roman"/>
          <w:sz w:val="24"/>
          <w:szCs w:val="24"/>
          <w:lang w:eastAsia="en-GB"/>
        </w:rPr>
        <w:t>5</w:t>
      </w:r>
      <w:r w:rsidRPr="007B69F7">
        <w:rPr>
          <w:rFonts w:ascii="Arial Narrow" w:hAnsi="Arial Narrow" w:cs="Times New Roman"/>
          <w:sz w:val="24"/>
          <w:szCs w:val="24"/>
          <w:lang w:eastAsia="en-GB"/>
        </w:rPr>
        <w:t xml:space="preserve">0 ετών, οφείλεται κυρίως στην ανακάλυψη και εκμετάλλευση των </w:t>
      </w:r>
      <w:r w:rsidRPr="007B69F7">
        <w:rPr>
          <w:rFonts w:ascii="Arial Narrow" w:hAnsi="Arial Narrow" w:cs="Times New Roman"/>
          <w:b/>
          <w:sz w:val="24"/>
          <w:szCs w:val="24"/>
          <w:lang w:eastAsia="en-GB"/>
        </w:rPr>
        <w:t>κοιτασμάτων πετρελαίου και φυσικού αερίου</w:t>
      </w:r>
      <w:r w:rsidR="00FD2FFB" w:rsidRPr="007B69F7">
        <w:rPr>
          <w:rFonts w:ascii="Arial Narrow" w:hAnsi="Arial Narrow" w:cs="Times New Roman"/>
          <w:sz w:val="24"/>
          <w:szCs w:val="24"/>
          <w:lang w:eastAsia="en-GB"/>
        </w:rPr>
        <w:t>.</w:t>
      </w:r>
      <w:r w:rsidR="003B4465" w:rsidRPr="007B69F7">
        <w:rPr>
          <w:rFonts w:ascii="Arial Narrow" w:hAnsi="Arial Narrow" w:cs="Times New Roman"/>
          <w:sz w:val="24"/>
          <w:szCs w:val="24"/>
          <w:lang w:eastAsia="en-GB"/>
        </w:rPr>
        <w:t xml:space="preserve"> Το γεγονός αυτό</w:t>
      </w:r>
      <w:r w:rsidR="00FD2FFB" w:rsidRPr="007B69F7">
        <w:rPr>
          <w:rFonts w:ascii="Arial Narrow" w:hAnsi="Arial Narrow" w:cs="Times New Roman"/>
          <w:sz w:val="24"/>
          <w:szCs w:val="24"/>
          <w:lang w:eastAsia="en-GB"/>
        </w:rPr>
        <w:t xml:space="preserve"> </w:t>
      </w:r>
      <w:r w:rsidRPr="007B69F7">
        <w:rPr>
          <w:rFonts w:ascii="Arial Narrow" w:hAnsi="Arial Narrow" w:cs="Times New Roman"/>
          <w:sz w:val="24"/>
          <w:szCs w:val="24"/>
          <w:lang w:eastAsia="en-GB"/>
        </w:rPr>
        <w:t xml:space="preserve">οδήγησε στη </w:t>
      </w:r>
      <w:r w:rsidR="00644625" w:rsidRPr="007B69F7">
        <w:rPr>
          <w:rFonts w:ascii="Arial Narrow" w:hAnsi="Arial Narrow" w:cs="Times New Roman"/>
          <w:sz w:val="24"/>
          <w:szCs w:val="24"/>
          <w:lang w:eastAsia="en-GB"/>
        </w:rPr>
        <w:t>μεταμόρφωση</w:t>
      </w:r>
      <w:r w:rsidRPr="007B69F7">
        <w:rPr>
          <w:rFonts w:ascii="Arial Narrow" w:hAnsi="Arial Narrow" w:cs="Times New Roman"/>
          <w:sz w:val="24"/>
          <w:szCs w:val="24"/>
          <w:lang w:eastAsia="en-GB"/>
        </w:rPr>
        <w:t xml:space="preserve"> της χώρας από μία περιοχή μικρών έρημων </w:t>
      </w:r>
      <w:r w:rsidR="00510435" w:rsidRPr="007B69F7">
        <w:rPr>
          <w:rFonts w:ascii="Arial Narrow" w:hAnsi="Arial Narrow" w:cs="Times New Roman"/>
          <w:sz w:val="24"/>
          <w:szCs w:val="24"/>
          <w:lang w:eastAsia="en-GB"/>
        </w:rPr>
        <w:t>σεϊχάτων</w:t>
      </w:r>
      <w:r w:rsidRPr="007B69F7">
        <w:rPr>
          <w:rFonts w:ascii="Arial Narrow" w:hAnsi="Arial Narrow" w:cs="Times New Roman"/>
          <w:sz w:val="24"/>
          <w:szCs w:val="24"/>
          <w:lang w:eastAsia="en-GB"/>
        </w:rPr>
        <w:t xml:space="preserve"> </w:t>
      </w:r>
      <w:r w:rsidR="002D0702" w:rsidRPr="007B69F7">
        <w:rPr>
          <w:rFonts w:ascii="Arial Narrow" w:hAnsi="Arial Narrow" w:cs="Times New Roman"/>
          <w:sz w:val="24"/>
          <w:szCs w:val="24"/>
          <w:lang w:eastAsia="en-GB"/>
        </w:rPr>
        <w:t xml:space="preserve">υπό την προστασία της Μεγάλης Βρετανίας </w:t>
      </w:r>
      <w:r w:rsidRPr="007B69F7">
        <w:rPr>
          <w:rFonts w:ascii="Arial Narrow" w:hAnsi="Arial Narrow" w:cs="Times New Roman"/>
          <w:sz w:val="24"/>
          <w:szCs w:val="24"/>
          <w:lang w:eastAsia="en-GB"/>
        </w:rPr>
        <w:t>(</w:t>
      </w:r>
      <w:r w:rsidRPr="007B69F7">
        <w:rPr>
          <w:rFonts w:ascii="Arial Narrow" w:hAnsi="Arial Narrow" w:cs="Times New Roman"/>
          <w:b/>
          <w:bCs/>
          <w:sz w:val="24"/>
          <w:szCs w:val="24"/>
          <w:lang w:val="en-GB" w:eastAsia="en-GB"/>
        </w:rPr>
        <w:t>Trucial</w:t>
      </w:r>
      <w:r w:rsidRPr="007B69F7">
        <w:rPr>
          <w:rFonts w:ascii="Arial Narrow" w:hAnsi="Arial Narrow" w:cs="Times New Roman"/>
          <w:b/>
          <w:bCs/>
          <w:sz w:val="24"/>
          <w:szCs w:val="24"/>
          <w:lang w:eastAsia="en-GB"/>
        </w:rPr>
        <w:t xml:space="preserve"> </w:t>
      </w:r>
      <w:r w:rsidRPr="007B69F7">
        <w:rPr>
          <w:rFonts w:ascii="Arial Narrow" w:hAnsi="Arial Narrow" w:cs="Times New Roman"/>
          <w:b/>
          <w:bCs/>
          <w:sz w:val="24"/>
          <w:szCs w:val="24"/>
          <w:lang w:val="en-GB" w:eastAsia="en-GB"/>
        </w:rPr>
        <w:t>States</w:t>
      </w:r>
      <w:r w:rsidRPr="007B69F7">
        <w:rPr>
          <w:rFonts w:ascii="Arial Narrow" w:hAnsi="Arial Narrow" w:cs="Times New Roman"/>
          <w:sz w:val="24"/>
          <w:szCs w:val="24"/>
          <w:lang w:eastAsia="en-GB"/>
        </w:rPr>
        <w:t xml:space="preserve">), των οποίων η οικονομία βασιζόταν στη γεωργία, τη νομαδική κτηνοτροφία, την </w:t>
      </w:r>
      <w:r w:rsidR="00510435" w:rsidRPr="007B69F7">
        <w:rPr>
          <w:rFonts w:ascii="Arial Narrow" w:hAnsi="Arial Narrow" w:cs="Times New Roman"/>
          <w:sz w:val="24"/>
          <w:szCs w:val="24"/>
          <w:lang w:eastAsia="en-GB"/>
        </w:rPr>
        <w:t>αλιεία και το</w:t>
      </w:r>
      <w:r w:rsidRPr="007B69F7">
        <w:rPr>
          <w:rFonts w:ascii="Arial Narrow" w:hAnsi="Arial Narrow" w:cs="Times New Roman"/>
          <w:sz w:val="24"/>
          <w:szCs w:val="24"/>
          <w:lang w:eastAsia="en-GB"/>
        </w:rPr>
        <w:t xml:space="preserve"> εμπόριο μαργαριταριών και αλιευμάτων, σε ένα σύγχρονο κράτος με ανταγωνιστική οικονομία, το οποίο παρέχει υψηλό επίπεδο διαβίωσης στους </w:t>
      </w:r>
      <w:r w:rsidR="00464D68" w:rsidRPr="007B69F7">
        <w:rPr>
          <w:rFonts w:ascii="Arial Narrow" w:hAnsi="Arial Narrow" w:cs="Times New Roman"/>
          <w:sz w:val="24"/>
          <w:szCs w:val="24"/>
          <w:lang w:eastAsia="en-GB"/>
        </w:rPr>
        <w:t xml:space="preserve">πολίτες του (σχεδόν αποκλειστικά Εμιρατινοί) και ευκαιρίες ανέλιξης </w:t>
      </w:r>
      <w:r w:rsidR="00510435" w:rsidRPr="007B69F7">
        <w:rPr>
          <w:rFonts w:ascii="Arial Narrow" w:hAnsi="Arial Narrow" w:cs="Times New Roman"/>
          <w:sz w:val="24"/>
          <w:szCs w:val="24"/>
          <w:lang w:eastAsia="en-GB"/>
        </w:rPr>
        <w:t>στους εκπατρισμένους</w:t>
      </w:r>
      <w:r w:rsidR="00464D68" w:rsidRPr="007B69F7">
        <w:rPr>
          <w:rFonts w:ascii="Arial Narrow" w:hAnsi="Arial Narrow" w:cs="Times New Roman"/>
          <w:sz w:val="24"/>
          <w:szCs w:val="24"/>
          <w:lang w:eastAsia="en-GB"/>
        </w:rPr>
        <w:t xml:space="preserve"> </w:t>
      </w:r>
      <w:r w:rsidR="00500B92" w:rsidRPr="007B69F7">
        <w:rPr>
          <w:rFonts w:ascii="Arial Narrow" w:hAnsi="Arial Narrow" w:cs="Times New Roman"/>
          <w:sz w:val="24"/>
          <w:szCs w:val="24"/>
          <w:lang w:eastAsia="en-GB"/>
        </w:rPr>
        <w:t>κατοίκους του</w:t>
      </w:r>
      <w:r w:rsidRPr="007B69F7">
        <w:rPr>
          <w:rFonts w:ascii="Arial Narrow" w:hAnsi="Arial Narrow" w:cs="Times New Roman"/>
          <w:sz w:val="24"/>
          <w:szCs w:val="24"/>
          <w:lang w:eastAsia="en-GB"/>
        </w:rPr>
        <w:t xml:space="preserve">. </w:t>
      </w:r>
    </w:p>
    <w:p w14:paraId="4A4679EB" w14:textId="3D21494E" w:rsidR="00BC68FB" w:rsidRPr="007B69F7" w:rsidRDefault="00BC68FB" w:rsidP="00567BCF">
      <w:pPr>
        <w:spacing w:after="120"/>
        <w:ind w:firstLine="567"/>
        <w:jc w:val="both"/>
        <w:rPr>
          <w:rFonts w:ascii="Arial Narrow" w:hAnsi="Arial Narrow" w:cs="Times New Roman"/>
          <w:sz w:val="24"/>
          <w:szCs w:val="24"/>
          <w:lang w:eastAsia="en-GB"/>
        </w:rPr>
      </w:pPr>
      <w:r w:rsidRPr="007B69F7">
        <w:rPr>
          <w:rFonts w:ascii="Arial Narrow" w:hAnsi="Arial Narrow" w:cs="Times New Roman"/>
          <w:sz w:val="24"/>
          <w:szCs w:val="24"/>
          <w:lang w:eastAsia="en-GB"/>
        </w:rPr>
        <w:t xml:space="preserve">Παρότι ο κλάδος των </w:t>
      </w:r>
      <w:r w:rsidRPr="007B69F7">
        <w:rPr>
          <w:rFonts w:ascii="Arial Narrow" w:hAnsi="Arial Narrow" w:cs="Times New Roman"/>
          <w:b/>
          <w:bCs/>
          <w:sz w:val="24"/>
          <w:szCs w:val="24"/>
          <w:lang w:eastAsia="en-GB"/>
        </w:rPr>
        <w:t>υδρογονανθράκων</w:t>
      </w:r>
      <w:r w:rsidRPr="007B69F7">
        <w:rPr>
          <w:rFonts w:ascii="Arial Narrow" w:hAnsi="Arial Narrow" w:cs="Times New Roman"/>
          <w:sz w:val="24"/>
          <w:szCs w:val="24"/>
          <w:lang w:eastAsia="en-GB"/>
        </w:rPr>
        <w:t xml:space="preserve"> αντιστοιχεί σήμερα </w:t>
      </w:r>
      <w:r w:rsidR="00510435" w:rsidRPr="007B69F7">
        <w:rPr>
          <w:rFonts w:ascii="Arial Narrow" w:hAnsi="Arial Narrow" w:cs="Times New Roman"/>
          <w:sz w:val="24"/>
          <w:szCs w:val="24"/>
          <w:lang w:eastAsia="en-GB"/>
        </w:rPr>
        <w:t>σε λιγότερο από το</w:t>
      </w:r>
      <w:r w:rsidRPr="007B69F7">
        <w:rPr>
          <w:rFonts w:ascii="Arial Narrow" w:hAnsi="Arial Narrow" w:cs="Times New Roman"/>
          <w:sz w:val="24"/>
          <w:szCs w:val="24"/>
          <w:lang w:eastAsia="en-GB"/>
        </w:rPr>
        <w:t xml:space="preserve"> </w:t>
      </w:r>
      <w:r w:rsidRPr="007B69F7">
        <w:rPr>
          <w:rFonts w:ascii="Arial Narrow" w:hAnsi="Arial Narrow" w:cs="Times New Roman"/>
          <w:b/>
          <w:bCs/>
          <w:sz w:val="24"/>
          <w:szCs w:val="24"/>
          <w:lang w:eastAsia="en-GB"/>
        </w:rPr>
        <w:t xml:space="preserve">1/3 του </w:t>
      </w:r>
      <w:r w:rsidR="003814F2" w:rsidRPr="007B69F7">
        <w:rPr>
          <w:rFonts w:ascii="Arial Narrow" w:hAnsi="Arial Narrow" w:cs="Times New Roman"/>
          <w:b/>
          <w:bCs/>
          <w:sz w:val="24"/>
          <w:szCs w:val="24"/>
          <w:lang w:eastAsia="en-GB"/>
        </w:rPr>
        <w:t xml:space="preserve">εμιρατινού </w:t>
      </w:r>
      <w:r w:rsidRPr="007B69F7">
        <w:rPr>
          <w:rFonts w:ascii="Arial Narrow" w:hAnsi="Arial Narrow" w:cs="Times New Roman"/>
          <w:b/>
          <w:bCs/>
          <w:sz w:val="24"/>
          <w:szCs w:val="24"/>
          <w:lang w:eastAsia="en-GB"/>
        </w:rPr>
        <w:t>ΑΕΠ</w:t>
      </w:r>
      <w:r w:rsidRPr="007B69F7">
        <w:rPr>
          <w:rFonts w:ascii="Arial Narrow" w:hAnsi="Arial Narrow" w:cs="Times New Roman"/>
          <w:sz w:val="24"/>
          <w:szCs w:val="24"/>
          <w:lang w:eastAsia="en-GB"/>
        </w:rPr>
        <w:t>, η εμιρατινή οικονομία εξακολουθεί να βασίζεται στο πετρέλαιο ως κύρια κινητήρια δύναμη οικονομική</w:t>
      </w:r>
      <w:r w:rsidR="000D17BD" w:rsidRPr="007B69F7">
        <w:rPr>
          <w:rFonts w:ascii="Arial Narrow" w:hAnsi="Arial Narrow" w:cs="Times New Roman"/>
          <w:sz w:val="24"/>
          <w:szCs w:val="24"/>
          <w:lang w:eastAsia="en-GB"/>
        </w:rPr>
        <w:t>ς</w:t>
      </w:r>
      <w:r w:rsidRPr="007B69F7">
        <w:rPr>
          <w:rFonts w:ascii="Arial Narrow" w:hAnsi="Arial Narrow" w:cs="Times New Roman"/>
          <w:sz w:val="24"/>
          <w:szCs w:val="24"/>
          <w:lang w:eastAsia="en-GB"/>
        </w:rPr>
        <w:t xml:space="preserve"> ανάπτυξης και ως πρωταρχική πηγή κρατικών εσόδων, </w:t>
      </w:r>
      <w:r w:rsidR="00500B92" w:rsidRPr="007B69F7">
        <w:rPr>
          <w:rFonts w:ascii="Arial Narrow" w:hAnsi="Arial Narrow" w:cs="Times New Roman"/>
          <w:sz w:val="24"/>
          <w:szCs w:val="24"/>
          <w:lang w:eastAsia="en-GB"/>
        </w:rPr>
        <w:t>παραμέν</w:t>
      </w:r>
      <w:r w:rsidR="00C64B89" w:rsidRPr="007B69F7">
        <w:rPr>
          <w:rFonts w:ascii="Arial Narrow" w:hAnsi="Arial Narrow" w:cs="Times New Roman"/>
          <w:sz w:val="24"/>
          <w:szCs w:val="24"/>
          <w:lang w:eastAsia="en-GB"/>
        </w:rPr>
        <w:t>ο</w:t>
      </w:r>
      <w:r w:rsidR="00E8785D" w:rsidRPr="007B69F7">
        <w:rPr>
          <w:rFonts w:ascii="Arial Narrow" w:hAnsi="Arial Narrow" w:cs="Times New Roman"/>
          <w:sz w:val="24"/>
          <w:szCs w:val="24"/>
          <w:lang w:eastAsia="en-GB"/>
        </w:rPr>
        <w:t>ντας συνεπώς</w:t>
      </w:r>
      <w:r w:rsidR="00500B92" w:rsidRPr="007B69F7">
        <w:rPr>
          <w:rFonts w:ascii="Arial Narrow" w:hAnsi="Arial Narrow" w:cs="Times New Roman"/>
          <w:sz w:val="24"/>
          <w:szCs w:val="24"/>
          <w:lang w:eastAsia="en-GB"/>
        </w:rPr>
        <w:t xml:space="preserve"> </w:t>
      </w:r>
      <w:r w:rsidRPr="007B69F7">
        <w:rPr>
          <w:rFonts w:ascii="Arial Narrow" w:hAnsi="Arial Narrow" w:cs="Times New Roman"/>
          <w:sz w:val="24"/>
          <w:szCs w:val="24"/>
          <w:lang w:eastAsia="en-GB"/>
        </w:rPr>
        <w:t>εξαρτώμενη από τις διακυμάνσεις των διεθνών τιμών πετρελαίου.</w:t>
      </w:r>
    </w:p>
    <w:p w14:paraId="7359D557" w14:textId="5CFC6966" w:rsidR="00FF25D6" w:rsidRPr="007B69F7" w:rsidRDefault="005B3F6A" w:rsidP="00567BCF">
      <w:pPr>
        <w:spacing w:after="120"/>
        <w:ind w:firstLine="567"/>
        <w:jc w:val="both"/>
        <w:rPr>
          <w:rFonts w:ascii="Arial Narrow" w:hAnsi="Arial Narrow" w:cs="Times New Roman"/>
          <w:sz w:val="24"/>
          <w:szCs w:val="24"/>
          <w:lang w:eastAsia="en-GB"/>
        </w:rPr>
      </w:pPr>
      <w:r w:rsidRPr="007B69F7">
        <w:rPr>
          <w:rFonts w:ascii="Arial Narrow" w:hAnsi="Arial Narrow" w:cs="Times New Roman"/>
          <w:sz w:val="24"/>
          <w:szCs w:val="24"/>
          <w:lang w:eastAsia="en-GB"/>
        </w:rPr>
        <w:t>Στρατηγικό</w:t>
      </w:r>
      <w:r w:rsidR="000C3002" w:rsidRPr="007B69F7">
        <w:rPr>
          <w:rFonts w:ascii="Arial Narrow" w:hAnsi="Arial Narrow" w:cs="Times New Roman"/>
          <w:sz w:val="24"/>
          <w:szCs w:val="24"/>
          <w:lang w:eastAsia="en-GB"/>
        </w:rPr>
        <w:t xml:space="preserve"> στόχο</w:t>
      </w:r>
      <w:r w:rsidR="008C5C9F" w:rsidRPr="007B69F7">
        <w:rPr>
          <w:rFonts w:ascii="Arial Narrow" w:hAnsi="Arial Narrow" w:cs="Times New Roman"/>
          <w:sz w:val="24"/>
          <w:szCs w:val="24"/>
          <w:lang w:eastAsia="en-GB"/>
        </w:rPr>
        <w:t xml:space="preserve"> της χώρας αποτελεί η </w:t>
      </w:r>
      <w:r w:rsidR="008C5C9F" w:rsidRPr="007B69F7">
        <w:rPr>
          <w:rFonts w:ascii="Arial Narrow" w:hAnsi="Arial Narrow" w:cs="Times New Roman"/>
          <w:b/>
          <w:sz w:val="24"/>
          <w:szCs w:val="24"/>
          <w:lang w:eastAsia="en-GB"/>
        </w:rPr>
        <w:t>διαφοροποίηση της οικονομίας</w:t>
      </w:r>
      <w:r w:rsidR="008C5C9F" w:rsidRPr="007B69F7">
        <w:rPr>
          <w:rFonts w:ascii="Arial Narrow" w:hAnsi="Arial Narrow" w:cs="Times New Roman"/>
          <w:sz w:val="24"/>
          <w:szCs w:val="24"/>
          <w:lang w:eastAsia="en-GB"/>
        </w:rPr>
        <w:t xml:space="preserve"> και η απεξάρτησή της από τον πετρελαϊκό τομέα (2</w:t>
      </w:r>
      <w:r w:rsidR="00133926" w:rsidRPr="007B69F7">
        <w:rPr>
          <w:rFonts w:ascii="Arial Narrow" w:hAnsi="Arial Narrow" w:cs="Times New Roman"/>
          <w:sz w:val="24"/>
          <w:szCs w:val="24"/>
          <w:lang w:eastAsia="en-GB"/>
        </w:rPr>
        <w:t>6</w:t>
      </w:r>
      <w:r w:rsidR="008C5C9F" w:rsidRPr="007B69F7">
        <w:rPr>
          <w:rFonts w:ascii="Arial Narrow" w:hAnsi="Arial Narrow" w:cs="Times New Roman"/>
          <w:sz w:val="24"/>
          <w:szCs w:val="24"/>
          <w:lang w:eastAsia="en-GB"/>
        </w:rPr>
        <w:t>% επί του ΑΕΠ/20</w:t>
      </w:r>
      <w:r w:rsidR="00500B92" w:rsidRPr="007B69F7">
        <w:rPr>
          <w:rFonts w:ascii="Arial Narrow" w:hAnsi="Arial Narrow" w:cs="Times New Roman"/>
          <w:sz w:val="24"/>
          <w:szCs w:val="24"/>
          <w:lang w:eastAsia="en-GB"/>
        </w:rPr>
        <w:t>2</w:t>
      </w:r>
      <w:r w:rsidR="00133926" w:rsidRPr="007B69F7">
        <w:rPr>
          <w:rFonts w:ascii="Arial Narrow" w:hAnsi="Arial Narrow" w:cs="Times New Roman"/>
          <w:sz w:val="24"/>
          <w:szCs w:val="24"/>
          <w:lang w:eastAsia="en-GB"/>
        </w:rPr>
        <w:t>3</w:t>
      </w:r>
      <w:r w:rsidR="008C5C9F" w:rsidRPr="007B69F7">
        <w:rPr>
          <w:rFonts w:ascii="Arial Narrow" w:hAnsi="Arial Narrow" w:cs="Times New Roman"/>
          <w:sz w:val="24"/>
          <w:szCs w:val="24"/>
          <w:lang w:eastAsia="en-GB"/>
        </w:rPr>
        <w:t xml:space="preserve"> έναντι 85%/2009)</w:t>
      </w:r>
      <w:r w:rsidR="003E4E18" w:rsidRPr="007B69F7">
        <w:rPr>
          <w:rFonts w:ascii="Arial Narrow" w:hAnsi="Arial Narrow" w:cs="Times New Roman"/>
          <w:sz w:val="24"/>
          <w:szCs w:val="24"/>
          <w:lang w:eastAsia="en-GB"/>
        </w:rPr>
        <w:t>.</w:t>
      </w:r>
      <w:r w:rsidR="008C5C9F" w:rsidRPr="007B69F7">
        <w:rPr>
          <w:rFonts w:ascii="Arial Narrow" w:hAnsi="Arial Narrow" w:cs="Times New Roman"/>
          <w:sz w:val="24"/>
          <w:szCs w:val="24"/>
          <w:lang w:eastAsia="en-GB"/>
        </w:rPr>
        <w:t xml:space="preserve"> </w:t>
      </w:r>
      <w:r w:rsidR="00500B92" w:rsidRPr="007B69F7">
        <w:rPr>
          <w:rFonts w:ascii="Arial Narrow" w:hAnsi="Arial Narrow" w:cs="Times New Roman"/>
          <w:sz w:val="24"/>
          <w:szCs w:val="24"/>
          <w:lang w:eastAsia="en-GB"/>
        </w:rPr>
        <w:t xml:space="preserve">Η διαφοροποίηση και </w:t>
      </w:r>
      <w:r w:rsidR="003E4E18" w:rsidRPr="007B69F7">
        <w:rPr>
          <w:rFonts w:ascii="Arial Narrow" w:hAnsi="Arial Narrow" w:cs="Times New Roman"/>
          <w:sz w:val="24"/>
          <w:szCs w:val="24"/>
          <w:lang w:eastAsia="en-GB"/>
        </w:rPr>
        <w:t>δ</w:t>
      </w:r>
      <w:r w:rsidR="002662C2" w:rsidRPr="007B69F7">
        <w:rPr>
          <w:rFonts w:ascii="Arial Narrow" w:hAnsi="Arial Narrow" w:cs="Times New Roman"/>
          <w:sz w:val="24"/>
          <w:szCs w:val="24"/>
          <w:lang w:eastAsia="en-GB"/>
        </w:rPr>
        <w:t>ιεύρυνση της παραγωγικής βάσης</w:t>
      </w:r>
      <w:r w:rsidR="003E4E18" w:rsidRPr="007B69F7">
        <w:rPr>
          <w:rFonts w:ascii="Arial Narrow" w:hAnsi="Arial Narrow" w:cs="Times New Roman"/>
          <w:sz w:val="24"/>
          <w:szCs w:val="24"/>
          <w:lang w:eastAsia="en-GB"/>
        </w:rPr>
        <w:t xml:space="preserve"> βασίστηκε τις πρώτες δεκαετίες στην έντονη</w:t>
      </w:r>
      <w:r w:rsidR="008A3B50" w:rsidRPr="007B69F7">
        <w:rPr>
          <w:rFonts w:ascii="Arial Narrow" w:hAnsi="Arial Narrow" w:cs="Times New Roman"/>
          <w:sz w:val="24"/>
          <w:szCs w:val="24"/>
          <w:lang w:eastAsia="en-GB"/>
        </w:rPr>
        <w:t xml:space="preserve"> </w:t>
      </w:r>
      <w:r w:rsidR="003E4E18" w:rsidRPr="007B69F7">
        <w:rPr>
          <w:rFonts w:ascii="Arial Narrow" w:hAnsi="Arial Narrow" w:cs="Times New Roman"/>
          <w:sz w:val="24"/>
          <w:szCs w:val="24"/>
          <w:lang w:eastAsia="en-GB"/>
        </w:rPr>
        <w:t xml:space="preserve">κατασκευαστική δραστηριότητα και τις επενδύσεις σε </w:t>
      </w:r>
      <w:r w:rsidR="00037899" w:rsidRPr="007B69F7">
        <w:rPr>
          <w:rFonts w:ascii="Arial Narrow" w:hAnsi="Arial Narrow" w:cs="Times New Roman"/>
          <w:sz w:val="24"/>
          <w:szCs w:val="24"/>
          <w:lang w:eastAsia="en-GB"/>
        </w:rPr>
        <w:t>σύγχρονες</w:t>
      </w:r>
      <w:r w:rsidR="00F75E6F" w:rsidRPr="007B69F7">
        <w:rPr>
          <w:rFonts w:ascii="Arial Narrow" w:hAnsi="Arial Narrow" w:cs="Times New Roman"/>
          <w:sz w:val="24"/>
          <w:szCs w:val="24"/>
          <w:lang w:eastAsia="en-GB"/>
        </w:rPr>
        <w:t xml:space="preserve"> </w:t>
      </w:r>
      <w:r w:rsidR="003E4E18" w:rsidRPr="007B69F7">
        <w:rPr>
          <w:rFonts w:ascii="Arial Narrow" w:hAnsi="Arial Narrow" w:cs="Times New Roman"/>
          <w:sz w:val="24"/>
          <w:szCs w:val="24"/>
          <w:lang w:eastAsia="en-GB"/>
        </w:rPr>
        <w:t>υποδομές</w:t>
      </w:r>
      <w:r w:rsidR="009F25B6" w:rsidRPr="007B69F7">
        <w:rPr>
          <w:rFonts w:ascii="Arial Narrow" w:hAnsi="Arial Narrow" w:cs="Times New Roman"/>
          <w:sz w:val="24"/>
          <w:szCs w:val="24"/>
          <w:lang w:eastAsia="en-GB"/>
        </w:rPr>
        <w:t xml:space="preserve">, ενώ </w:t>
      </w:r>
      <w:r w:rsidR="00B660CA" w:rsidRPr="007B69F7">
        <w:rPr>
          <w:rFonts w:ascii="Arial Narrow" w:hAnsi="Arial Narrow" w:cs="Times New Roman"/>
          <w:sz w:val="24"/>
          <w:szCs w:val="24"/>
          <w:lang w:eastAsia="en-GB"/>
        </w:rPr>
        <w:t xml:space="preserve">η </w:t>
      </w:r>
      <w:r w:rsidR="00B7380D" w:rsidRPr="007B69F7">
        <w:rPr>
          <w:rFonts w:ascii="Arial Narrow" w:hAnsi="Arial Narrow" w:cs="Times New Roman"/>
          <w:sz w:val="24"/>
          <w:szCs w:val="24"/>
          <w:lang w:eastAsia="en-GB"/>
        </w:rPr>
        <w:t xml:space="preserve">Κυβέρνηση των ΗΑΕ </w:t>
      </w:r>
      <w:r w:rsidR="00B660CA" w:rsidRPr="007B69F7">
        <w:rPr>
          <w:rFonts w:ascii="Arial Narrow" w:hAnsi="Arial Narrow" w:cs="Times New Roman"/>
          <w:sz w:val="24"/>
          <w:szCs w:val="24"/>
          <w:lang w:eastAsia="en-GB"/>
        </w:rPr>
        <w:t xml:space="preserve">έχει πλέον θέσει στόχο </w:t>
      </w:r>
      <w:r w:rsidR="00B7380D" w:rsidRPr="007B69F7">
        <w:rPr>
          <w:rFonts w:ascii="Arial Narrow" w:hAnsi="Arial Narrow" w:cs="Times New Roman"/>
          <w:sz w:val="24"/>
          <w:szCs w:val="24"/>
          <w:lang w:eastAsia="en-GB"/>
        </w:rPr>
        <w:t xml:space="preserve">να καταστεί η χώρα </w:t>
      </w:r>
      <w:r w:rsidR="000C67C4" w:rsidRPr="007B69F7">
        <w:rPr>
          <w:rFonts w:ascii="Arial Narrow" w:hAnsi="Arial Narrow" w:cs="Times New Roman"/>
          <w:b/>
          <w:bCs/>
          <w:sz w:val="24"/>
          <w:szCs w:val="24"/>
          <w:lang w:eastAsia="en-GB"/>
        </w:rPr>
        <w:t>περιφερειακό και παγκόσμιο κέντρο</w:t>
      </w:r>
      <w:r w:rsidR="000C67C4" w:rsidRPr="007B69F7">
        <w:rPr>
          <w:rFonts w:ascii="Arial Narrow" w:hAnsi="Arial Narrow" w:cs="Times New Roman"/>
          <w:sz w:val="24"/>
          <w:szCs w:val="24"/>
          <w:lang w:eastAsia="en-GB"/>
        </w:rPr>
        <w:t xml:space="preserve"> εμπορίου,</w:t>
      </w:r>
      <w:r w:rsidR="009F25B6" w:rsidRPr="007B69F7">
        <w:rPr>
          <w:rFonts w:ascii="Arial Narrow" w:hAnsi="Arial Narrow" w:cs="Times New Roman"/>
          <w:sz w:val="24"/>
          <w:szCs w:val="24"/>
          <w:lang w:eastAsia="en-GB"/>
        </w:rPr>
        <w:t xml:space="preserve"> </w:t>
      </w:r>
      <w:r w:rsidR="000C67C4" w:rsidRPr="007B69F7">
        <w:rPr>
          <w:rFonts w:ascii="Arial Narrow" w:hAnsi="Arial Narrow" w:cs="Times New Roman"/>
          <w:sz w:val="24"/>
          <w:szCs w:val="24"/>
          <w:lang w:eastAsia="en-GB"/>
        </w:rPr>
        <w:t>μεταφορών και χρηματοοικονομικών υπηρεσιών</w:t>
      </w:r>
      <w:r w:rsidR="009F25B6" w:rsidRPr="007B69F7">
        <w:rPr>
          <w:rFonts w:ascii="Arial Narrow" w:hAnsi="Arial Narrow" w:cs="Times New Roman"/>
          <w:sz w:val="24"/>
          <w:szCs w:val="24"/>
          <w:lang w:eastAsia="en-GB"/>
        </w:rPr>
        <w:t>.</w:t>
      </w:r>
    </w:p>
    <w:p w14:paraId="6AEB1DDD" w14:textId="4151A5D7" w:rsidR="00B83B3E" w:rsidRPr="007B69F7" w:rsidRDefault="00500B92" w:rsidP="00567BCF">
      <w:pPr>
        <w:spacing w:after="120"/>
        <w:ind w:firstLine="567"/>
        <w:jc w:val="both"/>
        <w:rPr>
          <w:rFonts w:ascii="Arial Narrow" w:hAnsi="Arial Narrow" w:cs="Times New Roman"/>
          <w:sz w:val="24"/>
          <w:szCs w:val="24"/>
          <w:lang w:eastAsia="en-GB"/>
        </w:rPr>
      </w:pPr>
      <w:r w:rsidRPr="007B69F7">
        <w:rPr>
          <w:rFonts w:ascii="Arial Narrow" w:hAnsi="Arial Narrow" w:cs="Times New Roman"/>
          <w:sz w:val="24"/>
          <w:szCs w:val="24"/>
          <w:lang w:eastAsia="en-GB"/>
        </w:rPr>
        <w:t>Παράλληλα,</w:t>
      </w:r>
      <w:r w:rsidR="00371714" w:rsidRPr="007B69F7">
        <w:rPr>
          <w:rFonts w:ascii="Arial Narrow" w:hAnsi="Arial Narrow" w:cs="Times New Roman"/>
          <w:sz w:val="24"/>
          <w:szCs w:val="24"/>
          <w:lang w:eastAsia="en-GB"/>
        </w:rPr>
        <w:t xml:space="preserve"> </w:t>
      </w:r>
      <w:r w:rsidR="00F24FCE" w:rsidRPr="007B69F7">
        <w:rPr>
          <w:rFonts w:ascii="Arial Narrow" w:hAnsi="Arial Narrow" w:cs="Times New Roman"/>
          <w:sz w:val="24"/>
          <w:szCs w:val="24"/>
          <w:lang w:eastAsia="en-GB"/>
        </w:rPr>
        <w:t xml:space="preserve">αν και οξύμωρο εκ πρώτης όψεως, </w:t>
      </w:r>
      <w:r w:rsidR="00371714" w:rsidRPr="007B69F7">
        <w:rPr>
          <w:rFonts w:ascii="Arial Narrow" w:hAnsi="Arial Narrow" w:cs="Times New Roman"/>
          <w:sz w:val="24"/>
          <w:szCs w:val="24"/>
          <w:lang w:eastAsia="en-GB"/>
        </w:rPr>
        <w:t>πρ</w:t>
      </w:r>
      <w:r w:rsidR="007435EC" w:rsidRPr="007B69F7">
        <w:rPr>
          <w:rFonts w:ascii="Arial Narrow" w:hAnsi="Arial Narrow" w:cs="Times New Roman"/>
          <w:sz w:val="24"/>
          <w:szCs w:val="24"/>
          <w:lang w:eastAsia="en-GB"/>
        </w:rPr>
        <w:t>οτεραιότητα</w:t>
      </w:r>
      <w:r w:rsidR="00371714" w:rsidRPr="007B69F7">
        <w:rPr>
          <w:rFonts w:ascii="Arial Narrow" w:hAnsi="Arial Narrow" w:cs="Times New Roman"/>
          <w:sz w:val="24"/>
          <w:szCs w:val="24"/>
          <w:lang w:eastAsia="en-GB"/>
        </w:rPr>
        <w:t xml:space="preserve"> της Κυβέρνησης αποτελεί και η </w:t>
      </w:r>
      <w:r w:rsidR="00371714" w:rsidRPr="007B69F7">
        <w:rPr>
          <w:rFonts w:ascii="Arial Narrow" w:hAnsi="Arial Narrow" w:cs="Times New Roman"/>
          <w:b/>
          <w:bCs/>
          <w:sz w:val="24"/>
          <w:szCs w:val="24"/>
          <w:lang w:eastAsia="en-GB"/>
        </w:rPr>
        <w:t>αύξηση παραγωγής πετρελαίου</w:t>
      </w:r>
      <w:r w:rsidR="00F24FCE" w:rsidRPr="007B69F7">
        <w:rPr>
          <w:rFonts w:ascii="Arial Narrow" w:hAnsi="Arial Narrow" w:cs="Times New Roman"/>
          <w:b/>
          <w:bCs/>
          <w:sz w:val="24"/>
          <w:szCs w:val="24"/>
          <w:lang w:eastAsia="en-GB"/>
        </w:rPr>
        <w:t xml:space="preserve"> και φυσικού αερίου</w:t>
      </w:r>
      <w:r w:rsidR="00371714" w:rsidRPr="007B69F7">
        <w:rPr>
          <w:rFonts w:ascii="Arial Narrow" w:hAnsi="Arial Narrow" w:cs="Times New Roman"/>
          <w:sz w:val="24"/>
          <w:szCs w:val="24"/>
          <w:lang w:eastAsia="en-GB"/>
        </w:rPr>
        <w:t>,</w:t>
      </w:r>
      <w:r w:rsidR="00F24FCE" w:rsidRPr="007B69F7">
        <w:rPr>
          <w:rFonts w:ascii="Arial Narrow" w:hAnsi="Arial Narrow" w:cs="Times New Roman"/>
          <w:sz w:val="24"/>
          <w:szCs w:val="24"/>
          <w:lang w:eastAsia="en-GB"/>
        </w:rPr>
        <w:t xml:space="preserve"> στο πλαίσιο πλήρους εκμετάλλευσης των πλουτοπαραγωγικών πηγών της χώρας. Παρά την </w:t>
      </w:r>
      <w:r w:rsidR="00F24FCE" w:rsidRPr="007B69F7">
        <w:rPr>
          <w:rFonts w:ascii="Arial Narrow" w:hAnsi="Arial Narrow" w:cs="Times New Roman"/>
          <w:b/>
          <w:sz w:val="24"/>
          <w:szCs w:val="24"/>
          <w:lang w:eastAsia="en-GB"/>
        </w:rPr>
        <w:t>πρόσφατη ανακάλυψη</w:t>
      </w:r>
      <w:r w:rsidR="00F24FCE" w:rsidRPr="007B69F7">
        <w:rPr>
          <w:rFonts w:ascii="Arial Narrow" w:hAnsi="Arial Narrow" w:cs="Times New Roman"/>
          <w:sz w:val="24"/>
          <w:szCs w:val="24"/>
          <w:lang w:eastAsia="en-GB"/>
        </w:rPr>
        <w:t xml:space="preserve"> ενός μεγάλου κοιτάσματος φυσικού αερίου,</w:t>
      </w:r>
      <w:r w:rsidR="00371714" w:rsidRPr="007B69F7">
        <w:rPr>
          <w:rFonts w:ascii="Arial Narrow" w:hAnsi="Arial Narrow" w:cs="Times New Roman"/>
          <w:sz w:val="24"/>
          <w:szCs w:val="24"/>
          <w:lang w:eastAsia="en-GB"/>
        </w:rPr>
        <w:t xml:space="preserve"> εκτιμάται ότι υπάρχουν περιορισμένες πλέον δυνατότητες για νέες ανακαλύψεις</w:t>
      </w:r>
      <w:r w:rsidR="0011674E" w:rsidRPr="007B69F7">
        <w:rPr>
          <w:rFonts w:ascii="Arial Narrow" w:hAnsi="Arial Narrow" w:cs="Times New Roman"/>
          <w:sz w:val="24"/>
          <w:szCs w:val="24"/>
          <w:lang w:eastAsia="en-GB"/>
        </w:rPr>
        <w:t xml:space="preserve"> υδρογονανθράκων</w:t>
      </w:r>
      <w:r w:rsidR="00371714" w:rsidRPr="007B69F7">
        <w:rPr>
          <w:rFonts w:ascii="Arial Narrow" w:hAnsi="Arial Narrow" w:cs="Times New Roman"/>
          <w:sz w:val="24"/>
          <w:szCs w:val="24"/>
          <w:lang w:eastAsia="en-GB"/>
        </w:rPr>
        <w:t>, παρά τις εντατικές προσπάθειες κυρ</w:t>
      </w:r>
      <w:r w:rsidR="000B04F0" w:rsidRPr="007B69F7">
        <w:rPr>
          <w:rFonts w:ascii="Arial Narrow" w:hAnsi="Arial Narrow" w:cs="Times New Roman"/>
          <w:sz w:val="24"/>
          <w:szCs w:val="24"/>
          <w:lang w:eastAsia="en-GB"/>
        </w:rPr>
        <w:t>ίως</w:t>
      </w:r>
      <w:r w:rsidR="00371714" w:rsidRPr="007B69F7">
        <w:rPr>
          <w:rFonts w:ascii="Arial Narrow" w:hAnsi="Arial Narrow" w:cs="Times New Roman"/>
          <w:sz w:val="24"/>
          <w:szCs w:val="24"/>
          <w:lang w:eastAsia="en-GB"/>
        </w:rPr>
        <w:t xml:space="preserve"> του </w:t>
      </w:r>
      <w:r w:rsidR="00DA3B10" w:rsidRPr="007B69F7">
        <w:rPr>
          <w:rFonts w:ascii="Arial Narrow" w:hAnsi="Arial Narrow" w:cs="Times New Roman"/>
          <w:sz w:val="24"/>
          <w:szCs w:val="24"/>
          <w:lang w:eastAsia="en-GB"/>
        </w:rPr>
        <w:t xml:space="preserve">Εμιράτου </w:t>
      </w:r>
      <w:r w:rsidR="00371714" w:rsidRPr="007B69F7">
        <w:rPr>
          <w:rFonts w:ascii="Arial Narrow" w:hAnsi="Arial Narrow" w:cs="Times New Roman"/>
          <w:sz w:val="24"/>
          <w:szCs w:val="24"/>
          <w:lang w:val="en-US" w:eastAsia="en-GB"/>
        </w:rPr>
        <w:t>Abu</w:t>
      </w:r>
      <w:r w:rsidR="00371714" w:rsidRPr="007B69F7">
        <w:rPr>
          <w:rFonts w:ascii="Arial Narrow" w:hAnsi="Arial Narrow" w:cs="Times New Roman"/>
          <w:sz w:val="24"/>
          <w:szCs w:val="24"/>
          <w:lang w:eastAsia="en-GB"/>
        </w:rPr>
        <w:t xml:space="preserve"> </w:t>
      </w:r>
      <w:r w:rsidR="00371714" w:rsidRPr="007B69F7">
        <w:rPr>
          <w:rFonts w:ascii="Arial Narrow" w:hAnsi="Arial Narrow" w:cs="Times New Roman"/>
          <w:sz w:val="24"/>
          <w:szCs w:val="24"/>
          <w:lang w:val="en-US" w:eastAsia="en-GB"/>
        </w:rPr>
        <w:t>Dhabi</w:t>
      </w:r>
      <w:r w:rsidR="00371714" w:rsidRPr="007B69F7">
        <w:rPr>
          <w:rFonts w:ascii="Arial Narrow" w:hAnsi="Arial Narrow" w:cs="Times New Roman"/>
          <w:sz w:val="24"/>
          <w:szCs w:val="24"/>
          <w:lang w:eastAsia="en-GB"/>
        </w:rPr>
        <w:t>.</w:t>
      </w:r>
      <w:r w:rsidR="00B83B3E" w:rsidRPr="007B69F7">
        <w:rPr>
          <w:rFonts w:ascii="Arial Narrow" w:hAnsi="Arial Narrow" w:cs="Times New Roman"/>
          <w:sz w:val="24"/>
          <w:szCs w:val="24"/>
          <w:lang w:eastAsia="en-GB"/>
        </w:rPr>
        <w:t xml:space="preserve"> Συνεπώς, εξετάζονται άλλες εναλλακτικές για αύξηση παραγωγικής δυναμικότητας πετρελαίου</w:t>
      </w:r>
      <w:r w:rsidR="00991EE7" w:rsidRPr="007B69F7">
        <w:rPr>
          <w:rFonts w:ascii="Arial Narrow" w:hAnsi="Arial Narrow" w:cs="Times New Roman"/>
          <w:sz w:val="24"/>
          <w:szCs w:val="24"/>
          <w:lang w:eastAsia="en-GB"/>
        </w:rPr>
        <w:t>,</w:t>
      </w:r>
      <w:r w:rsidR="00B83B3E" w:rsidRPr="007B69F7">
        <w:rPr>
          <w:rFonts w:ascii="Arial Narrow" w:hAnsi="Arial Narrow" w:cs="Times New Roman"/>
          <w:sz w:val="24"/>
          <w:szCs w:val="24"/>
          <w:lang w:eastAsia="en-GB"/>
        </w:rPr>
        <w:t xml:space="preserve"> όπως βελτίωση τεχνικών άντλησης από υφιστάμενα κοιτάσματα</w:t>
      </w:r>
      <w:r w:rsidR="00991EE7" w:rsidRPr="007B69F7">
        <w:rPr>
          <w:rFonts w:ascii="Arial Narrow" w:hAnsi="Arial Narrow" w:cs="Times New Roman"/>
          <w:sz w:val="24"/>
          <w:szCs w:val="24"/>
          <w:lang w:eastAsia="en-GB"/>
        </w:rPr>
        <w:t>.</w:t>
      </w:r>
    </w:p>
    <w:p w14:paraId="06F6A2E3" w14:textId="132A4D29" w:rsidR="004307FD" w:rsidRPr="007B69F7" w:rsidRDefault="007B1AF0" w:rsidP="00567BCF">
      <w:pPr>
        <w:spacing w:after="120"/>
        <w:ind w:firstLine="567"/>
        <w:jc w:val="both"/>
        <w:rPr>
          <w:rFonts w:ascii="Arial Narrow" w:hAnsi="Arial Narrow" w:cs="Times New Roman"/>
          <w:sz w:val="24"/>
          <w:szCs w:val="24"/>
          <w:lang w:eastAsia="en-GB"/>
        </w:rPr>
      </w:pPr>
      <w:r w:rsidRPr="007B69F7">
        <w:rPr>
          <w:rFonts w:ascii="Arial Narrow" w:hAnsi="Arial Narrow" w:cs="Times New Roman"/>
          <w:sz w:val="24"/>
          <w:szCs w:val="24"/>
          <w:lang w:eastAsia="en-GB"/>
        </w:rPr>
        <w:t>Τρίτος</w:t>
      </w:r>
      <w:r w:rsidR="000D17BD" w:rsidRPr="007B69F7">
        <w:rPr>
          <w:rFonts w:ascii="Arial Narrow" w:hAnsi="Arial Narrow" w:cs="Times New Roman"/>
          <w:sz w:val="24"/>
          <w:szCs w:val="24"/>
          <w:lang w:eastAsia="en-GB"/>
        </w:rPr>
        <w:t xml:space="preserve"> </w:t>
      </w:r>
      <w:r w:rsidR="004307FD" w:rsidRPr="007B69F7">
        <w:rPr>
          <w:rFonts w:ascii="Arial Narrow" w:hAnsi="Arial Narrow" w:cs="Times New Roman"/>
          <w:sz w:val="24"/>
          <w:szCs w:val="24"/>
          <w:lang w:eastAsia="en-GB"/>
        </w:rPr>
        <w:t xml:space="preserve">στρατηγικός στόχος Εμιρατινής Κυβέρνησης είναι </w:t>
      </w:r>
      <w:r w:rsidR="00EC2FB5" w:rsidRPr="007B69F7">
        <w:rPr>
          <w:rFonts w:ascii="Arial Narrow" w:hAnsi="Arial Narrow" w:cs="Times New Roman"/>
          <w:sz w:val="24"/>
          <w:szCs w:val="24"/>
          <w:lang w:eastAsia="en-GB"/>
        </w:rPr>
        <w:t xml:space="preserve">η </w:t>
      </w:r>
      <w:r w:rsidR="00BD56AF" w:rsidRPr="007B69F7">
        <w:rPr>
          <w:rFonts w:ascii="Arial Narrow" w:hAnsi="Arial Narrow" w:cs="Times New Roman"/>
          <w:sz w:val="24"/>
          <w:szCs w:val="24"/>
          <w:lang w:eastAsia="en-GB"/>
        </w:rPr>
        <w:t>συνεχής βελτίωση της εκπαίδευσης</w:t>
      </w:r>
      <w:r w:rsidR="00AA203C" w:rsidRPr="007B69F7">
        <w:rPr>
          <w:rFonts w:ascii="Arial Narrow" w:hAnsi="Arial Narrow" w:cs="Times New Roman"/>
          <w:sz w:val="24"/>
          <w:szCs w:val="24"/>
          <w:lang w:eastAsia="en-GB"/>
        </w:rPr>
        <w:t xml:space="preserve">, </w:t>
      </w:r>
      <w:r w:rsidR="00BD56AF" w:rsidRPr="007B69F7">
        <w:rPr>
          <w:rFonts w:ascii="Arial Narrow" w:hAnsi="Arial Narrow" w:cs="Times New Roman"/>
          <w:sz w:val="24"/>
          <w:szCs w:val="24"/>
          <w:lang w:eastAsia="en-GB"/>
        </w:rPr>
        <w:t xml:space="preserve">η </w:t>
      </w:r>
      <w:r w:rsidR="00EC2FB5" w:rsidRPr="007B69F7">
        <w:rPr>
          <w:rFonts w:ascii="Arial Narrow" w:hAnsi="Arial Narrow" w:cs="Times New Roman"/>
          <w:sz w:val="24"/>
          <w:szCs w:val="24"/>
          <w:lang w:eastAsia="en-GB"/>
        </w:rPr>
        <w:t>ενίσχυση της απασχόλησης των εμιρατινών της υπηκόων</w:t>
      </w:r>
      <w:r w:rsidR="00500B92" w:rsidRPr="007B69F7">
        <w:rPr>
          <w:rFonts w:ascii="Arial Narrow" w:hAnsi="Arial Narrow" w:cs="Times New Roman"/>
          <w:sz w:val="24"/>
          <w:szCs w:val="24"/>
          <w:lang w:eastAsia="en-GB"/>
        </w:rPr>
        <w:t xml:space="preserve"> (</w:t>
      </w:r>
      <w:r w:rsidR="00500B92" w:rsidRPr="007B69F7">
        <w:rPr>
          <w:rFonts w:ascii="Arial Narrow" w:hAnsi="Arial Narrow" w:cs="Times New Roman"/>
          <w:b/>
          <w:bCs/>
          <w:sz w:val="24"/>
          <w:szCs w:val="24"/>
          <w:lang w:eastAsia="en-GB"/>
        </w:rPr>
        <w:t>πολιτική εμιρατοποίησης</w:t>
      </w:r>
      <w:r w:rsidR="00500B92" w:rsidRPr="007B69F7">
        <w:rPr>
          <w:rFonts w:ascii="Arial Narrow" w:hAnsi="Arial Narrow" w:cs="Times New Roman"/>
          <w:sz w:val="24"/>
          <w:szCs w:val="24"/>
          <w:lang w:eastAsia="en-GB"/>
        </w:rPr>
        <w:t>)</w:t>
      </w:r>
      <w:r w:rsidR="00AA203C" w:rsidRPr="007B69F7">
        <w:rPr>
          <w:rFonts w:ascii="Arial Narrow" w:hAnsi="Arial Narrow" w:cs="Times New Roman"/>
          <w:sz w:val="24"/>
          <w:szCs w:val="24"/>
          <w:lang w:eastAsia="en-GB"/>
        </w:rPr>
        <w:t xml:space="preserve"> και η παροχή στήριξης στις </w:t>
      </w:r>
      <w:r w:rsidR="00AA203C" w:rsidRPr="007B69F7">
        <w:rPr>
          <w:rFonts w:ascii="Arial Narrow" w:hAnsi="Arial Narrow" w:cs="Times New Roman"/>
          <w:b/>
          <w:bCs/>
          <w:sz w:val="24"/>
          <w:szCs w:val="24"/>
          <w:lang w:eastAsia="en-GB"/>
        </w:rPr>
        <w:t>εγχώριες επιχειρήσεις</w:t>
      </w:r>
      <w:r w:rsidR="00AA203C" w:rsidRPr="007B69F7">
        <w:rPr>
          <w:rFonts w:ascii="Arial Narrow" w:hAnsi="Arial Narrow" w:cs="Times New Roman"/>
          <w:sz w:val="24"/>
          <w:szCs w:val="24"/>
          <w:lang w:eastAsia="en-GB"/>
        </w:rPr>
        <w:t xml:space="preserve">, </w:t>
      </w:r>
      <w:r w:rsidR="00EC2FB5" w:rsidRPr="007B69F7">
        <w:rPr>
          <w:rFonts w:ascii="Arial Narrow" w:hAnsi="Arial Narrow" w:cs="Times New Roman"/>
          <w:sz w:val="24"/>
          <w:szCs w:val="24"/>
          <w:lang w:eastAsia="en-GB"/>
        </w:rPr>
        <w:t xml:space="preserve">με απώτερο στόχο την κοινωνική </w:t>
      </w:r>
      <w:r w:rsidR="00AA203C" w:rsidRPr="007B69F7">
        <w:rPr>
          <w:rFonts w:ascii="Arial Narrow" w:hAnsi="Arial Narrow" w:cs="Times New Roman"/>
          <w:sz w:val="24"/>
          <w:szCs w:val="24"/>
          <w:lang w:eastAsia="en-GB"/>
        </w:rPr>
        <w:t xml:space="preserve">και οικονομική </w:t>
      </w:r>
      <w:r w:rsidR="00EC2FB5" w:rsidRPr="007B69F7">
        <w:rPr>
          <w:rFonts w:ascii="Arial Narrow" w:hAnsi="Arial Narrow" w:cs="Times New Roman"/>
          <w:sz w:val="24"/>
          <w:szCs w:val="24"/>
          <w:lang w:eastAsia="en-GB"/>
        </w:rPr>
        <w:t>ανάπτυξη.</w:t>
      </w:r>
    </w:p>
    <w:p w14:paraId="3E614070" w14:textId="6C34DA6F" w:rsidR="002B109A" w:rsidRPr="007B69F7" w:rsidRDefault="00F9705C" w:rsidP="00E308B7">
      <w:pPr>
        <w:spacing w:after="120"/>
        <w:ind w:firstLine="567"/>
        <w:jc w:val="both"/>
        <w:rPr>
          <w:rFonts w:ascii="Arial Narrow" w:hAnsi="Arial Narrow" w:cs="Times New Roman"/>
          <w:sz w:val="24"/>
          <w:szCs w:val="24"/>
          <w:lang w:eastAsia="en-GB"/>
        </w:rPr>
      </w:pPr>
      <w:r w:rsidRPr="007B69F7">
        <w:rPr>
          <w:rFonts w:ascii="Arial Narrow" w:hAnsi="Arial Narrow" w:cs="Times New Roman"/>
          <w:sz w:val="24"/>
          <w:szCs w:val="24"/>
          <w:lang w:eastAsia="en-GB"/>
        </w:rPr>
        <w:t>Στο πλα</w:t>
      </w:r>
      <w:r w:rsidR="004337B4" w:rsidRPr="007B69F7">
        <w:rPr>
          <w:rFonts w:ascii="Arial Narrow" w:hAnsi="Arial Narrow" w:cs="Times New Roman"/>
          <w:sz w:val="24"/>
          <w:szCs w:val="24"/>
          <w:lang w:eastAsia="en-GB"/>
        </w:rPr>
        <w:t>ί</w:t>
      </w:r>
      <w:r w:rsidRPr="007B69F7">
        <w:rPr>
          <w:rFonts w:ascii="Arial Narrow" w:hAnsi="Arial Narrow" w:cs="Times New Roman"/>
          <w:sz w:val="24"/>
          <w:szCs w:val="24"/>
          <w:lang w:eastAsia="en-GB"/>
        </w:rPr>
        <w:t>σιο</w:t>
      </w:r>
      <w:r w:rsidR="009F25B6" w:rsidRPr="007B69F7">
        <w:rPr>
          <w:rFonts w:ascii="Arial Narrow" w:hAnsi="Arial Narrow" w:cs="Times New Roman"/>
          <w:sz w:val="24"/>
          <w:szCs w:val="24"/>
          <w:lang w:eastAsia="en-GB"/>
        </w:rPr>
        <w:t xml:space="preserve"> </w:t>
      </w:r>
      <w:r w:rsidR="00EE0BDA" w:rsidRPr="007B69F7">
        <w:rPr>
          <w:rFonts w:ascii="Arial Narrow" w:hAnsi="Arial Narrow" w:cs="Times New Roman"/>
          <w:sz w:val="24"/>
          <w:szCs w:val="24"/>
          <w:lang w:eastAsia="en-GB"/>
        </w:rPr>
        <w:t>εκπλήρωση</w:t>
      </w:r>
      <w:r w:rsidRPr="007B69F7">
        <w:rPr>
          <w:rFonts w:ascii="Arial Narrow" w:hAnsi="Arial Narrow" w:cs="Times New Roman"/>
          <w:sz w:val="24"/>
          <w:szCs w:val="24"/>
          <w:lang w:eastAsia="en-GB"/>
        </w:rPr>
        <w:t>ς</w:t>
      </w:r>
      <w:r w:rsidR="00EE0BDA" w:rsidRPr="007B69F7">
        <w:rPr>
          <w:rFonts w:ascii="Arial Narrow" w:hAnsi="Arial Narrow" w:cs="Times New Roman"/>
          <w:sz w:val="24"/>
          <w:szCs w:val="24"/>
          <w:lang w:eastAsia="en-GB"/>
        </w:rPr>
        <w:t xml:space="preserve"> </w:t>
      </w:r>
      <w:r w:rsidR="00DA6DC8" w:rsidRPr="007B69F7">
        <w:rPr>
          <w:rFonts w:ascii="Arial Narrow" w:hAnsi="Arial Narrow" w:cs="Times New Roman"/>
          <w:sz w:val="24"/>
          <w:szCs w:val="24"/>
          <w:lang w:eastAsia="en-GB"/>
        </w:rPr>
        <w:t xml:space="preserve">των 3 ανωτέρω </w:t>
      </w:r>
      <w:r w:rsidR="00DA6DC8" w:rsidRPr="007B69F7">
        <w:rPr>
          <w:rFonts w:ascii="Arial Narrow" w:hAnsi="Arial Narrow" w:cs="Times New Roman"/>
          <w:b/>
          <w:bCs/>
          <w:sz w:val="24"/>
          <w:szCs w:val="24"/>
          <w:lang w:eastAsia="en-GB"/>
        </w:rPr>
        <w:t>στρατηγικών στόχ</w:t>
      </w:r>
      <w:r w:rsidR="00A2796B" w:rsidRPr="007B69F7">
        <w:rPr>
          <w:rFonts w:ascii="Arial Narrow" w:hAnsi="Arial Narrow" w:cs="Times New Roman"/>
          <w:b/>
          <w:bCs/>
          <w:sz w:val="24"/>
          <w:szCs w:val="24"/>
          <w:lang w:eastAsia="en-GB"/>
        </w:rPr>
        <w:t>ων</w:t>
      </w:r>
      <w:r w:rsidR="00F82792" w:rsidRPr="007B69F7">
        <w:rPr>
          <w:rFonts w:ascii="Arial Narrow" w:hAnsi="Arial Narrow" w:cs="Times New Roman"/>
          <w:sz w:val="24"/>
          <w:szCs w:val="24"/>
          <w:lang w:eastAsia="en-GB"/>
        </w:rPr>
        <w:t>, το</w:t>
      </w:r>
      <w:r w:rsidR="00261666" w:rsidRPr="007B69F7">
        <w:rPr>
          <w:rFonts w:ascii="Arial Narrow" w:hAnsi="Arial Narrow" w:cs="Times New Roman"/>
          <w:sz w:val="24"/>
          <w:szCs w:val="24"/>
          <w:lang w:eastAsia="en-GB"/>
        </w:rPr>
        <w:t>ν</w:t>
      </w:r>
      <w:r w:rsidR="00F82792" w:rsidRPr="007B69F7">
        <w:rPr>
          <w:rFonts w:ascii="Arial Narrow" w:hAnsi="Arial Narrow" w:cs="Times New Roman"/>
          <w:sz w:val="24"/>
          <w:szCs w:val="24"/>
          <w:lang w:eastAsia="en-GB"/>
        </w:rPr>
        <w:t xml:space="preserve"> Νοέμβριο 2022, ανακοινώθηκε το νέο δεκαετές Εθνικό Σχέδιο “</w:t>
      </w:r>
      <w:hyperlink r:id="rId13" w:history="1">
        <w:r w:rsidR="00F82792" w:rsidRPr="007B69F7">
          <w:rPr>
            <w:rStyle w:val="Hyperlink"/>
            <w:rFonts w:ascii="Arial Narrow" w:hAnsi="Arial Narrow" w:cs="Times New Roman"/>
            <w:b/>
            <w:sz w:val="24"/>
            <w:szCs w:val="24"/>
            <w:lang w:val="en-US" w:eastAsia="en-GB"/>
          </w:rPr>
          <w:t>We</w:t>
        </w:r>
        <w:r w:rsidR="00F82792" w:rsidRPr="007B69F7">
          <w:rPr>
            <w:rStyle w:val="Hyperlink"/>
            <w:rFonts w:ascii="Arial Narrow" w:hAnsi="Arial Narrow" w:cs="Times New Roman"/>
            <w:b/>
            <w:sz w:val="24"/>
            <w:szCs w:val="24"/>
            <w:lang w:eastAsia="en-GB"/>
          </w:rPr>
          <w:t xml:space="preserve"> </w:t>
        </w:r>
        <w:r w:rsidR="00F82792" w:rsidRPr="007B69F7">
          <w:rPr>
            <w:rStyle w:val="Hyperlink"/>
            <w:rFonts w:ascii="Arial Narrow" w:hAnsi="Arial Narrow" w:cs="Times New Roman"/>
            <w:b/>
            <w:sz w:val="24"/>
            <w:szCs w:val="24"/>
            <w:lang w:val="en-US" w:eastAsia="en-GB"/>
          </w:rPr>
          <w:t>The</w:t>
        </w:r>
        <w:r w:rsidR="00F82792" w:rsidRPr="007B69F7">
          <w:rPr>
            <w:rStyle w:val="Hyperlink"/>
            <w:rFonts w:ascii="Arial Narrow" w:hAnsi="Arial Narrow" w:cs="Times New Roman"/>
            <w:b/>
            <w:sz w:val="24"/>
            <w:szCs w:val="24"/>
            <w:lang w:eastAsia="en-GB"/>
          </w:rPr>
          <w:t xml:space="preserve"> </w:t>
        </w:r>
        <w:r w:rsidR="00F82792" w:rsidRPr="007B69F7">
          <w:rPr>
            <w:rStyle w:val="Hyperlink"/>
            <w:rFonts w:ascii="Arial Narrow" w:hAnsi="Arial Narrow" w:cs="Times New Roman"/>
            <w:b/>
            <w:sz w:val="24"/>
            <w:szCs w:val="24"/>
            <w:lang w:val="en-US" w:eastAsia="en-GB"/>
          </w:rPr>
          <w:t>UAE</w:t>
        </w:r>
        <w:r w:rsidR="00F82792" w:rsidRPr="007B69F7">
          <w:rPr>
            <w:rStyle w:val="Hyperlink"/>
            <w:rFonts w:ascii="Arial Narrow" w:hAnsi="Arial Narrow" w:cs="Times New Roman"/>
            <w:b/>
            <w:sz w:val="24"/>
            <w:szCs w:val="24"/>
            <w:lang w:eastAsia="en-GB"/>
          </w:rPr>
          <w:t xml:space="preserve"> 2031</w:t>
        </w:r>
      </w:hyperlink>
      <w:r w:rsidR="00F82792" w:rsidRPr="007B69F7">
        <w:rPr>
          <w:rFonts w:ascii="Arial Narrow" w:hAnsi="Arial Narrow" w:cs="Times New Roman"/>
          <w:sz w:val="24"/>
          <w:szCs w:val="24"/>
          <w:lang w:eastAsia="en-GB"/>
        </w:rPr>
        <w:t>”</w:t>
      </w:r>
      <w:r w:rsidR="00E308B7" w:rsidRPr="007B69F7">
        <w:rPr>
          <w:rFonts w:ascii="Arial Narrow" w:hAnsi="Arial Narrow" w:cs="Times New Roman"/>
          <w:sz w:val="24"/>
          <w:szCs w:val="24"/>
          <w:lang w:eastAsia="en-GB"/>
        </w:rPr>
        <w:t>, ένας ολοκληρωμένος οδικός χάρτης που διαμορφώνει το μέλλον της χώρας για την προσεχή 10ετία, βασισμένο σε 4 πυλώνες</w:t>
      </w:r>
      <w:r w:rsidR="007E4E8A" w:rsidRPr="007B69F7">
        <w:rPr>
          <w:rFonts w:ascii="Arial Narrow" w:hAnsi="Arial Narrow" w:cs="Times New Roman"/>
          <w:sz w:val="24"/>
          <w:szCs w:val="24"/>
          <w:lang w:eastAsia="en-GB"/>
        </w:rPr>
        <w:t xml:space="preserve">. Αυτοί είναι οι εξής: </w:t>
      </w:r>
      <w:r w:rsidR="00CD32DE" w:rsidRPr="007B69F7">
        <w:rPr>
          <w:rFonts w:ascii="Arial Narrow" w:hAnsi="Arial Narrow" w:cs="Times New Roman"/>
          <w:sz w:val="24"/>
          <w:szCs w:val="24"/>
          <w:lang w:eastAsia="en-GB"/>
        </w:rPr>
        <w:t xml:space="preserve">α) </w:t>
      </w:r>
      <w:r w:rsidR="00E308B7" w:rsidRPr="007B69F7">
        <w:rPr>
          <w:rFonts w:ascii="Arial Narrow" w:hAnsi="Arial Narrow" w:cs="Times New Roman"/>
          <w:sz w:val="24"/>
          <w:szCs w:val="24"/>
          <w:lang w:eastAsia="en-GB"/>
        </w:rPr>
        <w:t>κοινωνία</w:t>
      </w:r>
      <w:r w:rsidR="00B32DC0" w:rsidRPr="007B69F7">
        <w:rPr>
          <w:rFonts w:ascii="Arial Narrow" w:hAnsi="Arial Narrow" w:cs="Times New Roman"/>
          <w:sz w:val="24"/>
          <w:szCs w:val="24"/>
          <w:lang w:eastAsia="en-GB"/>
        </w:rPr>
        <w:t xml:space="preserve"> (στόχος</w:t>
      </w:r>
      <w:r w:rsidR="00DD2C99" w:rsidRPr="007B69F7">
        <w:rPr>
          <w:rFonts w:ascii="Arial Narrow" w:hAnsi="Arial Narrow" w:cs="Times New Roman"/>
          <w:sz w:val="24"/>
          <w:szCs w:val="24"/>
          <w:lang w:eastAsia="en-GB"/>
        </w:rPr>
        <w:t xml:space="preserve"> η κατάταξη των ΗΑΕ </w:t>
      </w:r>
      <w:r w:rsidR="00B32DC0" w:rsidRPr="007B69F7">
        <w:rPr>
          <w:rFonts w:ascii="Arial Narrow" w:hAnsi="Arial Narrow" w:cs="Times New Roman"/>
          <w:sz w:val="24"/>
          <w:szCs w:val="24"/>
          <w:lang w:eastAsia="en-GB"/>
        </w:rPr>
        <w:t xml:space="preserve">μεταξύ των 10 κορυφαίων χωρών </w:t>
      </w:r>
      <w:r w:rsidR="00D36F89" w:rsidRPr="007B69F7">
        <w:rPr>
          <w:rFonts w:ascii="Arial Narrow" w:hAnsi="Arial Narrow" w:cs="Times New Roman"/>
          <w:sz w:val="24"/>
          <w:szCs w:val="24"/>
          <w:lang w:eastAsia="en-GB"/>
        </w:rPr>
        <w:t>στον</w:t>
      </w:r>
      <w:r w:rsidR="00B32DC0" w:rsidRPr="007B69F7">
        <w:rPr>
          <w:rFonts w:ascii="Arial Narrow" w:hAnsi="Arial Narrow" w:cs="Times New Roman"/>
          <w:sz w:val="24"/>
          <w:szCs w:val="24"/>
          <w:lang w:eastAsia="en-GB"/>
        </w:rPr>
        <w:t xml:space="preserve"> </w:t>
      </w:r>
      <w:r w:rsidR="00167F81" w:rsidRPr="007B69F7">
        <w:rPr>
          <w:rFonts w:ascii="Arial Narrow" w:hAnsi="Arial Narrow" w:cs="Times New Roman"/>
          <w:sz w:val="24"/>
          <w:szCs w:val="24"/>
          <w:lang w:eastAsia="en-GB"/>
        </w:rPr>
        <w:t>δ</w:t>
      </w:r>
      <w:r w:rsidR="00B32DC0" w:rsidRPr="007B69F7">
        <w:rPr>
          <w:rFonts w:ascii="Arial Narrow" w:hAnsi="Arial Narrow" w:cs="Times New Roman"/>
          <w:sz w:val="24"/>
          <w:szCs w:val="24"/>
          <w:lang w:eastAsia="en-GB"/>
        </w:rPr>
        <w:t xml:space="preserve">είκτη </w:t>
      </w:r>
      <w:r w:rsidR="00167F81" w:rsidRPr="007B69F7">
        <w:rPr>
          <w:rFonts w:ascii="Arial Narrow" w:hAnsi="Arial Narrow" w:cs="Times New Roman"/>
          <w:sz w:val="24"/>
          <w:szCs w:val="24"/>
          <w:lang w:eastAsia="en-GB"/>
        </w:rPr>
        <w:t>α</w:t>
      </w:r>
      <w:r w:rsidR="00B32DC0" w:rsidRPr="007B69F7">
        <w:rPr>
          <w:rFonts w:ascii="Arial Narrow" w:hAnsi="Arial Narrow" w:cs="Times New Roman"/>
          <w:sz w:val="24"/>
          <w:szCs w:val="24"/>
          <w:lang w:eastAsia="en-GB"/>
        </w:rPr>
        <w:t xml:space="preserve">νθρώπινης </w:t>
      </w:r>
      <w:r w:rsidR="00167F81" w:rsidRPr="007B69F7">
        <w:rPr>
          <w:rFonts w:ascii="Arial Narrow" w:hAnsi="Arial Narrow" w:cs="Times New Roman"/>
          <w:sz w:val="24"/>
          <w:szCs w:val="24"/>
          <w:lang w:eastAsia="en-GB"/>
        </w:rPr>
        <w:t>α</w:t>
      </w:r>
      <w:r w:rsidR="00B32DC0" w:rsidRPr="007B69F7">
        <w:rPr>
          <w:rFonts w:ascii="Arial Narrow" w:hAnsi="Arial Narrow" w:cs="Times New Roman"/>
          <w:sz w:val="24"/>
          <w:szCs w:val="24"/>
          <w:lang w:eastAsia="en-GB"/>
        </w:rPr>
        <w:t>νάπτυξης)</w:t>
      </w:r>
      <w:r w:rsidR="00E308B7" w:rsidRPr="007B69F7">
        <w:rPr>
          <w:rFonts w:ascii="Arial Narrow" w:hAnsi="Arial Narrow" w:cs="Times New Roman"/>
          <w:sz w:val="24"/>
          <w:szCs w:val="24"/>
          <w:lang w:eastAsia="en-GB"/>
        </w:rPr>
        <w:t xml:space="preserve">, </w:t>
      </w:r>
      <w:r w:rsidR="00CD32DE" w:rsidRPr="007B69F7">
        <w:rPr>
          <w:rFonts w:ascii="Arial Narrow" w:hAnsi="Arial Narrow" w:cs="Times New Roman"/>
          <w:sz w:val="24"/>
          <w:szCs w:val="24"/>
          <w:lang w:eastAsia="en-GB"/>
        </w:rPr>
        <w:t xml:space="preserve">β) </w:t>
      </w:r>
      <w:r w:rsidR="00E308B7" w:rsidRPr="007B69F7">
        <w:rPr>
          <w:rFonts w:ascii="Arial Narrow" w:hAnsi="Arial Narrow" w:cs="Times New Roman"/>
          <w:sz w:val="24"/>
          <w:szCs w:val="24"/>
          <w:lang w:eastAsia="en-GB"/>
        </w:rPr>
        <w:t>οικονομία</w:t>
      </w:r>
      <w:r w:rsidR="00B32DC0" w:rsidRPr="007B69F7">
        <w:rPr>
          <w:rFonts w:ascii="Arial Narrow" w:hAnsi="Arial Narrow" w:cs="Times New Roman"/>
          <w:sz w:val="24"/>
          <w:szCs w:val="24"/>
          <w:lang w:eastAsia="en-GB"/>
        </w:rPr>
        <w:t xml:space="preserve"> (στόχος </w:t>
      </w:r>
      <w:r w:rsidR="001D5EC1" w:rsidRPr="007B69F7">
        <w:rPr>
          <w:rFonts w:ascii="Arial Narrow" w:hAnsi="Arial Narrow" w:cs="Times New Roman"/>
          <w:sz w:val="24"/>
          <w:szCs w:val="24"/>
          <w:lang w:eastAsia="en-GB"/>
        </w:rPr>
        <w:t xml:space="preserve">ο </w:t>
      </w:r>
      <w:r w:rsidR="00B32DC0" w:rsidRPr="007B69F7">
        <w:rPr>
          <w:rFonts w:ascii="Arial Narrow" w:hAnsi="Arial Narrow" w:cs="Times New Roman"/>
          <w:sz w:val="24"/>
          <w:szCs w:val="24"/>
          <w:lang w:eastAsia="en-GB"/>
        </w:rPr>
        <w:t xml:space="preserve">διπλασιασμός </w:t>
      </w:r>
      <w:r w:rsidR="001D5EC1" w:rsidRPr="007B69F7">
        <w:rPr>
          <w:rFonts w:ascii="Arial Narrow" w:hAnsi="Arial Narrow" w:cs="Times New Roman"/>
          <w:sz w:val="24"/>
          <w:szCs w:val="24"/>
          <w:lang w:eastAsia="en-GB"/>
        </w:rPr>
        <w:t xml:space="preserve">του </w:t>
      </w:r>
      <w:r w:rsidR="00B32DC0" w:rsidRPr="007B69F7">
        <w:rPr>
          <w:rFonts w:ascii="Arial Narrow" w:hAnsi="Arial Narrow" w:cs="Times New Roman"/>
          <w:sz w:val="24"/>
          <w:szCs w:val="24"/>
          <w:lang w:eastAsia="en-GB"/>
        </w:rPr>
        <w:t xml:space="preserve">ΑΕΠ σε 3 τρισ. </w:t>
      </w:r>
      <w:r w:rsidR="00BE18A5" w:rsidRPr="007B69F7">
        <w:rPr>
          <w:rFonts w:ascii="Arial Narrow" w:hAnsi="Arial Narrow" w:cs="Times New Roman"/>
          <w:sz w:val="24"/>
          <w:szCs w:val="24"/>
          <w:lang w:eastAsia="en-GB"/>
        </w:rPr>
        <w:t>Ντίρχαμ</w:t>
      </w:r>
      <w:r w:rsidR="00B32DC0" w:rsidRPr="007B69F7">
        <w:rPr>
          <w:rFonts w:ascii="Arial Narrow" w:hAnsi="Arial Narrow" w:cs="Times New Roman"/>
          <w:sz w:val="24"/>
          <w:szCs w:val="24"/>
          <w:lang w:eastAsia="en-GB"/>
        </w:rPr>
        <w:t xml:space="preserve">), </w:t>
      </w:r>
      <w:r w:rsidR="0081636E" w:rsidRPr="007B69F7">
        <w:rPr>
          <w:rFonts w:ascii="Arial Narrow" w:hAnsi="Arial Narrow" w:cs="Times New Roman"/>
          <w:sz w:val="24"/>
          <w:szCs w:val="24"/>
          <w:lang w:eastAsia="en-GB"/>
        </w:rPr>
        <w:t xml:space="preserve">γ) </w:t>
      </w:r>
      <w:r w:rsidR="00E308B7" w:rsidRPr="007B69F7">
        <w:rPr>
          <w:rFonts w:ascii="Arial Narrow" w:hAnsi="Arial Narrow" w:cs="Times New Roman"/>
          <w:sz w:val="24"/>
          <w:szCs w:val="24"/>
          <w:lang w:eastAsia="en-GB"/>
        </w:rPr>
        <w:t>διπλωματία</w:t>
      </w:r>
      <w:r w:rsidR="00B32DC0" w:rsidRPr="007B69F7">
        <w:rPr>
          <w:rFonts w:ascii="Arial Narrow" w:hAnsi="Arial Narrow" w:cs="Times New Roman"/>
          <w:sz w:val="24"/>
          <w:szCs w:val="24"/>
          <w:lang w:eastAsia="en-GB"/>
        </w:rPr>
        <w:t xml:space="preserve"> (στόχος </w:t>
      </w:r>
      <w:r w:rsidR="001D5EC1" w:rsidRPr="007B69F7">
        <w:rPr>
          <w:rFonts w:ascii="Arial Narrow" w:hAnsi="Arial Narrow" w:cs="Times New Roman"/>
          <w:sz w:val="24"/>
          <w:szCs w:val="24"/>
          <w:lang w:eastAsia="en-GB"/>
        </w:rPr>
        <w:t xml:space="preserve">η </w:t>
      </w:r>
      <w:r w:rsidR="00B32DC0" w:rsidRPr="007B69F7">
        <w:rPr>
          <w:rFonts w:ascii="Arial Narrow" w:hAnsi="Arial Narrow" w:cs="Times New Roman"/>
          <w:sz w:val="24"/>
          <w:szCs w:val="24"/>
          <w:lang w:eastAsia="en-GB"/>
        </w:rPr>
        <w:t xml:space="preserve">επέκταση </w:t>
      </w:r>
      <w:r w:rsidR="001D5EC1" w:rsidRPr="007B69F7">
        <w:rPr>
          <w:rFonts w:ascii="Arial Narrow" w:hAnsi="Arial Narrow" w:cs="Times New Roman"/>
          <w:sz w:val="24"/>
          <w:szCs w:val="24"/>
          <w:lang w:eastAsia="en-GB"/>
        </w:rPr>
        <w:t xml:space="preserve">των </w:t>
      </w:r>
      <w:r w:rsidR="00B32DC0" w:rsidRPr="007B69F7">
        <w:rPr>
          <w:rFonts w:ascii="Arial Narrow" w:hAnsi="Arial Narrow" w:cs="Times New Roman"/>
          <w:sz w:val="24"/>
          <w:szCs w:val="24"/>
          <w:lang w:eastAsia="en-GB"/>
        </w:rPr>
        <w:t xml:space="preserve">εξωτερικών σχέσεων και </w:t>
      </w:r>
      <w:r w:rsidR="001D5EC1" w:rsidRPr="007B69F7">
        <w:rPr>
          <w:rFonts w:ascii="Arial Narrow" w:hAnsi="Arial Narrow" w:cs="Times New Roman"/>
          <w:sz w:val="24"/>
          <w:szCs w:val="24"/>
          <w:lang w:eastAsia="en-GB"/>
        </w:rPr>
        <w:t xml:space="preserve">η </w:t>
      </w:r>
      <w:r w:rsidR="00B32DC0" w:rsidRPr="007B69F7">
        <w:rPr>
          <w:rFonts w:ascii="Arial Narrow" w:hAnsi="Arial Narrow" w:cs="Times New Roman"/>
          <w:sz w:val="24"/>
          <w:szCs w:val="24"/>
          <w:lang w:eastAsia="en-GB"/>
        </w:rPr>
        <w:t xml:space="preserve">εδραίωση </w:t>
      </w:r>
      <w:r w:rsidR="001D5EC1" w:rsidRPr="007B69F7">
        <w:rPr>
          <w:rFonts w:ascii="Arial Narrow" w:hAnsi="Arial Narrow" w:cs="Times New Roman"/>
          <w:sz w:val="24"/>
          <w:szCs w:val="24"/>
          <w:lang w:eastAsia="en-GB"/>
        </w:rPr>
        <w:t>της χ</w:t>
      </w:r>
      <w:r w:rsidR="00B32DC0" w:rsidRPr="007B69F7">
        <w:rPr>
          <w:rFonts w:ascii="Arial Narrow" w:hAnsi="Arial Narrow" w:cs="Times New Roman"/>
          <w:sz w:val="24"/>
          <w:szCs w:val="24"/>
          <w:lang w:eastAsia="en-GB"/>
        </w:rPr>
        <w:t>ώρας ως κόμβου καινοτομίας στη βιώσιμη ανάπτυξη)</w:t>
      </w:r>
      <w:r w:rsidR="00E308B7" w:rsidRPr="007B69F7">
        <w:rPr>
          <w:rFonts w:ascii="Arial Narrow" w:hAnsi="Arial Narrow" w:cs="Times New Roman"/>
          <w:sz w:val="24"/>
          <w:szCs w:val="24"/>
          <w:lang w:eastAsia="en-GB"/>
        </w:rPr>
        <w:t xml:space="preserve"> και </w:t>
      </w:r>
      <w:r w:rsidR="0081636E" w:rsidRPr="007B69F7">
        <w:rPr>
          <w:rFonts w:ascii="Arial Narrow" w:hAnsi="Arial Narrow" w:cs="Times New Roman"/>
          <w:sz w:val="24"/>
          <w:szCs w:val="24"/>
          <w:lang w:eastAsia="en-GB"/>
        </w:rPr>
        <w:t xml:space="preserve">δ) </w:t>
      </w:r>
      <w:r w:rsidR="00E308B7" w:rsidRPr="007B69F7">
        <w:rPr>
          <w:rFonts w:ascii="Arial Narrow" w:hAnsi="Arial Narrow" w:cs="Times New Roman"/>
          <w:sz w:val="24"/>
          <w:szCs w:val="24"/>
          <w:lang w:eastAsia="en-GB"/>
        </w:rPr>
        <w:t>οικοσύστη</w:t>
      </w:r>
      <w:r w:rsidR="00B32DC0" w:rsidRPr="007B69F7">
        <w:rPr>
          <w:rFonts w:ascii="Arial Narrow" w:hAnsi="Arial Narrow" w:cs="Times New Roman"/>
          <w:sz w:val="24"/>
          <w:szCs w:val="24"/>
          <w:lang w:eastAsia="en-GB"/>
        </w:rPr>
        <w:t>μα (</w:t>
      </w:r>
      <w:r w:rsidR="001D5EC1" w:rsidRPr="007B69F7">
        <w:rPr>
          <w:rFonts w:ascii="Arial Narrow" w:hAnsi="Arial Narrow" w:cs="Times New Roman"/>
          <w:sz w:val="24"/>
          <w:szCs w:val="24"/>
          <w:lang w:eastAsia="en-GB"/>
        </w:rPr>
        <w:t>στόχος</w:t>
      </w:r>
      <w:r w:rsidR="00167F81" w:rsidRPr="007B69F7">
        <w:rPr>
          <w:rFonts w:ascii="Arial Narrow" w:hAnsi="Arial Narrow" w:cs="Times New Roman"/>
          <w:sz w:val="24"/>
          <w:szCs w:val="24"/>
          <w:lang w:eastAsia="en-GB"/>
        </w:rPr>
        <w:t>, μέσω τ</w:t>
      </w:r>
      <w:r w:rsidR="001D5EC1" w:rsidRPr="007B69F7">
        <w:rPr>
          <w:rFonts w:ascii="Arial Narrow" w:hAnsi="Arial Narrow" w:cs="Times New Roman"/>
          <w:sz w:val="24"/>
          <w:szCs w:val="24"/>
          <w:lang w:eastAsia="en-GB"/>
        </w:rPr>
        <w:t>η</w:t>
      </w:r>
      <w:r w:rsidR="00167F81" w:rsidRPr="007B69F7">
        <w:rPr>
          <w:rFonts w:ascii="Arial Narrow" w:hAnsi="Arial Narrow" w:cs="Times New Roman"/>
          <w:sz w:val="24"/>
          <w:szCs w:val="24"/>
          <w:lang w:eastAsia="en-GB"/>
        </w:rPr>
        <w:t>ς</w:t>
      </w:r>
      <w:r w:rsidR="001D5EC1" w:rsidRPr="007B69F7">
        <w:rPr>
          <w:rFonts w:ascii="Arial Narrow" w:hAnsi="Arial Narrow" w:cs="Times New Roman"/>
          <w:sz w:val="24"/>
          <w:szCs w:val="24"/>
          <w:lang w:eastAsia="en-GB"/>
        </w:rPr>
        <w:t xml:space="preserve"> </w:t>
      </w:r>
      <w:r w:rsidR="00B32DC0" w:rsidRPr="007B69F7">
        <w:rPr>
          <w:rFonts w:ascii="Arial Narrow" w:hAnsi="Arial Narrow" w:cs="Times New Roman"/>
          <w:sz w:val="24"/>
          <w:szCs w:val="24"/>
          <w:lang w:eastAsia="en-GB"/>
        </w:rPr>
        <w:t>ενίσχυση</w:t>
      </w:r>
      <w:r w:rsidR="00167F81" w:rsidRPr="007B69F7">
        <w:rPr>
          <w:rFonts w:ascii="Arial Narrow" w:hAnsi="Arial Narrow" w:cs="Times New Roman"/>
          <w:sz w:val="24"/>
          <w:szCs w:val="24"/>
          <w:lang w:eastAsia="en-GB"/>
        </w:rPr>
        <w:t>ς</w:t>
      </w:r>
      <w:r w:rsidR="00B32DC0" w:rsidRPr="007B69F7">
        <w:rPr>
          <w:rFonts w:ascii="Arial Narrow" w:hAnsi="Arial Narrow" w:cs="Times New Roman"/>
          <w:sz w:val="24"/>
          <w:szCs w:val="24"/>
          <w:lang w:eastAsia="en-GB"/>
        </w:rPr>
        <w:t xml:space="preserve"> </w:t>
      </w:r>
      <w:r w:rsidR="001D5EC1" w:rsidRPr="007B69F7">
        <w:rPr>
          <w:rFonts w:ascii="Arial Narrow" w:hAnsi="Arial Narrow" w:cs="Times New Roman"/>
          <w:sz w:val="24"/>
          <w:szCs w:val="24"/>
          <w:lang w:eastAsia="en-GB"/>
        </w:rPr>
        <w:t xml:space="preserve">των </w:t>
      </w:r>
      <w:r w:rsidR="00B32DC0" w:rsidRPr="007B69F7">
        <w:rPr>
          <w:rFonts w:ascii="Arial Narrow" w:hAnsi="Arial Narrow" w:cs="Times New Roman"/>
          <w:sz w:val="24"/>
          <w:szCs w:val="24"/>
          <w:lang w:eastAsia="en-GB"/>
        </w:rPr>
        <w:t>ψηφιακών υποδομών</w:t>
      </w:r>
      <w:r w:rsidR="00167F81" w:rsidRPr="007B69F7">
        <w:rPr>
          <w:rFonts w:ascii="Arial Narrow" w:hAnsi="Arial Narrow" w:cs="Times New Roman"/>
          <w:sz w:val="24"/>
          <w:szCs w:val="24"/>
          <w:lang w:eastAsia="en-GB"/>
        </w:rPr>
        <w:t xml:space="preserve">, η </w:t>
      </w:r>
      <w:r w:rsidR="00B32DC0" w:rsidRPr="007B69F7">
        <w:rPr>
          <w:rFonts w:ascii="Arial Narrow" w:hAnsi="Arial Narrow" w:cs="Times New Roman"/>
          <w:sz w:val="24"/>
          <w:szCs w:val="24"/>
          <w:lang w:eastAsia="en-GB"/>
        </w:rPr>
        <w:t xml:space="preserve">βελιστοποίηση </w:t>
      </w:r>
      <w:r w:rsidR="00167F81" w:rsidRPr="007B69F7">
        <w:rPr>
          <w:rFonts w:ascii="Arial Narrow" w:hAnsi="Arial Narrow" w:cs="Times New Roman"/>
          <w:sz w:val="24"/>
          <w:szCs w:val="24"/>
          <w:lang w:eastAsia="en-GB"/>
        </w:rPr>
        <w:t xml:space="preserve">της </w:t>
      </w:r>
      <w:r w:rsidR="00B32DC0" w:rsidRPr="007B69F7">
        <w:rPr>
          <w:rFonts w:ascii="Arial Narrow" w:hAnsi="Arial Narrow" w:cs="Times New Roman"/>
          <w:sz w:val="24"/>
          <w:szCs w:val="24"/>
          <w:lang w:eastAsia="en-GB"/>
        </w:rPr>
        <w:t xml:space="preserve">κυβερνητικής απόδοσης, </w:t>
      </w:r>
      <w:r w:rsidR="00167F81" w:rsidRPr="007B69F7">
        <w:rPr>
          <w:rFonts w:ascii="Arial Narrow" w:hAnsi="Arial Narrow" w:cs="Times New Roman"/>
          <w:sz w:val="24"/>
          <w:szCs w:val="24"/>
          <w:lang w:eastAsia="en-GB"/>
        </w:rPr>
        <w:t xml:space="preserve">η </w:t>
      </w:r>
      <w:r w:rsidR="00B32DC0" w:rsidRPr="007B69F7">
        <w:rPr>
          <w:rFonts w:ascii="Arial Narrow" w:hAnsi="Arial Narrow" w:cs="Times New Roman"/>
          <w:sz w:val="24"/>
          <w:szCs w:val="24"/>
          <w:lang w:eastAsia="en-GB"/>
        </w:rPr>
        <w:t xml:space="preserve">κατάταξη </w:t>
      </w:r>
      <w:r w:rsidR="00167F81" w:rsidRPr="007B69F7">
        <w:rPr>
          <w:rFonts w:ascii="Arial Narrow" w:hAnsi="Arial Narrow" w:cs="Times New Roman"/>
          <w:sz w:val="24"/>
          <w:szCs w:val="24"/>
          <w:lang w:eastAsia="en-GB"/>
        </w:rPr>
        <w:t xml:space="preserve">της </w:t>
      </w:r>
      <w:r w:rsidR="00B32DC0" w:rsidRPr="007B69F7">
        <w:rPr>
          <w:rFonts w:ascii="Arial Narrow" w:hAnsi="Arial Narrow" w:cs="Times New Roman"/>
          <w:sz w:val="24"/>
          <w:szCs w:val="24"/>
          <w:lang w:eastAsia="en-GB"/>
        </w:rPr>
        <w:t>χώρας στις 3 κορυφαίες στον παγκόσμιο δείκτη κυβερνοασφάλειας και στην 1</w:t>
      </w:r>
      <w:r w:rsidR="00B32DC0" w:rsidRPr="007B69F7">
        <w:rPr>
          <w:rFonts w:ascii="Arial Narrow" w:hAnsi="Arial Narrow" w:cs="Times New Roman"/>
          <w:sz w:val="24"/>
          <w:szCs w:val="24"/>
          <w:vertAlign w:val="superscript"/>
          <w:lang w:eastAsia="en-GB"/>
        </w:rPr>
        <w:t>η</w:t>
      </w:r>
      <w:r w:rsidR="00B32DC0" w:rsidRPr="007B69F7">
        <w:rPr>
          <w:rFonts w:ascii="Arial Narrow" w:hAnsi="Arial Narrow" w:cs="Times New Roman"/>
          <w:sz w:val="24"/>
          <w:szCs w:val="24"/>
          <w:lang w:eastAsia="en-GB"/>
        </w:rPr>
        <w:t xml:space="preserve"> θέση </w:t>
      </w:r>
      <w:r w:rsidR="005625F8" w:rsidRPr="007B69F7">
        <w:rPr>
          <w:rFonts w:ascii="Arial Narrow" w:hAnsi="Arial Narrow" w:cs="Times New Roman"/>
          <w:sz w:val="24"/>
          <w:szCs w:val="24"/>
          <w:lang w:eastAsia="en-GB"/>
        </w:rPr>
        <w:t xml:space="preserve">παγκοσμίως </w:t>
      </w:r>
      <w:r w:rsidR="00B32DC0" w:rsidRPr="007B69F7">
        <w:rPr>
          <w:rFonts w:ascii="Arial Narrow" w:hAnsi="Arial Narrow" w:cs="Times New Roman"/>
          <w:sz w:val="24"/>
          <w:szCs w:val="24"/>
          <w:lang w:eastAsia="en-GB"/>
        </w:rPr>
        <w:t xml:space="preserve">στον τομέα </w:t>
      </w:r>
      <w:r w:rsidR="005625F8" w:rsidRPr="007B69F7">
        <w:rPr>
          <w:rFonts w:ascii="Arial Narrow" w:hAnsi="Arial Narrow" w:cs="Times New Roman"/>
          <w:sz w:val="24"/>
          <w:szCs w:val="24"/>
          <w:lang w:eastAsia="en-GB"/>
        </w:rPr>
        <w:t>της ασφάλειας</w:t>
      </w:r>
      <w:r w:rsidR="00A209C2" w:rsidRPr="007B69F7">
        <w:rPr>
          <w:rFonts w:ascii="Arial Narrow" w:hAnsi="Arial Narrow" w:cs="Times New Roman"/>
          <w:sz w:val="24"/>
          <w:szCs w:val="24"/>
          <w:lang w:eastAsia="en-GB"/>
        </w:rPr>
        <w:t>)</w:t>
      </w:r>
      <w:r w:rsidR="00E308B7" w:rsidRPr="007B69F7">
        <w:rPr>
          <w:rFonts w:ascii="Arial Narrow" w:hAnsi="Arial Narrow" w:cs="Times New Roman"/>
          <w:sz w:val="24"/>
          <w:szCs w:val="24"/>
          <w:lang w:eastAsia="en-GB"/>
        </w:rPr>
        <w:t xml:space="preserve">. </w:t>
      </w:r>
    </w:p>
    <w:p w14:paraId="61195941" w14:textId="045949F4" w:rsidR="00400C16" w:rsidRPr="007B69F7" w:rsidRDefault="007F259F" w:rsidP="00E308B7">
      <w:pPr>
        <w:spacing w:after="120"/>
        <w:ind w:firstLine="567"/>
        <w:jc w:val="both"/>
        <w:rPr>
          <w:rFonts w:ascii="Arial Narrow" w:hAnsi="Arial Narrow" w:cs="Times New Roman"/>
          <w:sz w:val="24"/>
          <w:szCs w:val="24"/>
          <w:lang w:eastAsia="en-GB"/>
        </w:rPr>
      </w:pPr>
      <w:r w:rsidRPr="007B69F7">
        <w:rPr>
          <w:rFonts w:ascii="Arial Narrow" w:hAnsi="Arial Narrow" w:cs="Times New Roman"/>
          <w:sz w:val="24"/>
          <w:szCs w:val="24"/>
          <w:lang w:eastAsia="en-GB"/>
        </w:rPr>
        <w:t>Επισημαίνεται ότι τ</w:t>
      </w:r>
      <w:r w:rsidR="00E308B7" w:rsidRPr="007B69F7">
        <w:rPr>
          <w:rFonts w:ascii="Arial Narrow" w:hAnsi="Arial Narrow" w:cs="Times New Roman"/>
          <w:sz w:val="24"/>
          <w:szCs w:val="24"/>
          <w:lang w:eastAsia="en-GB"/>
        </w:rPr>
        <w:t>ο εν λόγω Σχέδιο</w:t>
      </w:r>
      <w:r w:rsidR="00CB36A1" w:rsidRPr="007B69F7">
        <w:rPr>
          <w:rFonts w:ascii="Arial Narrow" w:hAnsi="Arial Narrow" w:cs="Times New Roman"/>
          <w:sz w:val="24"/>
          <w:szCs w:val="24"/>
          <w:lang w:eastAsia="en-GB"/>
        </w:rPr>
        <w:t xml:space="preserve"> κινείται</w:t>
      </w:r>
      <w:r w:rsidR="00872C0E" w:rsidRPr="007B69F7">
        <w:rPr>
          <w:rFonts w:ascii="Arial Narrow" w:hAnsi="Arial Narrow" w:cs="Times New Roman"/>
          <w:sz w:val="24"/>
          <w:szCs w:val="24"/>
          <w:lang w:eastAsia="en-GB"/>
        </w:rPr>
        <w:t xml:space="preserve"> </w:t>
      </w:r>
      <w:r w:rsidR="00CD32DE" w:rsidRPr="007B69F7">
        <w:rPr>
          <w:rFonts w:ascii="Arial Narrow" w:hAnsi="Arial Narrow" w:cs="Times New Roman"/>
          <w:sz w:val="24"/>
          <w:szCs w:val="24"/>
          <w:lang w:eastAsia="en-GB"/>
        </w:rPr>
        <w:t>στην πορεία</w:t>
      </w:r>
      <w:r w:rsidR="00872C0E" w:rsidRPr="007B69F7">
        <w:rPr>
          <w:rFonts w:ascii="Arial Narrow" w:hAnsi="Arial Narrow" w:cs="Times New Roman"/>
          <w:sz w:val="24"/>
          <w:szCs w:val="24"/>
          <w:lang w:eastAsia="en-GB"/>
        </w:rPr>
        <w:t xml:space="preserve"> που έχει χαράξει το</w:t>
      </w:r>
      <w:r w:rsidR="007120B8" w:rsidRPr="007B69F7">
        <w:rPr>
          <w:rFonts w:ascii="Arial Narrow" w:hAnsi="Arial Narrow" w:cs="Times New Roman"/>
          <w:sz w:val="24"/>
          <w:szCs w:val="24"/>
          <w:lang w:eastAsia="en-GB"/>
        </w:rPr>
        <w:t xml:space="preserve"> </w:t>
      </w:r>
      <w:r w:rsidR="00E308B7" w:rsidRPr="007B69F7">
        <w:rPr>
          <w:rFonts w:ascii="Arial Narrow" w:hAnsi="Arial Narrow" w:cs="Times New Roman"/>
          <w:sz w:val="24"/>
          <w:szCs w:val="24"/>
          <w:lang w:eastAsia="en-GB"/>
        </w:rPr>
        <w:t>μακροπρόθεσμο Σ</w:t>
      </w:r>
      <w:r w:rsidR="00872C0E" w:rsidRPr="007B69F7">
        <w:rPr>
          <w:rFonts w:ascii="Arial Narrow" w:hAnsi="Arial Narrow" w:cs="Times New Roman"/>
          <w:sz w:val="24"/>
          <w:szCs w:val="24"/>
          <w:lang w:eastAsia="en-GB"/>
        </w:rPr>
        <w:t>χέδιο</w:t>
      </w:r>
      <w:r w:rsidR="00E308B7" w:rsidRPr="007B69F7">
        <w:rPr>
          <w:rFonts w:ascii="Arial Narrow" w:hAnsi="Arial Narrow" w:cs="Times New Roman"/>
          <w:sz w:val="24"/>
          <w:szCs w:val="24"/>
          <w:lang w:eastAsia="en-GB"/>
        </w:rPr>
        <w:t xml:space="preserve"> </w:t>
      </w:r>
      <w:hyperlink r:id="rId14" w:history="1">
        <w:r w:rsidR="00E308B7" w:rsidRPr="007B69F7">
          <w:rPr>
            <w:rStyle w:val="Hyperlink"/>
            <w:rFonts w:ascii="Arial Narrow" w:hAnsi="Arial Narrow" w:cs="Times New Roman"/>
            <w:b/>
            <w:sz w:val="24"/>
            <w:szCs w:val="24"/>
            <w:lang w:val="en-US" w:eastAsia="en-GB"/>
          </w:rPr>
          <w:t>UAE</w:t>
        </w:r>
        <w:r w:rsidR="00E308B7" w:rsidRPr="007B69F7">
          <w:rPr>
            <w:rStyle w:val="Hyperlink"/>
            <w:rFonts w:ascii="Arial Narrow" w:hAnsi="Arial Narrow" w:cs="Times New Roman"/>
            <w:b/>
            <w:sz w:val="24"/>
            <w:szCs w:val="24"/>
            <w:lang w:eastAsia="en-GB"/>
          </w:rPr>
          <w:t xml:space="preserve"> </w:t>
        </w:r>
        <w:r w:rsidR="00E308B7" w:rsidRPr="007B69F7">
          <w:rPr>
            <w:rStyle w:val="Hyperlink"/>
            <w:rFonts w:ascii="Arial Narrow" w:hAnsi="Arial Narrow" w:cs="Times New Roman"/>
            <w:b/>
            <w:sz w:val="24"/>
            <w:szCs w:val="24"/>
            <w:lang w:val="en-US" w:eastAsia="en-GB"/>
          </w:rPr>
          <w:t>Centennial</w:t>
        </w:r>
        <w:r w:rsidR="00E308B7" w:rsidRPr="007B69F7">
          <w:rPr>
            <w:rStyle w:val="Hyperlink"/>
            <w:rFonts w:ascii="Arial Narrow" w:hAnsi="Arial Narrow" w:cs="Times New Roman"/>
            <w:b/>
            <w:sz w:val="24"/>
            <w:szCs w:val="24"/>
            <w:lang w:eastAsia="en-GB"/>
          </w:rPr>
          <w:t xml:space="preserve"> 2071</w:t>
        </w:r>
      </w:hyperlink>
      <w:r w:rsidR="00F10D09" w:rsidRPr="007B69F7">
        <w:rPr>
          <w:rStyle w:val="FootnoteReference"/>
          <w:rFonts w:ascii="Arial Narrow" w:hAnsi="Arial Narrow" w:cs="Times New Roman"/>
          <w:sz w:val="24"/>
          <w:szCs w:val="24"/>
          <w:lang w:eastAsia="en-GB"/>
        </w:rPr>
        <w:footnoteReference w:id="2"/>
      </w:r>
      <w:r w:rsidR="0064368C" w:rsidRPr="007B69F7">
        <w:rPr>
          <w:rFonts w:ascii="Arial Narrow" w:hAnsi="Arial Narrow" w:cs="Times New Roman"/>
          <w:sz w:val="24"/>
          <w:szCs w:val="24"/>
          <w:lang w:eastAsia="en-GB"/>
        </w:rPr>
        <w:t>, το οποί</w:t>
      </w:r>
      <w:r w:rsidR="00FD4DD9" w:rsidRPr="007B69F7">
        <w:rPr>
          <w:rFonts w:ascii="Arial Narrow" w:hAnsi="Arial Narrow" w:cs="Times New Roman"/>
          <w:sz w:val="24"/>
          <w:szCs w:val="24"/>
          <w:lang w:eastAsia="en-GB"/>
        </w:rPr>
        <w:t xml:space="preserve">ο χαρτογραφεί την κατεύθυνση των πολιτικών </w:t>
      </w:r>
      <w:r w:rsidR="00A60041" w:rsidRPr="007B69F7">
        <w:rPr>
          <w:rFonts w:ascii="Arial Narrow" w:hAnsi="Arial Narrow" w:cs="Times New Roman"/>
          <w:sz w:val="24"/>
          <w:szCs w:val="24"/>
          <w:lang w:eastAsia="en-GB"/>
        </w:rPr>
        <w:t xml:space="preserve">τόσο από την Ομοσπονδιακή Κυβέρνηση </w:t>
      </w:r>
      <w:r w:rsidR="00111774" w:rsidRPr="007B69F7">
        <w:rPr>
          <w:rFonts w:ascii="Arial Narrow" w:hAnsi="Arial Narrow" w:cs="Times New Roman"/>
          <w:sz w:val="24"/>
          <w:szCs w:val="24"/>
          <w:lang w:eastAsia="en-GB"/>
        </w:rPr>
        <w:t>όσο και τις Τοπικές Κυβερνήσεις για τα επόμενα 50 έτη</w:t>
      </w:r>
      <w:r w:rsidR="00FD4DD9" w:rsidRPr="007B69F7">
        <w:rPr>
          <w:rFonts w:ascii="Arial Narrow" w:hAnsi="Arial Narrow" w:cs="Times New Roman"/>
          <w:sz w:val="24"/>
          <w:szCs w:val="24"/>
          <w:lang w:eastAsia="en-GB"/>
        </w:rPr>
        <w:t xml:space="preserve">, </w:t>
      </w:r>
      <w:r w:rsidR="0064368C" w:rsidRPr="007B69F7">
        <w:rPr>
          <w:rFonts w:ascii="Arial Narrow" w:hAnsi="Arial Narrow" w:cs="Times New Roman"/>
          <w:sz w:val="24"/>
          <w:szCs w:val="24"/>
          <w:lang w:eastAsia="en-GB"/>
        </w:rPr>
        <w:t>βασ</w:t>
      </w:r>
      <w:r w:rsidR="000E6DE0" w:rsidRPr="007B69F7">
        <w:rPr>
          <w:rFonts w:ascii="Arial Narrow" w:hAnsi="Arial Narrow" w:cs="Times New Roman"/>
          <w:sz w:val="24"/>
          <w:szCs w:val="24"/>
          <w:lang w:eastAsia="en-GB"/>
        </w:rPr>
        <w:t>ιζόμενο επίσης</w:t>
      </w:r>
      <w:r w:rsidR="0064368C" w:rsidRPr="007B69F7">
        <w:rPr>
          <w:rFonts w:ascii="Arial Narrow" w:hAnsi="Arial Narrow" w:cs="Times New Roman"/>
          <w:sz w:val="24"/>
          <w:szCs w:val="24"/>
          <w:lang w:eastAsia="en-GB"/>
        </w:rPr>
        <w:t xml:space="preserve"> σε 4 πυλώνες</w:t>
      </w:r>
      <w:r w:rsidR="00A74382" w:rsidRPr="007B69F7">
        <w:rPr>
          <w:rFonts w:ascii="Arial Narrow" w:hAnsi="Arial Narrow" w:cs="Times New Roman"/>
          <w:sz w:val="24"/>
          <w:szCs w:val="24"/>
          <w:lang w:eastAsia="en-GB"/>
        </w:rPr>
        <w:t xml:space="preserve">: </w:t>
      </w:r>
      <w:r w:rsidR="00A74382" w:rsidRPr="007B69F7">
        <w:rPr>
          <w:rFonts w:ascii="Arial Narrow" w:hAnsi="Arial Narrow" w:cs="Times New Roman"/>
          <w:sz w:val="24"/>
          <w:szCs w:val="24"/>
          <w:lang w:val="en-US" w:eastAsia="en-GB"/>
        </w:rPr>
        <w:t>K</w:t>
      </w:r>
      <w:r w:rsidR="00611CCC" w:rsidRPr="007B69F7">
        <w:rPr>
          <w:rFonts w:ascii="Arial Narrow" w:hAnsi="Arial Narrow" w:cs="Times New Roman"/>
          <w:sz w:val="24"/>
          <w:szCs w:val="24"/>
          <w:lang w:eastAsia="en-GB"/>
        </w:rPr>
        <w:t>υβέρνηση με</w:t>
      </w:r>
      <w:r w:rsidR="00A74382" w:rsidRPr="007B69F7">
        <w:rPr>
          <w:rFonts w:ascii="Arial Narrow" w:hAnsi="Arial Narrow" w:cs="Times New Roman"/>
          <w:sz w:val="24"/>
          <w:szCs w:val="24"/>
          <w:lang w:eastAsia="en-GB"/>
        </w:rPr>
        <w:t xml:space="preserve"> όραμα για το μέλλον, </w:t>
      </w:r>
      <w:r w:rsidR="00926291" w:rsidRPr="007B69F7">
        <w:rPr>
          <w:rFonts w:ascii="Arial Narrow" w:hAnsi="Arial Narrow" w:cs="Times New Roman"/>
          <w:sz w:val="24"/>
          <w:szCs w:val="24"/>
          <w:lang w:eastAsia="en-GB"/>
        </w:rPr>
        <w:t>άριστο επίπεδο εκπαίδ</w:t>
      </w:r>
      <w:r w:rsidR="00452F9D" w:rsidRPr="007B69F7">
        <w:rPr>
          <w:rFonts w:ascii="Arial Narrow" w:hAnsi="Arial Narrow" w:cs="Times New Roman"/>
          <w:sz w:val="24"/>
          <w:szCs w:val="24"/>
          <w:lang w:eastAsia="en-GB"/>
        </w:rPr>
        <w:t>ευσης, διαφοροποιημένη οικονομία της γνώσης</w:t>
      </w:r>
      <w:r w:rsidR="00E32F30" w:rsidRPr="007B69F7">
        <w:rPr>
          <w:rFonts w:ascii="Arial Narrow" w:hAnsi="Arial Narrow" w:cs="Times New Roman"/>
          <w:sz w:val="24"/>
          <w:szCs w:val="24"/>
          <w:lang w:eastAsia="en-GB"/>
        </w:rPr>
        <w:t>, ευτυχισμένη και συνεκτική κοινωνία.</w:t>
      </w:r>
      <w:r w:rsidR="00A74382" w:rsidRPr="007B69F7">
        <w:rPr>
          <w:rFonts w:ascii="Arial Narrow" w:hAnsi="Arial Narrow" w:cs="Times New Roman"/>
          <w:sz w:val="24"/>
          <w:szCs w:val="24"/>
          <w:lang w:eastAsia="en-GB"/>
        </w:rPr>
        <w:t xml:space="preserve"> </w:t>
      </w:r>
    </w:p>
    <w:p w14:paraId="112516C4" w14:textId="53EAE914" w:rsidR="00B4602C" w:rsidRPr="007B69F7" w:rsidRDefault="00C72AD2" w:rsidP="00567BCF">
      <w:pPr>
        <w:spacing w:after="120"/>
        <w:ind w:firstLine="567"/>
        <w:jc w:val="both"/>
        <w:rPr>
          <w:rFonts w:ascii="Arial Narrow" w:hAnsi="Arial Narrow" w:cs="Times New Roman"/>
          <w:sz w:val="24"/>
          <w:szCs w:val="24"/>
          <w:lang w:eastAsia="en-GB"/>
        </w:rPr>
      </w:pPr>
      <w:r w:rsidRPr="007B69F7">
        <w:rPr>
          <w:rFonts w:ascii="Arial Narrow" w:hAnsi="Arial Narrow" w:cs="Times New Roman"/>
          <w:sz w:val="24"/>
          <w:szCs w:val="24"/>
          <w:lang w:eastAsia="en-GB"/>
        </w:rPr>
        <w:t xml:space="preserve">Ενδεικτικά αναφέρονται οι κάτωθι πολιτικές που έχουν ήδη </w:t>
      </w:r>
      <w:r w:rsidR="00717B96" w:rsidRPr="007B69F7">
        <w:rPr>
          <w:rFonts w:ascii="Arial Narrow" w:hAnsi="Arial Narrow" w:cs="Times New Roman"/>
          <w:sz w:val="24"/>
          <w:szCs w:val="24"/>
          <w:lang w:eastAsia="en-GB"/>
        </w:rPr>
        <w:t>υιοθετηθεί</w:t>
      </w:r>
      <w:r w:rsidR="0041330C" w:rsidRPr="007B69F7">
        <w:rPr>
          <w:rFonts w:ascii="Arial Narrow" w:hAnsi="Arial Narrow" w:cs="Times New Roman"/>
          <w:sz w:val="24"/>
          <w:szCs w:val="24"/>
          <w:lang w:eastAsia="en-GB"/>
        </w:rPr>
        <w:t xml:space="preserve"> </w:t>
      </w:r>
      <w:r w:rsidR="00501D7D" w:rsidRPr="007B69F7">
        <w:rPr>
          <w:rFonts w:ascii="Arial Narrow" w:hAnsi="Arial Narrow" w:cs="Times New Roman"/>
          <w:sz w:val="24"/>
          <w:szCs w:val="24"/>
          <w:lang w:eastAsia="en-GB"/>
        </w:rPr>
        <w:t>από την Ομοσπονδιακή Κυβέρνηση</w:t>
      </w:r>
      <w:r w:rsidR="00E806F5" w:rsidRPr="007B69F7">
        <w:rPr>
          <w:rFonts w:ascii="Arial Narrow" w:hAnsi="Arial Narrow" w:cs="Times New Roman"/>
          <w:sz w:val="24"/>
          <w:szCs w:val="24"/>
          <w:lang w:eastAsia="en-GB"/>
        </w:rPr>
        <w:t>:</w:t>
      </w:r>
    </w:p>
    <w:p w14:paraId="363E1724" w14:textId="395D19EF" w:rsidR="000C5F0A" w:rsidRPr="007B69F7" w:rsidRDefault="00B4602C" w:rsidP="00567BCF">
      <w:pPr>
        <w:spacing w:after="120"/>
        <w:ind w:firstLine="567"/>
        <w:jc w:val="both"/>
        <w:rPr>
          <w:rFonts w:ascii="Arial Narrow" w:hAnsi="Arial Narrow" w:cs="Times New Roman"/>
          <w:sz w:val="24"/>
          <w:szCs w:val="24"/>
          <w:lang w:eastAsia="en-GB"/>
        </w:rPr>
      </w:pPr>
      <w:r w:rsidRPr="007B69F7">
        <w:rPr>
          <w:rFonts w:ascii="Arial Narrow" w:hAnsi="Arial Narrow" w:cs="Times New Roman"/>
          <w:sz w:val="24"/>
          <w:szCs w:val="24"/>
          <w:lang w:eastAsia="en-GB"/>
        </w:rPr>
        <w:t>-</w:t>
      </w:r>
      <w:r w:rsidR="004337B4" w:rsidRPr="007B69F7">
        <w:rPr>
          <w:rFonts w:ascii="Arial Narrow" w:hAnsi="Arial Narrow" w:cs="Times New Roman"/>
          <w:sz w:val="24"/>
          <w:szCs w:val="24"/>
          <w:lang w:eastAsia="en-GB"/>
        </w:rPr>
        <w:t>Σ</w:t>
      </w:r>
      <w:r w:rsidR="00825173" w:rsidRPr="007B69F7">
        <w:rPr>
          <w:rFonts w:ascii="Arial Narrow" w:hAnsi="Arial Narrow" w:cs="Times New Roman"/>
          <w:sz w:val="24"/>
          <w:szCs w:val="24"/>
          <w:lang w:eastAsia="en-GB"/>
        </w:rPr>
        <w:t xml:space="preserve">ύσταση </w:t>
      </w:r>
      <w:r w:rsidR="0071160C" w:rsidRPr="007B69F7">
        <w:rPr>
          <w:rFonts w:ascii="Arial Narrow" w:hAnsi="Arial Narrow" w:cs="Times New Roman"/>
          <w:sz w:val="24"/>
          <w:szCs w:val="24"/>
          <w:lang w:eastAsia="en-GB"/>
        </w:rPr>
        <w:t xml:space="preserve">άνω των </w:t>
      </w:r>
      <w:r w:rsidR="0071160C" w:rsidRPr="007B69F7">
        <w:rPr>
          <w:rFonts w:ascii="Arial Narrow" w:hAnsi="Arial Narrow" w:cs="Times New Roman"/>
          <w:b/>
          <w:bCs/>
          <w:sz w:val="24"/>
          <w:szCs w:val="24"/>
          <w:lang w:eastAsia="en-GB"/>
        </w:rPr>
        <w:t xml:space="preserve">40 </w:t>
      </w:r>
      <w:r w:rsidR="00DA3B10" w:rsidRPr="007B69F7">
        <w:rPr>
          <w:rFonts w:ascii="Arial Narrow" w:hAnsi="Arial Narrow" w:cs="Times New Roman"/>
          <w:b/>
          <w:bCs/>
          <w:sz w:val="24"/>
          <w:szCs w:val="24"/>
          <w:lang w:eastAsia="en-GB"/>
        </w:rPr>
        <w:t>Ε</w:t>
      </w:r>
      <w:r w:rsidR="007A7302" w:rsidRPr="007B69F7">
        <w:rPr>
          <w:rFonts w:ascii="Arial Narrow" w:hAnsi="Arial Narrow" w:cs="Times New Roman"/>
          <w:b/>
          <w:bCs/>
          <w:sz w:val="24"/>
          <w:szCs w:val="24"/>
          <w:lang w:eastAsia="en-GB"/>
        </w:rPr>
        <w:t>λε</w:t>
      </w:r>
      <w:r w:rsidR="00825173" w:rsidRPr="007B69F7">
        <w:rPr>
          <w:rFonts w:ascii="Arial Narrow" w:hAnsi="Arial Narrow" w:cs="Times New Roman"/>
          <w:b/>
          <w:bCs/>
          <w:sz w:val="24"/>
          <w:szCs w:val="24"/>
          <w:lang w:eastAsia="en-GB"/>
        </w:rPr>
        <w:t>υθέρων</w:t>
      </w:r>
      <w:r w:rsidR="007A7302" w:rsidRPr="007B69F7">
        <w:rPr>
          <w:rFonts w:ascii="Arial Narrow" w:hAnsi="Arial Narrow" w:cs="Times New Roman"/>
          <w:b/>
          <w:bCs/>
          <w:sz w:val="24"/>
          <w:szCs w:val="24"/>
          <w:lang w:eastAsia="en-GB"/>
        </w:rPr>
        <w:t xml:space="preserve"> </w:t>
      </w:r>
      <w:r w:rsidR="00DA3B10" w:rsidRPr="007B69F7">
        <w:rPr>
          <w:rFonts w:ascii="Arial Narrow" w:hAnsi="Arial Narrow" w:cs="Times New Roman"/>
          <w:b/>
          <w:bCs/>
          <w:sz w:val="24"/>
          <w:szCs w:val="24"/>
          <w:lang w:eastAsia="en-GB"/>
        </w:rPr>
        <w:t>Ζ</w:t>
      </w:r>
      <w:r w:rsidR="00825173" w:rsidRPr="007B69F7">
        <w:rPr>
          <w:rFonts w:ascii="Arial Narrow" w:hAnsi="Arial Narrow" w:cs="Times New Roman"/>
          <w:b/>
          <w:bCs/>
          <w:sz w:val="24"/>
          <w:szCs w:val="24"/>
          <w:lang w:eastAsia="en-GB"/>
        </w:rPr>
        <w:t>ωνών</w:t>
      </w:r>
      <w:r w:rsidR="0091547C" w:rsidRPr="007B69F7">
        <w:rPr>
          <w:rStyle w:val="FootnoteReference"/>
          <w:rFonts w:ascii="Arial Narrow" w:hAnsi="Arial Narrow" w:cs="Times New Roman"/>
          <w:sz w:val="24"/>
          <w:szCs w:val="24"/>
          <w:lang w:eastAsia="en-GB"/>
        </w:rPr>
        <w:footnoteReference w:id="3"/>
      </w:r>
      <w:r w:rsidR="003C6107" w:rsidRPr="007B69F7">
        <w:rPr>
          <w:rFonts w:ascii="Arial Narrow" w:hAnsi="Arial Narrow" w:cs="Times New Roman"/>
          <w:sz w:val="24"/>
          <w:szCs w:val="24"/>
          <w:lang w:eastAsia="en-GB"/>
        </w:rPr>
        <w:t>,</w:t>
      </w:r>
      <w:r w:rsidR="00D73180" w:rsidRPr="007B69F7">
        <w:rPr>
          <w:rFonts w:ascii="Arial Narrow" w:hAnsi="Arial Narrow" w:cs="Times New Roman"/>
          <w:sz w:val="24"/>
          <w:szCs w:val="24"/>
          <w:lang w:eastAsia="en-GB"/>
        </w:rPr>
        <w:t xml:space="preserve"> όπου οι εγκαθιστάμενες ξένες επιχειρήσεις απολαμβάνουν ειδικά </w:t>
      </w:r>
      <w:r w:rsidR="003941BF" w:rsidRPr="007B69F7">
        <w:rPr>
          <w:rFonts w:ascii="Arial Narrow" w:hAnsi="Arial Narrow" w:cs="Times New Roman"/>
          <w:sz w:val="24"/>
          <w:szCs w:val="24"/>
          <w:lang w:eastAsia="en-GB"/>
        </w:rPr>
        <w:t xml:space="preserve">διοικητικά, δασμολογικά και φορολογικά </w:t>
      </w:r>
      <w:r w:rsidR="00D73180" w:rsidRPr="007B69F7">
        <w:rPr>
          <w:rFonts w:ascii="Arial Narrow" w:hAnsi="Arial Narrow" w:cs="Times New Roman"/>
          <w:b/>
          <w:sz w:val="24"/>
          <w:szCs w:val="24"/>
          <w:lang w:eastAsia="en-GB"/>
        </w:rPr>
        <w:t>προνόμια</w:t>
      </w:r>
      <w:r w:rsidR="00D73180" w:rsidRPr="007B69F7">
        <w:rPr>
          <w:rFonts w:ascii="Arial Narrow" w:hAnsi="Arial Narrow" w:cs="Times New Roman"/>
          <w:sz w:val="24"/>
          <w:szCs w:val="24"/>
          <w:lang w:eastAsia="en-GB"/>
        </w:rPr>
        <w:t xml:space="preserve">, </w:t>
      </w:r>
      <w:r w:rsidR="00BD3C64" w:rsidRPr="007B69F7">
        <w:rPr>
          <w:rFonts w:ascii="Arial Narrow" w:hAnsi="Arial Narrow" w:cs="Times New Roman"/>
          <w:sz w:val="24"/>
          <w:szCs w:val="24"/>
          <w:lang w:eastAsia="en-GB"/>
        </w:rPr>
        <w:t>όπως μηδενική φορολόγηση</w:t>
      </w:r>
      <w:r w:rsidR="00D0554D" w:rsidRPr="007B69F7">
        <w:rPr>
          <w:rFonts w:ascii="Arial Narrow" w:hAnsi="Arial Narrow" w:cs="Times New Roman"/>
          <w:sz w:val="24"/>
          <w:szCs w:val="24"/>
          <w:lang w:eastAsia="en-GB"/>
        </w:rPr>
        <w:t xml:space="preserve"> υπό προϋποθέσεις</w:t>
      </w:r>
      <w:r w:rsidR="009E065E" w:rsidRPr="007B69F7">
        <w:rPr>
          <w:rFonts w:ascii="Arial Narrow" w:hAnsi="Arial Narrow" w:cs="Times New Roman"/>
          <w:sz w:val="24"/>
          <w:szCs w:val="24"/>
          <w:lang w:eastAsia="en-GB"/>
        </w:rPr>
        <w:t xml:space="preserve"> και 100% ξένη ιδιοκτησία. </w:t>
      </w:r>
      <w:r w:rsidR="00A12E2F" w:rsidRPr="007B69F7">
        <w:rPr>
          <w:rFonts w:ascii="Arial Narrow" w:hAnsi="Arial Narrow" w:cs="Times New Roman"/>
          <w:sz w:val="24"/>
          <w:szCs w:val="24"/>
          <w:lang w:eastAsia="en-GB"/>
        </w:rPr>
        <w:t>Η μεγαλύτερη ο</w:t>
      </w:r>
      <w:r w:rsidR="004A4081" w:rsidRPr="007B69F7">
        <w:rPr>
          <w:rFonts w:ascii="Arial Narrow" w:hAnsi="Arial Narrow" w:cs="Times New Roman"/>
          <w:sz w:val="24"/>
          <w:szCs w:val="24"/>
          <w:lang w:eastAsia="en-GB"/>
        </w:rPr>
        <w:t>λο</w:t>
      </w:r>
      <w:r w:rsidR="00A12E2F" w:rsidRPr="007B69F7">
        <w:rPr>
          <w:rFonts w:ascii="Arial Narrow" w:hAnsi="Arial Narrow" w:cs="Times New Roman"/>
          <w:sz w:val="24"/>
          <w:szCs w:val="24"/>
          <w:lang w:eastAsia="en-GB"/>
        </w:rPr>
        <w:t xml:space="preserve">κληρωμένη οικονομικη ζώνη </w:t>
      </w:r>
      <w:r w:rsidR="00DA3B10" w:rsidRPr="007B69F7">
        <w:rPr>
          <w:rFonts w:ascii="Arial Narrow" w:hAnsi="Arial Narrow" w:cs="Times New Roman"/>
          <w:sz w:val="24"/>
          <w:szCs w:val="24"/>
          <w:lang w:eastAsia="en-GB"/>
        </w:rPr>
        <w:t xml:space="preserve">των ΗΑΕ </w:t>
      </w:r>
      <w:r w:rsidR="00A12E2F" w:rsidRPr="007B69F7">
        <w:rPr>
          <w:rFonts w:ascii="Arial Narrow" w:hAnsi="Arial Narrow" w:cs="Times New Roman"/>
          <w:sz w:val="24"/>
          <w:szCs w:val="24"/>
          <w:lang w:eastAsia="en-GB"/>
        </w:rPr>
        <w:t xml:space="preserve">είναι </w:t>
      </w:r>
      <w:r w:rsidR="000D17BD" w:rsidRPr="007B69F7">
        <w:rPr>
          <w:rFonts w:ascii="Arial Narrow" w:hAnsi="Arial Narrow" w:cs="Times New Roman"/>
          <w:sz w:val="24"/>
          <w:szCs w:val="24"/>
          <w:lang w:eastAsia="en-GB"/>
        </w:rPr>
        <w:t xml:space="preserve">η </w:t>
      </w:r>
      <w:r w:rsidR="000D17BD" w:rsidRPr="007B69F7">
        <w:rPr>
          <w:rFonts w:ascii="Arial Narrow" w:hAnsi="Arial Narrow" w:cs="Times New Roman"/>
          <w:b/>
          <w:sz w:val="24"/>
          <w:szCs w:val="24"/>
        </w:rPr>
        <w:t xml:space="preserve">Ζώνη Λιμένος </w:t>
      </w:r>
      <w:r w:rsidR="000D17BD" w:rsidRPr="007B69F7">
        <w:rPr>
          <w:rFonts w:ascii="Arial Narrow" w:hAnsi="Arial Narrow" w:cs="Times New Roman"/>
          <w:b/>
          <w:sz w:val="24"/>
          <w:szCs w:val="24"/>
          <w:lang w:val="en-US"/>
        </w:rPr>
        <w:t>Khalifa</w:t>
      </w:r>
      <w:r w:rsidR="000D17BD" w:rsidRPr="007B69F7">
        <w:rPr>
          <w:rFonts w:ascii="Arial Narrow" w:hAnsi="Arial Narrow" w:cs="Times New Roman"/>
          <w:b/>
          <w:sz w:val="24"/>
          <w:szCs w:val="24"/>
        </w:rPr>
        <w:t xml:space="preserve"> Εμιράτου </w:t>
      </w:r>
      <w:r w:rsidR="000D17BD" w:rsidRPr="007B69F7">
        <w:rPr>
          <w:rFonts w:ascii="Arial Narrow" w:hAnsi="Arial Narrow" w:cs="Times New Roman"/>
          <w:b/>
          <w:sz w:val="24"/>
          <w:szCs w:val="24"/>
          <w:lang w:val="en-US"/>
        </w:rPr>
        <w:t>Abu</w:t>
      </w:r>
      <w:r w:rsidR="000D17BD" w:rsidRPr="007B69F7">
        <w:rPr>
          <w:rFonts w:ascii="Arial Narrow" w:hAnsi="Arial Narrow" w:cs="Times New Roman"/>
          <w:b/>
          <w:sz w:val="24"/>
          <w:szCs w:val="24"/>
        </w:rPr>
        <w:t xml:space="preserve"> </w:t>
      </w:r>
      <w:r w:rsidR="000D17BD" w:rsidRPr="007B69F7">
        <w:rPr>
          <w:rFonts w:ascii="Arial Narrow" w:hAnsi="Arial Narrow" w:cs="Times New Roman"/>
          <w:b/>
          <w:sz w:val="24"/>
          <w:szCs w:val="24"/>
          <w:lang w:val="en-US"/>
        </w:rPr>
        <w:t>Dhabi</w:t>
      </w:r>
      <w:r w:rsidR="000D17BD" w:rsidRPr="007B69F7">
        <w:rPr>
          <w:rFonts w:ascii="Arial Narrow" w:hAnsi="Arial Narrow" w:cs="Times New Roman"/>
          <w:b/>
          <w:sz w:val="24"/>
          <w:szCs w:val="24"/>
        </w:rPr>
        <w:t xml:space="preserve"> (</w:t>
      </w:r>
      <w:r w:rsidR="000D17BD" w:rsidRPr="007B69F7">
        <w:rPr>
          <w:rFonts w:ascii="Arial Narrow" w:hAnsi="Arial Narrow" w:cs="Times New Roman"/>
          <w:b/>
          <w:sz w:val="24"/>
          <w:szCs w:val="24"/>
          <w:lang w:val="en-US"/>
        </w:rPr>
        <w:t>Khalifa</w:t>
      </w:r>
      <w:r w:rsidR="000D17BD" w:rsidRPr="007B69F7">
        <w:rPr>
          <w:rFonts w:ascii="Arial Narrow" w:hAnsi="Arial Narrow" w:cs="Times New Roman"/>
          <w:b/>
          <w:sz w:val="24"/>
          <w:szCs w:val="24"/>
        </w:rPr>
        <w:t xml:space="preserve"> </w:t>
      </w:r>
      <w:r w:rsidR="000D17BD" w:rsidRPr="007B69F7">
        <w:rPr>
          <w:rFonts w:ascii="Arial Narrow" w:hAnsi="Arial Narrow" w:cs="Times New Roman"/>
          <w:b/>
          <w:sz w:val="24"/>
          <w:szCs w:val="24"/>
          <w:lang w:val="en-US"/>
        </w:rPr>
        <w:t>Industrial</w:t>
      </w:r>
      <w:r w:rsidR="000D17BD" w:rsidRPr="007B69F7">
        <w:rPr>
          <w:rFonts w:ascii="Arial Narrow" w:hAnsi="Arial Narrow" w:cs="Times New Roman"/>
          <w:b/>
          <w:sz w:val="24"/>
          <w:szCs w:val="24"/>
        </w:rPr>
        <w:t xml:space="preserve"> </w:t>
      </w:r>
      <w:r w:rsidR="000D17BD" w:rsidRPr="007B69F7">
        <w:rPr>
          <w:rFonts w:ascii="Arial Narrow" w:hAnsi="Arial Narrow" w:cs="Times New Roman"/>
          <w:b/>
          <w:sz w:val="24"/>
          <w:szCs w:val="24"/>
          <w:lang w:val="en-US"/>
        </w:rPr>
        <w:t>Zone</w:t>
      </w:r>
      <w:r w:rsidR="000D17BD" w:rsidRPr="007B69F7">
        <w:rPr>
          <w:rFonts w:ascii="Arial Narrow" w:hAnsi="Arial Narrow" w:cs="Times New Roman"/>
          <w:b/>
          <w:sz w:val="24"/>
          <w:szCs w:val="24"/>
        </w:rPr>
        <w:t xml:space="preserve"> </w:t>
      </w:r>
      <w:r w:rsidR="000D17BD" w:rsidRPr="007B69F7">
        <w:rPr>
          <w:rFonts w:ascii="Arial Narrow" w:hAnsi="Arial Narrow" w:cs="Times New Roman"/>
          <w:b/>
          <w:sz w:val="24"/>
          <w:szCs w:val="24"/>
          <w:lang w:val="en-US"/>
        </w:rPr>
        <w:t>Abu</w:t>
      </w:r>
      <w:r w:rsidR="000D17BD" w:rsidRPr="007B69F7">
        <w:rPr>
          <w:rFonts w:ascii="Arial Narrow" w:hAnsi="Arial Narrow" w:cs="Times New Roman"/>
          <w:b/>
          <w:sz w:val="24"/>
          <w:szCs w:val="24"/>
        </w:rPr>
        <w:t xml:space="preserve"> </w:t>
      </w:r>
      <w:r w:rsidR="000D17BD" w:rsidRPr="007B69F7">
        <w:rPr>
          <w:rFonts w:ascii="Arial Narrow" w:hAnsi="Arial Narrow" w:cs="Times New Roman"/>
          <w:b/>
          <w:sz w:val="24"/>
          <w:szCs w:val="24"/>
          <w:lang w:val="en-US"/>
        </w:rPr>
        <w:t>Dhabi</w:t>
      </w:r>
      <w:r w:rsidR="000D17BD" w:rsidRPr="007B69F7">
        <w:rPr>
          <w:rFonts w:ascii="Arial Narrow" w:hAnsi="Arial Narrow" w:cs="Times New Roman"/>
          <w:b/>
          <w:sz w:val="24"/>
          <w:szCs w:val="24"/>
        </w:rPr>
        <w:t xml:space="preserve"> </w:t>
      </w:r>
      <w:r w:rsidR="000D17BD" w:rsidRPr="007B69F7">
        <w:rPr>
          <w:rFonts w:ascii="Arial Narrow" w:hAnsi="Arial Narrow" w:cs="Times New Roman"/>
          <w:sz w:val="24"/>
          <w:szCs w:val="24"/>
          <w:lang w:eastAsia="en-GB"/>
        </w:rPr>
        <w:t xml:space="preserve">– </w:t>
      </w:r>
      <w:r w:rsidR="000D17BD" w:rsidRPr="007B69F7">
        <w:rPr>
          <w:rFonts w:ascii="Arial Narrow" w:hAnsi="Arial Narrow" w:cs="Times New Roman"/>
          <w:b/>
          <w:sz w:val="24"/>
          <w:szCs w:val="24"/>
        </w:rPr>
        <w:t>KIZAD)</w:t>
      </w:r>
      <w:r w:rsidR="00DA3B10" w:rsidRPr="007B69F7">
        <w:rPr>
          <w:rFonts w:ascii="Arial Narrow" w:hAnsi="Arial Narrow" w:cs="Times New Roman"/>
          <w:sz w:val="24"/>
          <w:szCs w:val="24"/>
          <w:lang w:eastAsia="en-GB"/>
        </w:rPr>
        <w:t>. Σ</w:t>
      </w:r>
      <w:r w:rsidR="000C48FA" w:rsidRPr="007B69F7">
        <w:rPr>
          <w:rFonts w:ascii="Arial Narrow" w:hAnsi="Arial Narrow" w:cs="Times New Roman"/>
          <w:sz w:val="24"/>
          <w:szCs w:val="24"/>
          <w:lang w:eastAsia="en-GB"/>
        </w:rPr>
        <w:t xml:space="preserve">το </w:t>
      </w:r>
      <w:r w:rsidR="000C48FA" w:rsidRPr="007B69F7">
        <w:rPr>
          <w:rFonts w:ascii="Arial Narrow" w:hAnsi="Arial Narrow" w:cs="Times New Roman"/>
          <w:sz w:val="24"/>
          <w:szCs w:val="24"/>
          <w:lang w:val="en-US" w:eastAsia="en-GB"/>
        </w:rPr>
        <w:t>Dubai</w:t>
      </w:r>
      <w:r w:rsidR="00DA3B10" w:rsidRPr="007B69F7">
        <w:rPr>
          <w:rFonts w:ascii="Arial Narrow" w:hAnsi="Arial Narrow" w:cs="Times New Roman"/>
          <w:sz w:val="24"/>
          <w:szCs w:val="24"/>
          <w:lang w:eastAsia="en-GB"/>
        </w:rPr>
        <w:t xml:space="preserve"> </w:t>
      </w:r>
      <w:r w:rsidR="0071160C" w:rsidRPr="007B69F7">
        <w:rPr>
          <w:rFonts w:ascii="Arial Narrow" w:hAnsi="Arial Narrow" w:cs="Times New Roman"/>
          <w:sz w:val="24"/>
          <w:szCs w:val="24"/>
          <w:lang w:eastAsia="en-GB"/>
        </w:rPr>
        <w:t xml:space="preserve"> λειτουργούν</w:t>
      </w:r>
      <w:r w:rsidR="004337B4" w:rsidRPr="007B69F7">
        <w:rPr>
          <w:rFonts w:ascii="Arial Narrow" w:hAnsi="Arial Narrow" w:cs="Times New Roman"/>
          <w:sz w:val="24"/>
          <w:szCs w:val="24"/>
          <w:lang w:eastAsia="en-GB"/>
        </w:rPr>
        <w:t xml:space="preserve"> </w:t>
      </w:r>
      <w:r w:rsidR="00DA3B10" w:rsidRPr="007B69F7">
        <w:rPr>
          <w:rFonts w:ascii="Arial Narrow" w:hAnsi="Arial Narrow" w:cs="Times New Roman"/>
          <w:sz w:val="24"/>
          <w:szCs w:val="24"/>
          <w:lang w:eastAsia="en-GB"/>
        </w:rPr>
        <w:t xml:space="preserve">Ζώνες </w:t>
      </w:r>
      <w:r w:rsidR="009F25B6" w:rsidRPr="007B69F7">
        <w:rPr>
          <w:rFonts w:ascii="Arial Narrow" w:hAnsi="Arial Narrow" w:cs="Times New Roman"/>
          <w:sz w:val="24"/>
          <w:szCs w:val="24"/>
          <w:lang w:eastAsia="en-GB"/>
        </w:rPr>
        <w:t>μικρότερης έκτασης</w:t>
      </w:r>
      <w:r w:rsidR="004337B4" w:rsidRPr="007B69F7">
        <w:rPr>
          <w:rFonts w:ascii="Arial Narrow" w:hAnsi="Arial Narrow" w:cs="Times New Roman"/>
          <w:sz w:val="24"/>
          <w:szCs w:val="24"/>
          <w:lang w:eastAsia="en-GB"/>
        </w:rPr>
        <w:t xml:space="preserve">, αλλά </w:t>
      </w:r>
      <w:r w:rsidR="005E5025" w:rsidRPr="007B69F7">
        <w:rPr>
          <w:rFonts w:ascii="Arial Narrow" w:hAnsi="Arial Narrow" w:cs="Times New Roman"/>
          <w:sz w:val="24"/>
          <w:szCs w:val="24"/>
          <w:lang w:eastAsia="en-GB"/>
        </w:rPr>
        <w:t>σε υψηλότερο στάδιο ανάπτυξης</w:t>
      </w:r>
      <w:r w:rsidR="00EA3B5B" w:rsidRPr="007B69F7">
        <w:rPr>
          <w:rFonts w:ascii="Arial Narrow" w:hAnsi="Arial Narrow" w:cs="Times New Roman"/>
          <w:sz w:val="24"/>
          <w:szCs w:val="24"/>
          <w:lang w:eastAsia="en-GB"/>
        </w:rPr>
        <w:t>, όπως ε</w:t>
      </w:r>
      <w:r w:rsidR="005E5025" w:rsidRPr="007B69F7">
        <w:rPr>
          <w:rFonts w:ascii="Arial Narrow" w:hAnsi="Arial Narrow" w:cs="Times New Roman"/>
          <w:sz w:val="24"/>
          <w:szCs w:val="24"/>
          <w:lang w:eastAsia="en-GB"/>
        </w:rPr>
        <w:t>νδεικτικά,</w:t>
      </w:r>
      <w:r w:rsidR="004337B4" w:rsidRPr="007B69F7">
        <w:rPr>
          <w:rFonts w:ascii="Arial Narrow" w:hAnsi="Arial Narrow" w:cs="Times New Roman"/>
          <w:sz w:val="24"/>
          <w:szCs w:val="24"/>
          <w:lang w:eastAsia="en-GB"/>
        </w:rPr>
        <w:t xml:space="preserve"> </w:t>
      </w:r>
      <w:r w:rsidR="00F24FCE" w:rsidRPr="007B69F7">
        <w:rPr>
          <w:rFonts w:ascii="Arial Narrow" w:hAnsi="Arial Narrow" w:cs="Times New Roman"/>
          <w:sz w:val="24"/>
          <w:szCs w:val="24"/>
          <w:lang w:val="en-US" w:eastAsia="en-GB"/>
        </w:rPr>
        <w:t>Jebel</w:t>
      </w:r>
      <w:r w:rsidR="00F24FCE" w:rsidRPr="007B69F7">
        <w:rPr>
          <w:rFonts w:ascii="Arial Narrow" w:hAnsi="Arial Narrow" w:cs="Times New Roman"/>
          <w:sz w:val="24"/>
          <w:szCs w:val="24"/>
          <w:lang w:eastAsia="en-GB"/>
        </w:rPr>
        <w:t xml:space="preserve"> </w:t>
      </w:r>
      <w:r w:rsidR="00F24FCE" w:rsidRPr="007B69F7">
        <w:rPr>
          <w:rFonts w:ascii="Arial Narrow" w:hAnsi="Arial Narrow" w:cs="Times New Roman"/>
          <w:sz w:val="24"/>
          <w:szCs w:val="24"/>
          <w:lang w:val="en-US" w:eastAsia="en-GB"/>
        </w:rPr>
        <w:t>Ali</w:t>
      </w:r>
      <w:r w:rsidR="00F24FCE" w:rsidRPr="007B69F7">
        <w:rPr>
          <w:rFonts w:ascii="Arial Narrow" w:hAnsi="Arial Narrow" w:cs="Times New Roman"/>
          <w:sz w:val="24"/>
          <w:szCs w:val="24"/>
          <w:lang w:eastAsia="en-GB"/>
        </w:rPr>
        <w:t xml:space="preserve"> </w:t>
      </w:r>
      <w:r w:rsidR="00F24FCE" w:rsidRPr="007B69F7">
        <w:rPr>
          <w:rFonts w:ascii="Arial Narrow" w:hAnsi="Arial Narrow" w:cs="Times New Roman"/>
          <w:sz w:val="24"/>
          <w:szCs w:val="24"/>
          <w:lang w:val="en-US" w:eastAsia="en-GB"/>
        </w:rPr>
        <w:t>Free</w:t>
      </w:r>
      <w:r w:rsidR="00F24FCE" w:rsidRPr="007B69F7">
        <w:rPr>
          <w:rFonts w:ascii="Arial Narrow" w:hAnsi="Arial Narrow" w:cs="Times New Roman"/>
          <w:sz w:val="24"/>
          <w:szCs w:val="24"/>
          <w:lang w:eastAsia="en-GB"/>
        </w:rPr>
        <w:t xml:space="preserve"> </w:t>
      </w:r>
      <w:r w:rsidR="00F24FCE" w:rsidRPr="007B69F7">
        <w:rPr>
          <w:rFonts w:ascii="Arial Narrow" w:hAnsi="Arial Narrow" w:cs="Times New Roman"/>
          <w:sz w:val="24"/>
          <w:szCs w:val="24"/>
          <w:lang w:val="en-US" w:eastAsia="en-GB"/>
        </w:rPr>
        <w:t>Zone</w:t>
      </w:r>
      <w:r w:rsidR="00F24FCE" w:rsidRPr="007B69F7">
        <w:rPr>
          <w:rFonts w:ascii="Arial Narrow" w:hAnsi="Arial Narrow" w:cs="Times New Roman"/>
          <w:sz w:val="24"/>
          <w:szCs w:val="24"/>
          <w:lang w:eastAsia="en-GB"/>
        </w:rPr>
        <w:t xml:space="preserve"> </w:t>
      </w:r>
      <w:r w:rsidR="000D17BD" w:rsidRPr="007B69F7">
        <w:rPr>
          <w:rFonts w:ascii="Arial Narrow" w:hAnsi="Arial Narrow" w:cs="Times New Roman"/>
          <w:sz w:val="24"/>
          <w:szCs w:val="24"/>
          <w:lang w:eastAsia="en-GB"/>
        </w:rPr>
        <w:t xml:space="preserve">– </w:t>
      </w:r>
      <w:r w:rsidR="00F24FCE" w:rsidRPr="007B69F7">
        <w:rPr>
          <w:rFonts w:ascii="Arial Narrow" w:hAnsi="Arial Narrow" w:cs="Times New Roman"/>
          <w:sz w:val="24"/>
          <w:szCs w:val="24"/>
          <w:lang w:val="en-US" w:eastAsia="en-GB"/>
        </w:rPr>
        <w:t>JAFZA</w:t>
      </w:r>
      <w:r w:rsidR="00F24FCE" w:rsidRPr="007B69F7">
        <w:rPr>
          <w:rFonts w:ascii="Arial Narrow" w:hAnsi="Arial Narrow" w:cs="Times New Roman"/>
          <w:sz w:val="24"/>
          <w:szCs w:val="24"/>
          <w:lang w:eastAsia="en-GB"/>
        </w:rPr>
        <w:t xml:space="preserve">, </w:t>
      </w:r>
      <w:r w:rsidR="000C5F0A" w:rsidRPr="007B69F7">
        <w:rPr>
          <w:rFonts w:ascii="Arial Narrow" w:hAnsi="Arial Narrow" w:cs="Times New Roman"/>
          <w:sz w:val="24"/>
          <w:szCs w:val="24"/>
          <w:lang w:val="en-US" w:eastAsia="en-GB"/>
        </w:rPr>
        <w:t>Dubai</w:t>
      </w:r>
      <w:r w:rsidR="000C5F0A" w:rsidRPr="007B69F7">
        <w:rPr>
          <w:rFonts w:ascii="Arial Narrow" w:hAnsi="Arial Narrow" w:cs="Times New Roman"/>
          <w:sz w:val="24"/>
          <w:szCs w:val="24"/>
          <w:lang w:eastAsia="en-GB"/>
        </w:rPr>
        <w:t xml:space="preserve"> </w:t>
      </w:r>
      <w:r w:rsidR="000C5F0A" w:rsidRPr="007B69F7">
        <w:rPr>
          <w:rFonts w:ascii="Arial Narrow" w:hAnsi="Arial Narrow" w:cs="Times New Roman"/>
          <w:sz w:val="24"/>
          <w:szCs w:val="24"/>
          <w:lang w:val="en-US" w:eastAsia="en-GB"/>
        </w:rPr>
        <w:t>Silicon</w:t>
      </w:r>
      <w:r w:rsidR="000C5F0A" w:rsidRPr="007B69F7">
        <w:rPr>
          <w:rFonts w:ascii="Arial Narrow" w:hAnsi="Arial Narrow" w:cs="Times New Roman"/>
          <w:sz w:val="24"/>
          <w:szCs w:val="24"/>
          <w:lang w:eastAsia="en-GB"/>
        </w:rPr>
        <w:t xml:space="preserve"> </w:t>
      </w:r>
      <w:r w:rsidR="000C5F0A" w:rsidRPr="007B69F7">
        <w:rPr>
          <w:rFonts w:ascii="Arial Narrow" w:hAnsi="Arial Narrow" w:cs="Times New Roman"/>
          <w:sz w:val="24"/>
          <w:szCs w:val="24"/>
          <w:lang w:val="en-US" w:eastAsia="en-GB"/>
        </w:rPr>
        <w:t>Oasis</w:t>
      </w:r>
      <w:r w:rsidR="0081424C" w:rsidRPr="007B69F7">
        <w:rPr>
          <w:rFonts w:ascii="Arial Narrow" w:hAnsi="Arial Narrow" w:cs="Times New Roman"/>
          <w:sz w:val="24"/>
          <w:szCs w:val="24"/>
          <w:lang w:eastAsia="en-GB"/>
        </w:rPr>
        <w:t xml:space="preserve"> – </w:t>
      </w:r>
      <w:r w:rsidR="0081424C" w:rsidRPr="007B69F7">
        <w:rPr>
          <w:rFonts w:ascii="Arial Narrow" w:hAnsi="Arial Narrow" w:cs="Times New Roman"/>
          <w:sz w:val="24"/>
          <w:szCs w:val="24"/>
          <w:lang w:val="en-US" w:eastAsia="en-GB"/>
        </w:rPr>
        <w:t>DSO</w:t>
      </w:r>
      <w:r w:rsidR="000C5F0A" w:rsidRPr="007B69F7">
        <w:rPr>
          <w:rFonts w:ascii="Arial Narrow" w:hAnsi="Arial Narrow" w:cs="Times New Roman"/>
          <w:sz w:val="24"/>
          <w:szCs w:val="24"/>
          <w:lang w:eastAsia="en-GB"/>
        </w:rPr>
        <w:t xml:space="preserve">, </w:t>
      </w:r>
      <w:r w:rsidR="000C5F0A" w:rsidRPr="007B69F7">
        <w:rPr>
          <w:rFonts w:ascii="Arial Narrow" w:hAnsi="Arial Narrow" w:cs="Times New Roman"/>
          <w:sz w:val="24"/>
          <w:szCs w:val="24"/>
          <w:lang w:val="en-US" w:eastAsia="en-GB"/>
        </w:rPr>
        <w:t>Dubai</w:t>
      </w:r>
      <w:r w:rsidR="000C5F0A" w:rsidRPr="007B69F7">
        <w:rPr>
          <w:rFonts w:ascii="Arial Narrow" w:hAnsi="Arial Narrow" w:cs="Times New Roman"/>
          <w:sz w:val="24"/>
          <w:szCs w:val="24"/>
          <w:lang w:eastAsia="en-GB"/>
        </w:rPr>
        <w:t xml:space="preserve"> </w:t>
      </w:r>
      <w:r w:rsidR="000C5F0A" w:rsidRPr="007B69F7">
        <w:rPr>
          <w:rFonts w:ascii="Arial Narrow" w:hAnsi="Arial Narrow" w:cs="Times New Roman"/>
          <w:sz w:val="24"/>
          <w:szCs w:val="24"/>
          <w:lang w:val="en-US" w:eastAsia="en-GB"/>
        </w:rPr>
        <w:t>CommercCity</w:t>
      </w:r>
      <w:r w:rsidR="000C5F0A" w:rsidRPr="007B69F7">
        <w:rPr>
          <w:rFonts w:ascii="Arial Narrow" w:hAnsi="Arial Narrow" w:cs="Times New Roman"/>
          <w:sz w:val="24"/>
          <w:szCs w:val="24"/>
          <w:lang w:eastAsia="en-GB"/>
        </w:rPr>
        <w:t xml:space="preserve">, </w:t>
      </w:r>
      <w:r w:rsidR="00EA3B5B" w:rsidRPr="007B69F7">
        <w:rPr>
          <w:rFonts w:ascii="Arial Narrow" w:hAnsi="Arial Narrow" w:cs="Times New Roman"/>
          <w:sz w:val="24"/>
          <w:szCs w:val="24"/>
          <w:lang w:eastAsia="en-GB"/>
        </w:rPr>
        <w:t>Ε</w:t>
      </w:r>
      <w:r w:rsidR="000C5F0A" w:rsidRPr="007B69F7">
        <w:rPr>
          <w:rFonts w:ascii="Arial Narrow" w:hAnsi="Arial Narrow" w:cs="Times New Roman"/>
          <w:sz w:val="24"/>
          <w:szCs w:val="24"/>
          <w:lang w:eastAsia="en-GB"/>
        </w:rPr>
        <w:t xml:space="preserve">λεύθερη </w:t>
      </w:r>
      <w:r w:rsidR="00EA3B5B" w:rsidRPr="007B69F7">
        <w:rPr>
          <w:rFonts w:ascii="Arial Narrow" w:hAnsi="Arial Narrow" w:cs="Times New Roman"/>
          <w:sz w:val="24"/>
          <w:szCs w:val="24"/>
          <w:lang w:eastAsia="en-GB"/>
        </w:rPr>
        <w:t>Ζ</w:t>
      </w:r>
      <w:r w:rsidR="000C5F0A" w:rsidRPr="007B69F7">
        <w:rPr>
          <w:rFonts w:ascii="Arial Narrow" w:hAnsi="Arial Narrow" w:cs="Times New Roman"/>
          <w:sz w:val="24"/>
          <w:szCs w:val="24"/>
          <w:lang w:eastAsia="en-GB"/>
        </w:rPr>
        <w:t>ώνη</w:t>
      </w:r>
      <w:r w:rsidR="005029FA" w:rsidRPr="007B69F7">
        <w:rPr>
          <w:rFonts w:ascii="Arial Narrow" w:hAnsi="Arial Narrow" w:cs="Times New Roman"/>
          <w:sz w:val="24"/>
          <w:szCs w:val="24"/>
          <w:lang w:eastAsia="en-GB"/>
        </w:rPr>
        <w:t xml:space="preserve"> Α</w:t>
      </w:r>
      <w:r w:rsidR="000C5F0A" w:rsidRPr="007B69F7">
        <w:rPr>
          <w:rFonts w:ascii="Arial Narrow" w:hAnsi="Arial Narrow" w:cs="Times New Roman"/>
          <w:sz w:val="24"/>
          <w:szCs w:val="24"/>
          <w:lang w:eastAsia="en-GB"/>
        </w:rPr>
        <w:t>εροδ</w:t>
      </w:r>
      <w:r w:rsidR="004337B4" w:rsidRPr="007B69F7">
        <w:rPr>
          <w:rFonts w:ascii="Arial Narrow" w:hAnsi="Arial Narrow" w:cs="Times New Roman"/>
          <w:sz w:val="24"/>
          <w:szCs w:val="24"/>
          <w:lang w:eastAsia="en-GB"/>
        </w:rPr>
        <w:t>ρο</w:t>
      </w:r>
      <w:r w:rsidR="000C5F0A" w:rsidRPr="007B69F7">
        <w:rPr>
          <w:rFonts w:ascii="Arial Narrow" w:hAnsi="Arial Narrow" w:cs="Times New Roman"/>
          <w:sz w:val="24"/>
          <w:szCs w:val="24"/>
          <w:lang w:eastAsia="en-GB"/>
        </w:rPr>
        <w:t xml:space="preserve">μίου </w:t>
      </w:r>
      <w:r w:rsidR="000C5F0A" w:rsidRPr="007B69F7">
        <w:rPr>
          <w:rFonts w:ascii="Arial Narrow" w:hAnsi="Arial Narrow" w:cs="Times New Roman"/>
          <w:sz w:val="24"/>
          <w:szCs w:val="24"/>
          <w:lang w:val="en-US" w:eastAsia="en-GB"/>
        </w:rPr>
        <w:t>Dubai</w:t>
      </w:r>
      <w:r w:rsidR="000C5F0A" w:rsidRPr="007B69F7">
        <w:rPr>
          <w:rFonts w:ascii="Arial Narrow" w:hAnsi="Arial Narrow" w:cs="Times New Roman"/>
          <w:sz w:val="24"/>
          <w:szCs w:val="24"/>
          <w:lang w:eastAsia="en-GB"/>
        </w:rPr>
        <w:t xml:space="preserve"> </w:t>
      </w:r>
      <w:r w:rsidR="005029FA" w:rsidRPr="007B69F7">
        <w:rPr>
          <w:rFonts w:ascii="Arial Narrow" w:hAnsi="Arial Narrow" w:cs="Times New Roman"/>
          <w:sz w:val="24"/>
          <w:szCs w:val="24"/>
          <w:lang w:eastAsia="en-GB"/>
        </w:rPr>
        <w:t>(</w:t>
      </w:r>
      <w:r w:rsidR="005029FA" w:rsidRPr="007B69F7">
        <w:rPr>
          <w:rFonts w:ascii="Arial Narrow" w:hAnsi="Arial Narrow" w:cs="Times New Roman"/>
          <w:sz w:val="24"/>
          <w:szCs w:val="24"/>
          <w:lang w:val="en-US" w:eastAsia="en-GB"/>
        </w:rPr>
        <w:t>Dubai</w:t>
      </w:r>
      <w:r w:rsidR="005029FA" w:rsidRPr="007B69F7">
        <w:rPr>
          <w:rFonts w:ascii="Arial Narrow" w:hAnsi="Arial Narrow" w:cs="Times New Roman"/>
          <w:sz w:val="24"/>
          <w:szCs w:val="24"/>
          <w:lang w:eastAsia="en-GB"/>
        </w:rPr>
        <w:t xml:space="preserve"> </w:t>
      </w:r>
      <w:r w:rsidR="005029FA" w:rsidRPr="007B69F7">
        <w:rPr>
          <w:rFonts w:ascii="Arial Narrow" w:hAnsi="Arial Narrow" w:cs="Times New Roman"/>
          <w:sz w:val="24"/>
          <w:szCs w:val="24"/>
          <w:lang w:val="en-US" w:eastAsia="en-GB"/>
        </w:rPr>
        <w:t>Airport</w:t>
      </w:r>
      <w:r w:rsidR="005029FA" w:rsidRPr="007B69F7">
        <w:rPr>
          <w:rFonts w:ascii="Arial Narrow" w:hAnsi="Arial Narrow" w:cs="Times New Roman"/>
          <w:sz w:val="24"/>
          <w:szCs w:val="24"/>
          <w:lang w:eastAsia="en-GB"/>
        </w:rPr>
        <w:t xml:space="preserve"> </w:t>
      </w:r>
      <w:r w:rsidR="005029FA" w:rsidRPr="007B69F7">
        <w:rPr>
          <w:rFonts w:ascii="Arial Narrow" w:hAnsi="Arial Narrow" w:cs="Times New Roman"/>
          <w:sz w:val="24"/>
          <w:szCs w:val="24"/>
          <w:lang w:val="en-US" w:eastAsia="en-GB"/>
        </w:rPr>
        <w:t>Free</w:t>
      </w:r>
      <w:r w:rsidR="005029FA" w:rsidRPr="007B69F7">
        <w:rPr>
          <w:rFonts w:ascii="Arial Narrow" w:hAnsi="Arial Narrow" w:cs="Times New Roman"/>
          <w:sz w:val="24"/>
          <w:szCs w:val="24"/>
          <w:lang w:eastAsia="en-GB"/>
        </w:rPr>
        <w:t xml:space="preserve"> </w:t>
      </w:r>
      <w:r w:rsidR="005029FA" w:rsidRPr="007B69F7">
        <w:rPr>
          <w:rFonts w:ascii="Arial Narrow" w:hAnsi="Arial Narrow" w:cs="Times New Roman"/>
          <w:sz w:val="24"/>
          <w:szCs w:val="24"/>
          <w:lang w:val="en-US" w:eastAsia="en-GB"/>
        </w:rPr>
        <w:t>Zone</w:t>
      </w:r>
      <w:r w:rsidR="005029FA" w:rsidRPr="007B69F7">
        <w:rPr>
          <w:rFonts w:ascii="Arial Narrow" w:hAnsi="Arial Narrow" w:cs="Times New Roman"/>
          <w:sz w:val="24"/>
          <w:szCs w:val="24"/>
          <w:lang w:eastAsia="en-GB"/>
        </w:rPr>
        <w:t xml:space="preserve"> </w:t>
      </w:r>
      <w:r w:rsidR="005029FA" w:rsidRPr="007B69F7">
        <w:rPr>
          <w:rFonts w:ascii="Arial Narrow" w:hAnsi="Arial Narrow" w:cs="Times New Roman"/>
          <w:sz w:val="24"/>
          <w:szCs w:val="24"/>
          <w:lang w:val="en-US" w:eastAsia="en-GB"/>
        </w:rPr>
        <w:t>Authority</w:t>
      </w:r>
      <w:r w:rsidR="005029FA" w:rsidRPr="007B69F7">
        <w:rPr>
          <w:rFonts w:ascii="Arial Narrow" w:hAnsi="Arial Narrow" w:cs="Times New Roman"/>
          <w:sz w:val="24"/>
          <w:szCs w:val="24"/>
          <w:lang w:eastAsia="en-GB"/>
        </w:rPr>
        <w:t xml:space="preserve"> – </w:t>
      </w:r>
      <w:r w:rsidR="000C5F0A" w:rsidRPr="007B69F7">
        <w:rPr>
          <w:rFonts w:ascii="Arial Narrow" w:hAnsi="Arial Narrow" w:cs="Times New Roman"/>
          <w:sz w:val="24"/>
          <w:szCs w:val="24"/>
          <w:lang w:val="en-US" w:eastAsia="en-GB"/>
        </w:rPr>
        <w:t>DAFZA</w:t>
      </w:r>
      <w:r w:rsidR="00FD49EC" w:rsidRPr="007B69F7">
        <w:rPr>
          <w:rFonts w:ascii="Arial Narrow" w:hAnsi="Arial Narrow" w:cs="Times New Roman"/>
          <w:sz w:val="24"/>
          <w:szCs w:val="24"/>
          <w:lang w:eastAsia="en-GB"/>
        </w:rPr>
        <w:t>)</w:t>
      </w:r>
      <w:r w:rsidR="00813BAC" w:rsidRPr="007B69F7">
        <w:rPr>
          <w:rFonts w:ascii="Arial Narrow" w:hAnsi="Arial Narrow" w:cs="Times New Roman"/>
          <w:sz w:val="24"/>
          <w:szCs w:val="24"/>
          <w:lang w:eastAsia="en-GB"/>
        </w:rPr>
        <w:t>,</w:t>
      </w:r>
      <w:r w:rsidR="00F24FCE" w:rsidRPr="007B69F7">
        <w:rPr>
          <w:rFonts w:ascii="Arial Narrow" w:hAnsi="Arial Narrow" w:cs="Times New Roman"/>
          <w:sz w:val="24"/>
          <w:szCs w:val="24"/>
          <w:lang w:eastAsia="en-GB"/>
        </w:rPr>
        <w:t xml:space="preserve"> </w:t>
      </w:r>
      <w:r w:rsidR="005029FA" w:rsidRPr="007B69F7">
        <w:rPr>
          <w:rFonts w:ascii="Arial Narrow" w:hAnsi="Arial Narrow" w:cs="Times New Roman"/>
          <w:sz w:val="24"/>
          <w:szCs w:val="24"/>
          <w:lang w:val="en-US" w:eastAsia="en-GB"/>
        </w:rPr>
        <w:t>Dubai</w:t>
      </w:r>
      <w:r w:rsidR="005029FA" w:rsidRPr="007B69F7">
        <w:rPr>
          <w:rFonts w:ascii="Arial Narrow" w:hAnsi="Arial Narrow" w:cs="Times New Roman"/>
          <w:sz w:val="24"/>
          <w:szCs w:val="24"/>
          <w:lang w:eastAsia="en-GB"/>
        </w:rPr>
        <w:t xml:space="preserve"> </w:t>
      </w:r>
      <w:r w:rsidR="005029FA" w:rsidRPr="007B69F7">
        <w:rPr>
          <w:rFonts w:ascii="Arial Narrow" w:hAnsi="Arial Narrow" w:cs="Times New Roman"/>
          <w:sz w:val="24"/>
          <w:szCs w:val="24"/>
          <w:lang w:val="en-US" w:eastAsia="en-GB"/>
        </w:rPr>
        <w:t>Multi</w:t>
      </w:r>
      <w:r w:rsidR="005029FA" w:rsidRPr="007B69F7">
        <w:rPr>
          <w:rFonts w:ascii="Arial Narrow" w:hAnsi="Arial Narrow" w:cs="Times New Roman"/>
          <w:sz w:val="24"/>
          <w:szCs w:val="24"/>
          <w:lang w:eastAsia="en-GB"/>
        </w:rPr>
        <w:t xml:space="preserve"> </w:t>
      </w:r>
      <w:r w:rsidR="005029FA" w:rsidRPr="007B69F7">
        <w:rPr>
          <w:rFonts w:ascii="Arial Narrow" w:hAnsi="Arial Narrow" w:cs="Times New Roman"/>
          <w:sz w:val="24"/>
          <w:szCs w:val="24"/>
          <w:lang w:val="en-US" w:eastAsia="en-GB"/>
        </w:rPr>
        <w:t>Commodities</w:t>
      </w:r>
      <w:r w:rsidR="005029FA" w:rsidRPr="007B69F7">
        <w:rPr>
          <w:rFonts w:ascii="Arial Narrow" w:hAnsi="Arial Narrow" w:cs="Times New Roman"/>
          <w:sz w:val="24"/>
          <w:szCs w:val="24"/>
          <w:lang w:eastAsia="en-GB"/>
        </w:rPr>
        <w:t xml:space="preserve"> </w:t>
      </w:r>
      <w:r w:rsidR="005029FA" w:rsidRPr="007B69F7">
        <w:rPr>
          <w:rFonts w:ascii="Arial Narrow" w:hAnsi="Arial Narrow" w:cs="Times New Roman"/>
          <w:sz w:val="24"/>
          <w:szCs w:val="24"/>
          <w:lang w:val="en-US" w:eastAsia="en-GB"/>
        </w:rPr>
        <w:t>Centre</w:t>
      </w:r>
      <w:r w:rsidR="005029FA" w:rsidRPr="007B69F7">
        <w:rPr>
          <w:rFonts w:ascii="Arial Narrow" w:hAnsi="Arial Narrow" w:cs="Times New Roman"/>
          <w:sz w:val="24"/>
          <w:szCs w:val="24"/>
          <w:lang w:eastAsia="en-GB"/>
        </w:rPr>
        <w:t xml:space="preserve"> – </w:t>
      </w:r>
      <w:r w:rsidR="00F24FCE" w:rsidRPr="007B69F7">
        <w:rPr>
          <w:rFonts w:ascii="Arial Narrow" w:hAnsi="Arial Narrow" w:cs="Times New Roman"/>
          <w:sz w:val="24"/>
          <w:szCs w:val="24"/>
          <w:lang w:val="en-US" w:eastAsia="en-GB"/>
        </w:rPr>
        <w:t>DMCC</w:t>
      </w:r>
      <w:r w:rsidR="004A4081" w:rsidRPr="007B69F7">
        <w:rPr>
          <w:rFonts w:ascii="Arial Narrow" w:hAnsi="Arial Narrow" w:cs="Times New Roman"/>
          <w:sz w:val="24"/>
          <w:szCs w:val="24"/>
          <w:lang w:eastAsia="en-GB"/>
        </w:rPr>
        <w:t xml:space="preserve">. Τονίζεται ότι </w:t>
      </w:r>
      <w:r w:rsidR="00F5768E" w:rsidRPr="007B69F7">
        <w:rPr>
          <w:rFonts w:ascii="Arial Narrow" w:hAnsi="Arial Narrow" w:cs="Times New Roman"/>
          <w:b/>
          <w:bCs/>
          <w:sz w:val="24"/>
          <w:szCs w:val="24"/>
          <w:lang w:eastAsia="en-GB"/>
        </w:rPr>
        <w:t>κάθε Εμιράτο</w:t>
      </w:r>
      <w:r w:rsidR="00F5768E" w:rsidRPr="007B69F7">
        <w:rPr>
          <w:rFonts w:ascii="Arial Narrow" w:hAnsi="Arial Narrow" w:cs="Times New Roman"/>
          <w:sz w:val="24"/>
          <w:szCs w:val="24"/>
          <w:lang w:eastAsia="en-GB"/>
        </w:rPr>
        <w:t xml:space="preserve"> διαθέτει </w:t>
      </w:r>
      <w:r w:rsidR="00EA3B5B" w:rsidRPr="007B69F7">
        <w:rPr>
          <w:rFonts w:ascii="Arial Narrow" w:hAnsi="Arial Narrow" w:cs="Times New Roman"/>
          <w:sz w:val="24"/>
          <w:szCs w:val="24"/>
          <w:lang w:eastAsia="en-GB"/>
        </w:rPr>
        <w:t>Ε</w:t>
      </w:r>
      <w:r w:rsidR="004A4081" w:rsidRPr="007B69F7">
        <w:rPr>
          <w:rFonts w:ascii="Arial Narrow" w:hAnsi="Arial Narrow" w:cs="Times New Roman"/>
          <w:sz w:val="24"/>
          <w:szCs w:val="24"/>
          <w:lang w:eastAsia="en-GB"/>
        </w:rPr>
        <w:t xml:space="preserve">λεύθερες </w:t>
      </w:r>
      <w:r w:rsidR="00EA3B5B" w:rsidRPr="007B69F7">
        <w:rPr>
          <w:rFonts w:ascii="Arial Narrow" w:hAnsi="Arial Narrow" w:cs="Times New Roman"/>
          <w:sz w:val="24"/>
          <w:szCs w:val="24"/>
          <w:lang w:eastAsia="en-GB"/>
        </w:rPr>
        <w:t>Ζ</w:t>
      </w:r>
      <w:r w:rsidR="004A4081" w:rsidRPr="007B69F7">
        <w:rPr>
          <w:rFonts w:ascii="Arial Narrow" w:hAnsi="Arial Narrow" w:cs="Times New Roman"/>
          <w:sz w:val="24"/>
          <w:szCs w:val="24"/>
          <w:lang w:eastAsia="en-GB"/>
        </w:rPr>
        <w:t>ώνες</w:t>
      </w:r>
      <w:r w:rsidR="00F5768E" w:rsidRPr="007B69F7">
        <w:rPr>
          <w:rFonts w:ascii="Arial Narrow" w:hAnsi="Arial Narrow" w:cs="Times New Roman"/>
          <w:sz w:val="24"/>
          <w:szCs w:val="24"/>
          <w:lang w:eastAsia="en-GB"/>
        </w:rPr>
        <w:t>.</w:t>
      </w:r>
    </w:p>
    <w:p w14:paraId="0C28A001" w14:textId="58860165" w:rsidR="007168B9" w:rsidRPr="007B69F7" w:rsidRDefault="007168B9" w:rsidP="00567BCF">
      <w:pPr>
        <w:spacing w:after="120"/>
        <w:ind w:firstLine="567"/>
        <w:jc w:val="both"/>
        <w:rPr>
          <w:rFonts w:ascii="Arial Narrow" w:hAnsi="Arial Narrow" w:cs="Times New Roman"/>
          <w:sz w:val="24"/>
          <w:szCs w:val="24"/>
          <w:lang w:eastAsia="en-GB"/>
        </w:rPr>
      </w:pPr>
      <w:r w:rsidRPr="007B69F7">
        <w:rPr>
          <w:rFonts w:ascii="Arial Narrow" w:hAnsi="Arial Narrow" w:cs="Times New Roman"/>
          <w:sz w:val="24"/>
          <w:szCs w:val="24"/>
          <w:lang w:eastAsia="en-GB"/>
        </w:rPr>
        <w:t xml:space="preserve">-Πραγματοποίηση </w:t>
      </w:r>
      <w:r w:rsidRPr="007B69F7">
        <w:rPr>
          <w:rFonts w:ascii="Arial Narrow" w:hAnsi="Arial Narrow" w:cs="Times New Roman"/>
          <w:b/>
          <w:bCs/>
          <w:sz w:val="24"/>
          <w:szCs w:val="24"/>
          <w:lang w:eastAsia="en-GB"/>
        </w:rPr>
        <w:t>επενδύσεων</w:t>
      </w:r>
      <w:r w:rsidRPr="007B69F7">
        <w:rPr>
          <w:rFonts w:ascii="Arial Narrow" w:hAnsi="Arial Narrow" w:cs="Times New Roman"/>
          <w:sz w:val="24"/>
          <w:szCs w:val="24"/>
          <w:lang w:eastAsia="en-GB"/>
        </w:rPr>
        <w:t xml:space="preserve"> σε</w:t>
      </w:r>
      <w:r w:rsidR="005E5025" w:rsidRPr="007B69F7">
        <w:rPr>
          <w:rFonts w:ascii="Arial Narrow" w:hAnsi="Arial Narrow" w:cs="Times New Roman"/>
          <w:sz w:val="24"/>
          <w:szCs w:val="24"/>
          <w:lang w:eastAsia="en-GB"/>
        </w:rPr>
        <w:t xml:space="preserve"> υποδομές,</w:t>
      </w:r>
      <w:r w:rsidRPr="007B69F7">
        <w:rPr>
          <w:rFonts w:ascii="Arial Narrow" w:hAnsi="Arial Narrow" w:cs="Times New Roman"/>
          <w:sz w:val="24"/>
          <w:szCs w:val="24"/>
          <w:lang w:eastAsia="en-GB"/>
        </w:rPr>
        <w:t xml:space="preserve"> βιομηχανία</w:t>
      </w:r>
      <w:r w:rsidR="005E5025" w:rsidRPr="007B69F7">
        <w:rPr>
          <w:rFonts w:ascii="Arial Narrow" w:hAnsi="Arial Narrow" w:cs="Times New Roman"/>
          <w:sz w:val="24"/>
          <w:szCs w:val="24"/>
          <w:lang w:eastAsia="en-GB"/>
        </w:rPr>
        <w:t xml:space="preserve"> υψηλής προστιθέμενης αξίας,</w:t>
      </w:r>
      <w:r w:rsidRPr="007B69F7">
        <w:rPr>
          <w:rFonts w:ascii="Arial Narrow" w:hAnsi="Arial Narrow" w:cs="Times New Roman"/>
          <w:sz w:val="24"/>
          <w:szCs w:val="24"/>
          <w:lang w:eastAsia="en-GB"/>
        </w:rPr>
        <w:t xml:space="preserve"> ΑΠΕ και</w:t>
      </w:r>
      <w:r w:rsidR="002645B4" w:rsidRPr="007B69F7">
        <w:rPr>
          <w:rFonts w:ascii="Arial Narrow" w:hAnsi="Arial Narrow" w:cs="Times New Roman"/>
          <w:sz w:val="24"/>
          <w:szCs w:val="24"/>
          <w:lang w:eastAsia="en-GB"/>
        </w:rPr>
        <w:t xml:space="preserve"> </w:t>
      </w:r>
      <w:r w:rsidRPr="007B69F7">
        <w:rPr>
          <w:rFonts w:ascii="Arial Narrow" w:hAnsi="Arial Narrow" w:cs="Times New Roman"/>
          <w:sz w:val="24"/>
          <w:szCs w:val="24"/>
          <w:lang w:eastAsia="en-GB"/>
        </w:rPr>
        <w:t>νέες τεχνολογίες</w:t>
      </w:r>
    </w:p>
    <w:p w14:paraId="078DF02A" w14:textId="77777777" w:rsidR="009B2DC7" w:rsidRPr="007B69F7" w:rsidRDefault="009B2DC7" w:rsidP="00567BCF">
      <w:pPr>
        <w:spacing w:after="120"/>
        <w:ind w:firstLine="567"/>
        <w:jc w:val="both"/>
        <w:rPr>
          <w:rFonts w:ascii="Arial Narrow" w:hAnsi="Arial Narrow" w:cs="Times New Roman"/>
          <w:sz w:val="24"/>
          <w:szCs w:val="24"/>
          <w:lang w:eastAsia="en-GB"/>
        </w:rPr>
      </w:pPr>
      <w:r w:rsidRPr="007B69F7">
        <w:rPr>
          <w:rFonts w:ascii="Arial Narrow" w:hAnsi="Arial Narrow" w:cs="Times New Roman"/>
          <w:sz w:val="24"/>
          <w:szCs w:val="24"/>
          <w:lang w:eastAsia="en-GB"/>
        </w:rPr>
        <w:t xml:space="preserve">-Παροχή </w:t>
      </w:r>
      <w:r w:rsidRPr="007B69F7">
        <w:rPr>
          <w:rFonts w:ascii="Arial Narrow" w:hAnsi="Arial Narrow" w:cs="Times New Roman"/>
          <w:b/>
          <w:bCs/>
          <w:sz w:val="24"/>
          <w:szCs w:val="24"/>
          <w:lang w:eastAsia="en-GB"/>
        </w:rPr>
        <w:t>υψηλής ποιότητας υπηρεσιών</w:t>
      </w:r>
      <w:r w:rsidRPr="007B69F7">
        <w:rPr>
          <w:rFonts w:ascii="Arial Narrow" w:hAnsi="Arial Narrow" w:cs="Times New Roman"/>
          <w:sz w:val="24"/>
          <w:szCs w:val="24"/>
          <w:lang w:eastAsia="en-GB"/>
        </w:rPr>
        <w:t xml:space="preserve"> σε μεταφορές, υποδομές, τεχνολογία και logistics, με παράλληλη ενίσχυση της ψηφιακής οικονομίας</w:t>
      </w:r>
    </w:p>
    <w:p w14:paraId="6F8D860B" w14:textId="0B7F7C87" w:rsidR="00D31EB7" w:rsidRPr="007B69F7" w:rsidRDefault="00AB48C5" w:rsidP="00567BCF">
      <w:pPr>
        <w:spacing w:after="120"/>
        <w:ind w:firstLine="567"/>
        <w:jc w:val="both"/>
        <w:rPr>
          <w:rFonts w:ascii="Arial Narrow" w:hAnsi="Arial Narrow" w:cs="Times New Roman"/>
          <w:sz w:val="24"/>
          <w:szCs w:val="24"/>
          <w:lang w:eastAsia="en-GB"/>
        </w:rPr>
      </w:pPr>
      <w:r w:rsidRPr="007B69F7">
        <w:rPr>
          <w:rFonts w:ascii="Arial Narrow" w:hAnsi="Arial Narrow" w:cs="Times New Roman"/>
          <w:sz w:val="24"/>
          <w:szCs w:val="24"/>
          <w:lang w:eastAsia="en-GB"/>
        </w:rPr>
        <w:t>-</w:t>
      </w:r>
      <w:r w:rsidR="00D31EB7" w:rsidRPr="007B69F7">
        <w:rPr>
          <w:rFonts w:ascii="Arial Narrow" w:hAnsi="Arial Narrow" w:cs="Times New Roman"/>
          <w:b/>
          <w:bCs/>
          <w:sz w:val="24"/>
          <w:szCs w:val="24"/>
          <w:lang w:eastAsia="en-GB"/>
        </w:rPr>
        <w:t>Μηδενική φορολόγηση εισοδήματος</w:t>
      </w:r>
      <w:r w:rsidR="00D31EB7" w:rsidRPr="007B69F7">
        <w:rPr>
          <w:rFonts w:ascii="Arial Narrow" w:hAnsi="Arial Narrow" w:cs="Times New Roman"/>
          <w:sz w:val="24"/>
          <w:szCs w:val="24"/>
          <w:lang w:eastAsia="en-GB"/>
        </w:rPr>
        <w:t xml:space="preserve"> φυσικών προσώπων που δεν ασκούν εμπορική δραστηριότητα (εξαιρούνται τα πρόσωπα που διαθέτουν άδεια ελεύθερου επαγγελματία)</w:t>
      </w:r>
    </w:p>
    <w:p w14:paraId="13D815D4" w14:textId="24804ED5" w:rsidR="00AB48C5" w:rsidRPr="007B69F7" w:rsidRDefault="00D31EB7" w:rsidP="00567BCF">
      <w:pPr>
        <w:spacing w:after="120"/>
        <w:ind w:firstLine="567"/>
        <w:jc w:val="both"/>
        <w:rPr>
          <w:rFonts w:ascii="Arial Narrow" w:hAnsi="Arial Narrow" w:cs="Times New Roman"/>
          <w:sz w:val="24"/>
          <w:szCs w:val="24"/>
          <w:lang w:eastAsia="en-GB"/>
        </w:rPr>
      </w:pPr>
      <w:r w:rsidRPr="007B69F7">
        <w:rPr>
          <w:rFonts w:ascii="Arial Narrow" w:hAnsi="Arial Narrow" w:cs="Times New Roman"/>
          <w:sz w:val="24"/>
          <w:szCs w:val="24"/>
          <w:lang w:eastAsia="en-GB"/>
        </w:rPr>
        <w:t>-</w:t>
      </w:r>
      <w:r w:rsidR="00AB48C5" w:rsidRPr="007B69F7">
        <w:rPr>
          <w:rFonts w:ascii="Arial Narrow" w:hAnsi="Arial Narrow" w:cs="Times New Roman"/>
          <w:sz w:val="24"/>
          <w:szCs w:val="24"/>
          <w:lang w:eastAsia="en-GB"/>
        </w:rPr>
        <w:t xml:space="preserve">Εισαγωγή </w:t>
      </w:r>
      <w:r w:rsidR="00AB48C5" w:rsidRPr="007B69F7">
        <w:rPr>
          <w:rFonts w:ascii="Arial Narrow" w:hAnsi="Arial Narrow" w:cs="Times New Roman"/>
          <w:b/>
          <w:bCs/>
          <w:sz w:val="24"/>
          <w:szCs w:val="24"/>
          <w:lang w:eastAsia="en-GB"/>
        </w:rPr>
        <w:t>φόρου στα εταιρικά κέρδη ύψους 9%</w:t>
      </w:r>
      <w:r w:rsidR="00AB48C5" w:rsidRPr="007B69F7">
        <w:rPr>
          <w:rFonts w:ascii="Arial Narrow" w:hAnsi="Arial Narrow" w:cs="Times New Roman"/>
          <w:sz w:val="24"/>
          <w:szCs w:val="24"/>
          <w:lang w:eastAsia="en-GB"/>
        </w:rPr>
        <w:t xml:space="preserve"> από 1.6.2023</w:t>
      </w:r>
      <w:r w:rsidR="00C04AAE" w:rsidRPr="007B69F7">
        <w:rPr>
          <w:rFonts w:ascii="Arial Narrow" w:hAnsi="Arial Narrow" w:cs="Times New Roman"/>
          <w:sz w:val="24"/>
          <w:szCs w:val="24"/>
          <w:lang w:eastAsia="en-GB"/>
        </w:rPr>
        <w:t xml:space="preserve"> σε εταιρείες με ετήσια κέρδη άνω των 375.000 Ντίρχαμ (περίπου 95.000 </w:t>
      </w:r>
      <w:r w:rsidR="00617A7D" w:rsidRPr="007B69F7">
        <w:rPr>
          <w:rFonts w:ascii="Arial Narrow" w:hAnsi="Arial Narrow" w:cs="Times New Roman"/>
          <w:sz w:val="24"/>
          <w:szCs w:val="24"/>
          <w:lang w:eastAsia="en-GB"/>
        </w:rPr>
        <w:t>Ευρώ</w:t>
      </w:r>
      <w:r w:rsidR="00C04AAE" w:rsidRPr="007B69F7">
        <w:rPr>
          <w:rFonts w:ascii="Arial Narrow" w:hAnsi="Arial Narrow" w:cs="Times New Roman"/>
          <w:sz w:val="24"/>
          <w:szCs w:val="24"/>
          <w:lang w:eastAsia="en-GB"/>
        </w:rPr>
        <w:t>)</w:t>
      </w:r>
      <w:r w:rsidR="00BC5629" w:rsidRPr="007B69F7">
        <w:rPr>
          <w:rFonts w:ascii="Arial Narrow" w:hAnsi="Arial Narrow" w:cs="Times New Roman"/>
          <w:sz w:val="24"/>
          <w:szCs w:val="24"/>
          <w:lang w:eastAsia="en-GB"/>
        </w:rPr>
        <w:t xml:space="preserve"> </w:t>
      </w:r>
    </w:p>
    <w:p w14:paraId="6D63E074" w14:textId="00445A9C" w:rsidR="009B2DC7" w:rsidRPr="007B69F7" w:rsidRDefault="009B2DC7" w:rsidP="00567BCF">
      <w:pPr>
        <w:spacing w:after="120"/>
        <w:ind w:firstLine="567"/>
        <w:jc w:val="both"/>
        <w:rPr>
          <w:rFonts w:ascii="Arial Narrow" w:hAnsi="Arial Narrow" w:cs="Times New Roman"/>
          <w:sz w:val="24"/>
          <w:szCs w:val="24"/>
          <w:lang w:eastAsia="en-GB"/>
        </w:rPr>
      </w:pPr>
      <w:r w:rsidRPr="007B69F7">
        <w:rPr>
          <w:rFonts w:ascii="Arial Narrow" w:hAnsi="Arial Narrow" w:cs="Times New Roman"/>
          <w:sz w:val="24"/>
          <w:szCs w:val="24"/>
          <w:lang w:eastAsia="en-GB"/>
        </w:rPr>
        <w:t xml:space="preserve">-Θέσπιση Νόμου </w:t>
      </w:r>
      <w:r w:rsidR="007B1AF0" w:rsidRPr="007B69F7">
        <w:rPr>
          <w:rFonts w:ascii="Arial Narrow" w:hAnsi="Arial Narrow" w:cs="Times New Roman"/>
          <w:sz w:val="24"/>
          <w:szCs w:val="24"/>
          <w:lang w:eastAsia="en-GB"/>
        </w:rPr>
        <w:t>θεμελιώδους</w:t>
      </w:r>
      <w:r w:rsidRPr="007B69F7">
        <w:rPr>
          <w:rFonts w:ascii="Arial Narrow" w:hAnsi="Arial Narrow" w:cs="Times New Roman"/>
          <w:sz w:val="24"/>
          <w:szCs w:val="24"/>
          <w:lang w:eastAsia="en-GB"/>
        </w:rPr>
        <w:t xml:space="preserve"> σημασίας στο τέλος του 2020, που επιτρέπει τη δυνατότητα </w:t>
      </w:r>
      <w:r w:rsidRPr="007B69F7">
        <w:rPr>
          <w:rFonts w:ascii="Arial Narrow" w:hAnsi="Arial Narrow" w:cs="Times New Roman"/>
          <w:b/>
          <w:bCs/>
          <w:sz w:val="24"/>
          <w:szCs w:val="24"/>
          <w:lang w:eastAsia="en-GB"/>
        </w:rPr>
        <w:t>100% ξένης</w:t>
      </w:r>
      <w:r w:rsidRPr="007B69F7">
        <w:rPr>
          <w:rFonts w:ascii="Arial Narrow" w:hAnsi="Arial Narrow" w:cs="Times New Roman"/>
          <w:sz w:val="24"/>
          <w:szCs w:val="24"/>
          <w:lang w:eastAsia="en-GB"/>
        </w:rPr>
        <w:t xml:space="preserve"> </w:t>
      </w:r>
      <w:r w:rsidRPr="007B69F7">
        <w:rPr>
          <w:rFonts w:ascii="Arial Narrow" w:hAnsi="Arial Narrow" w:cs="Times New Roman"/>
          <w:b/>
          <w:bCs/>
          <w:sz w:val="24"/>
          <w:szCs w:val="24"/>
          <w:lang w:eastAsia="en-GB"/>
        </w:rPr>
        <w:t>ιδιοκτησίας</w:t>
      </w:r>
      <w:r w:rsidRPr="007B69F7">
        <w:rPr>
          <w:rFonts w:ascii="Arial Narrow" w:hAnsi="Arial Narrow" w:cs="Times New Roman"/>
          <w:sz w:val="24"/>
          <w:szCs w:val="24"/>
          <w:lang w:eastAsia="en-GB"/>
        </w:rPr>
        <w:t xml:space="preserve"> επί εμιρατινών εταιρειών, ενώ στη διάρκεια του 2021 οι Άρχες των Εμιράτων </w:t>
      </w:r>
      <w:r w:rsidRPr="007B69F7">
        <w:rPr>
          <w:rFonts w:ascii="Arial Narrow" w:hAnsi="Arial Narrow" w:cs="Times New Roman"/>
          <w:sz w:val="24"/>
          <w:szCs w:val="24"/>
          <w:lang w:val="en-US" w:eastAsia="en-GB"/>
        </w:rPr>
        <w:t>Abu</w:t>
      </w:r>
      <w:r w:rsidRPr="007B69F7">
        <w:rPr>
          <w:rFonts w:ascii="Arial Narrow" w:hAnsi="Arial Narrow" w:cs="Times New Roman"/>
          <w:sz w:val="24"/>
          <w:szCs w:val="24"/>
          <w:lang w:eastAsia="en-GB"/>
        </w:rPr>
        <w:t xml:space="preserve"> </w:t>
      </w:r>
      <w:r w:rsidRPr="007B69F7">
        <w:rPr>
          <w:rFonts w:ascii="Arial Narrow" w:hAnsi="Arial Narrow" w:cs="Times New Roman"/>
          <w:sz w:val="24"/>
          <w:szCs w:val="24"/>
          <w:lang w:val="en-US" w:eastAsia="en-GB"/>
        </w:rPr>
        <w:t>Dhabi</w:t>
      </w:r>
      <w:r w:rsidRPr="007B69F7">
        <w:rPr>
          <w:rFonts w:ascii="Arial Narrow" w:hAnsi="Arial Narrow" w:cs="Times New Roman"/>
          <w:sz w:val="24"/>
          <w:szCs w:val="24"/>
          <w:lang w:eastAsia="en-GB"/>
        </w:rPr>
        <w:t xml:space="preserve">, </w:t>
      </w:r>
      <w:r w:rsidRPr="007B69F7">
        <w:rPr>
          <w:rFonts w:ascii="Arial Narrow" w:hAnsi="Arial Narrow" w:cs="Times New Roman"/>
          <w:sz w:val="24"/>
          <w:szCs w:val="24"/>
          <w:lang w:val="en-US" w:eastAsia="en-GB"/>
        </w:rPr>
        <w:t>Dubai</w:t>
      </w:r>
      <w:r w:rsidRPr="007B69F7">
        <w:rPr>
          <w:rFonts w:ascii="Arial Narrow" w:hAnsi="Arial Narrow" w:cs="Times New Roman"/>
          <w:sz w:val="24"/>
          <w:szCs w:val="24"/>
          <w:lang w:eastAsia="en-GB"/>
        </w:rPr>
        <w:t xml:space="preserve">, </w:t>
      </w:r>
      <w:r w:rsidRPr="007B69F7">
        <w:rPr>
          <w:rFonts w:ascii="Arial Narrow" w:hAnsi="Arial Narrow" w:cs="Times New Roman"/>
          <w:sz w:val="24"/>
          <w:szCs w:val="24"/>
          <w:lang w:val="en-US" w:eastAsia="en-GB"/>
        </w:rPr>
        <w:t>Sharjah</w:t>
      </w:r>
      <w:r w:rsidRPr="007B69F7">
        <w:rPr>
          <w:rFonts w:ascii="Arial Narrow" w:hAnsi="Arial Narrow" w:cs="Times New Roman"/>
          <w:sz w:val="24"/>
          <w:szCs w:val="24"/>
          <w:lang w:eastAsia="en-GB"/>
        </w:rPr>
        <w:t xml:space="preserve">, </w:t>
      </w:r>
      <w:r w:rsidRPr="007B69F7">
        <w:rPr>
          <w:rFonts w:ascii="Arial Narrow" w:hAnsi="Arial Narrow" w:cs="Times New Roman"/>
          <w:sz w:val="24"/>
          <w:szCs w:val="24"/>
          <w:lang w:val="en-US" w:eastAsia="en-GB"/>
        </w:rPr>
        <w:t>Ajman</w:t>
      </w:r>
      <w:r w:rsidRPr="007B69F7">
        <w:rPr>
          <w:rFonts w:ascii="Arial Narrow" w:hAnsi="Arial Narrow" w:cs="Times New Roman"/>
          <w:sz w:val="24"/>
          <w:szCs w:val="24"/>
          <w:lang w:eastAsia="en-GB"/>
        </w:rPr>
        <w:t xml:space="preserve"> δημοσιοποίησαν καταλόγους κλάδων οικονομικής δραστηριότητας όπου επιτρέπεται η εξ ολοκλήρου ξένη ιδιοκτησία. Το καθεστώς αυτό ίσχυε </w:t>
      </w:r>
      <w:r w:rsidRPr="007B69F7">
        <w:rPr>
          <w:rFonts w:ascii="Arial Narrow" w:hAnsi="Arial Narrow" w:cs="Times New Roman"/>
          <w:b/>
          <w:bCs/>
          <w:sz w:val="24"/>
          <w:szCs w:val="24"/>
          <w:lang w:eastAsia="en-GB"/>
        </w:rPr>
        <w:t xml:space="preserve">μόνο στις </w:t>
      </w:r>
      <w:r w:rsidR="00B65DC4" w:rsidRPr="007B69F7">
        <w:rPr>
          <w:rFonts w:ascii="Arial Narrow" w:hAnsi="Arial Narrow" w:cs="Times New Roman"/>
          <w:b/>
          <w:bCs/>
          <w:sz w:val="24"/>
          <w:szCs w:val="24"/>
          <w:lang w:eastAsia="en-GB"/>
        </w:rPr>
        <w:t>Ε</w:t>
      </w:r>
      <w:r w:rsidRPr="007B69F7">
        <w:rPr>
          <w:rFonts w:ascii="Arial Narrow" w:hAnsi="Arial Narrow" w:cs="Times New Roman"/>
          <w:b/>
          <w:bCs/>
          <w:sz w:val="24"/>
          <w:szCs w:val="24"/>
          <w:lang w:eastAsia="en-GB"/>
        </w:rPr>
        <w:t xml:space="preserve">λεύθερες </w:t>
      </w:r>
      <w:r w:rsidR="00B65DC4" w:rsidRPr="007B69F7">
        <w:rPr>
          <w:rFonts w:ascii="Arial Narrow" w:hAnsi="Arial Narrow" w:cs="Times New Roman"/>
          <w:b/>
          <w:bCs/>
          <w:sz w:val="24"/>
          <w:szCs w:val="24"/>
          <w:lang w:eastAsia="en-GB"/>
        </w:rPr>
        <w:t>Ζ</w:t>
      </w:r>
      <w:r w:rsidRPr="007B69F7">
        <w:rPr>
          <w:rFonts w:ascii="Arial Narrow" w:hAnsi="Arial Narrow" w:cs="Times New Roman"/>
          <w:b/>
          <w:bCs/>
          <w:sz w:val="24"/>
          <w:szCs w:val="24"/>
          <w:lang w:eastAsia="en-GB"/>
        </w:rPr>
        <w:t>ώνες</w:t>
      </w:r>
      <w:r w:rsidR="00FB7533" w:rsidRPr="007B69F7">
        <w:rPr>
          <w:rFonts w:ascii="Arial Narrow" w:hAnsi="Arial Narrow" w:cs="Times New Roman"/>
          <w:sz w:val="24"/>
          <w:szCs w:val="24"/>
          <w:lang w:eastAsia="en-GB"/>
        </w:rPr>
        <w:t xml:space="preserve"> (</w:t>
      </w:r>
      <w:hyperlink w:anchor="_Επενδύσεις_από_και" w:history="1">
        <w:r w:rsidR="00FB7533" w:rsidRPr="007B69F7">
          <w:rPr>
            <w:rStyle w:val="Hyperlink"/>
            <w:rFonts w:ascii="Arial Narrow" w:hAnsi="Arial Narrow" w:cs="Times New Roman"/>
            <w:sz w:val="24"/>
            <w:szCs w:val="24"/>
            <w:lang w:eastAsia="en-GB"/>
          </w:rPr>
          <w:t>βλ.</w:t>
        </w:r>
        <w:r w:rsidR="00CE3462" w:rsidRPr="007B69F7">
          <w:rPr>
            <w:rStyle w:val="Hyperlink"/>
            <w:rFonts w:ascii="Arial Narrow" w:hAnsi="Arial Narrow" w:cs="Times New Roman"/>
            <w:sz w:val="24"/>
            <w:szCs w:val="24"/>
            <w:lang w:eastAsia="en-GB"/>
          </w:rPr>
          <w:t xml:space="preserve"> Ενότητα </w:t>
        </w:r>
        <w:r w:rsidR="00FB7533" w:rsidRPr="007B69F7">
          <w:rPr>
            <w:rStyle w:val="Hyperlink"/>
            <w:rFonts w:ascii="Arial Narrow" w:hAnsi="Arial Narrow" w:cs="Times New Roman"/>
            <w:sz w:val="24"/>
            <w:szCs w:val="24"/>
            <w:lang w:eastAsia="en-GB"/>
          </w:rPr>
          <w:t>2.1.4.</w:t>
        </w:r>
      </w:hyperlink>
      <w:r w:rsidR="00FB7533" w:rsidRPr="007B69F7">
        <w:rPr>
          <w:rFonts w:ascii="Arial Narrow" w:hAnsi="Arial Narrow" w:cs="Times New Roman"/>
          <w:sz w:val="24"/>
          <w:szCs w:val="24"/>
          <w:lang w:eastAsia="en-GB"/>
        </w:rPr>
        <w:t>)</w:t>
      </w:r>
    </w:p>
    <w:p w14:paraId="3F7B498F" w14:textId="51380909" w:rsidR="00B27479" w:rsidRPr="007B69F7" w:rsidRDefault="009656C7" w:rsidP="00567BCF">
      <w:pPr>
        <w:spacing w:after="120"/>
        <w:ind w:firstLine="567"/>
        <w:jc w:val="both"/>
        <w:rPr>
          <w:rFonts w:ascii="Arial Narrow" w:hAnsi="Arial Narrow" w:cs="Times New Roman"/>
          <w:sz w:val="24"/>
          <w:szCs w:val="24"/>
          <w:lang w:eastAsia="en-GB"/>
        </w:rPr>
      </w:pPr>
      <w:r w:rsidRPr="007B69F7">
        <w:rPr>
          <w:rFonts w:ascii="Arial Narrow" w:hAnsi="Arial Narrow" w:cs="Times New Roman"/>
          <w:sz w:val="24"/>
          <w:szCs w:val="24"/>
          <w:lang w:eastAsia="en-GB"/>
        </w:rPr>
        <w:t>-</w:t>
      </w:r>
      <w:r w:rsidR="00363241" w:rsidRPr="007B69F7">
        <w:rPr>
          <w:rFonts w:ascii="Arial Narrow" w:hAnsi="Arial Narrow" w:cs="Times New Roman"/>
          <w:sz w:val="24"/>
          <w:szCs w:val="24"/>
          <w:lang w:eastAsia="en-GB"/>
        </w:rPr>
        <w:t>Μείωση</w:t>
      </w:r>
      <w:r w:rsidR="00D8684D" w:rsidRPr="007B69F7">
        <w:rPr>
          <w:rFonts w:ascii="Arial Narrow" w:hAnsi="Arial Narrow" w:cs="Times New Roman"/>
          <w:sz w:val="24"/>
          <w:szCs w:val="24"/>
          <w:lang w:eastAsia="en-GB"/>
        </w:rPr>
        <w:t xml:space="preserve"> κανονιστικών απαιτήσεων και</w:t>
      </w:r>
      <w:r w:rsidR="00363241" w:rsidRPr="007B69F7">
        <w:rPr>
          <w:rFonts w:ascii="Arial Narrow" w:hAnsi="Arial Narrow" w:cs="Times New Roman"/>
          <w:sz w:val="24"/>
          <w:szCs w:val="24"/>
          <w:lang w:eastAsia="en-GB"/>
        </w:rPr>
        <w:t xml:space="preserve"> </w:t>
      </w:r>
      <w:r w:rsidR="00363241" w:rsidRPr="007B69F7">
        <w:rPr>
          <w:rFonts w:ascii="Arial Narrow" w:hAnsi="Arial Narrow" w:cs="Times New Roman"/>
          <w:b/>
          <w:bCs/>
          <w:sz w:val="24"/>
          <w:szCs w:val="24"/>
          <w:lang w:eastAsia="en-GB"/>
        </w:rPr>
        <w:t>διαδικασιών σύστασης εταιρει</w:t>
      </w:r>
      <w:r w:rsidR="00A420B9" w:rsidRPr="007B69F7">
        <w:rPr>
          <w:rFonts w:ascii="Arial Narrow" w:hAnsi="Arial Narrow" w:cs="Times New Roman"/>
          <w:b/>
          <w:bCs/>
          <w:sz w:val="24"/>
          <w:szCs w:val="24"/>
          <w:lang w:eastAsia="en-GB"/>
        </w:rPr>
        <w:t>ών</w:t>
      </w:r>
      <w:r w:rsidR="00A420B9" w:rsidRPr="007B69F7">
        <w:rPr>
          <w:rFonts w:ascii="Arial Narrow" w:hAnsi="Arial Narrow" w:cs="Times New Roman"/>
          <w:sz w:val="24"/>
          <w:szCs w:val="24"/>
          <w:lang w:eastAsia="en-GB"/>
        </w:rPr>
        <w:t xml:space="preserve">. </w:t>
      </w:r>
      <w:r w:rsidR="00B27479" w:rsidRPr="007B69F7">
        <w:rPr>
          <w:rFonts w:ascii="Arial Narrow" w:hAnsi="Arial Narrow" w:cs="Times New Roman"/>
          <w:sz w:val="24"/>
          <w:szCs w:val="24"/>
          <w:lang w:eastAsia="en-GB"/>
        </w:rPr>
        <w:t>Χαρακτηριστικά αναφέρεται ότι για να συστήσει κάποιος εταιρεία</w:t>
      </w:r>
      <w:r w:rsidR="00A420B9" w:rsidRPr="007B69F7">
        <w:rPr>
          <w:rFonts w:ascii="Arial Narrow" w:hAnsi="Arial Narrow" w:cs="Times New Roman"/>
          <w:sz w:val="24"/>
          <w:szCs w:val="24"/>
          <w:lang w:eastAsia="en-GB"/>
        </w:rPr>
        <w:t xml:space="preserve"> στα ΗΑΕ</w:t>
      </w:r>
      <w:r w:rsidR="00B27479" w:rsidRPr="007B69F7">
        <w:rPr>
          <w:rFonts w:ascii="Arial Narrow" w:hAnsi="Arial Narrow" w:cs="Times New Roman"/>
          <w:sz w:val="24"/>
          <w:szCs w:val="24"/>
          <w:lang w:eastAsia="en-GB"/>
        </w:rPr>
        <w:t>, απαιτούνται μόνο 2 διαδικασίες και 3,5 ημέρες.</w:t>
      </w:r>
    </w:p>
    <w:p w14:paraId="6AE0545B" w14:textId="73F59AFD" w:rsidR="0096675E" w:rsidRPr="007B69F7" w:rsidRDefault="00F17FD2" w:rsidP="00567BCF">
      <w:pPr>
        <w:spacing w:after="120"/>
        <w:ind w:firstLine="567"/>
        <w:jc w:val="both"/>
        <w:rPr>
          <w:rFonts w:ascii="Arial Narrow" w:hAnsi="Arial Narrow" w:cs="Times New Roman"/>
          <w:b/>
          <w:bCs/>
          <w:sz w:val="24"/>
          <w:szCs w:val="24"/>
          <w:lang w:eastAsia="en-GB"/>
        </w:rPr>
      </w:pPr>
      <w:r w:rsidRPr="007B69F7">
        <w:rPr>
          <w:rFonts w:ascii="Arial Narrow" w:hAnsi="Arial Narrow" w:cs="Times New Roman"/>
          <w:sz w:val="24"/>
          <w:szCs w:val="24"/>
          <w:lang w:eastAsia="en-GB"/>
        </w:rPr>
        <w:t>-</w:t>
      </w:r>
      <w:r w:rsidR="00DE7669" w:rsidRPr="007B69F7">
        <w:rPr>
          <w:rFonts w:ascii="Arial Narrow" w:hAnsi="Arial Narrow" w:cs="Times New Roman"/>
          <w:sz w:val="24"/>
          <w:szCs w:val="24"/>
          <w:lang w:eastAsia="en-GB"/>
        </w:rPr>
        <w:t>Σ</w:t>
      </w:r>
      <w:r w:rsidRPr="007B69F7">
        <w:rPr>
          <w:rFonts w:ascii="Arial Narrow" w:hAnsi="Arial Narrow" w:cs="Times New Roman"/>
          <w:sz w:val="24"/>
          <w:szCs w:val="24"/>
          <w:lang w:eastAsia="en-GB"/>
        </w:rPr>
        <w:t xml:space="preserve">τήριξη των </w:t>
      </w:r>
      <w:r w:rsidR="00F71AF1" w:rsidRPr="007B69F7">
        <w:rPr>
          <w:rFonts w:ascii="Arial Narrow" w:hAnsi="Arial Narrow" w:cs="Times New Roman"/>
          <w:sz w:val="24"/>
          <w:szCs w:val="24"/>
          <w:lang w:eastAsia="en-GB"/>
        </w:rPr>
        <w:t>μ</w:t>
      </w:r>
      <w:r w:rsidR="00DE7669" w:rsidRPr="007B69F7">
        <w:rPr>
          <w:rFonts w:ascii="Arial Narrow" w:hAnsi="Arial Narrow" w:cs="Times New Roman"/>
          <w:sz w:val="24"/>
          <w:szCs w:val="24"/>
          <w:lang w:eastAsia="en-GB"/>
        </w:rPr>
        <w:t>ΜΕ</w:t>
      </w:r>
      <w:r w:rsidRPr="007B69F7">
        <w:rPr>
          <w:rFonts w:ascii="Arial Narrow" w:hAnsi="Arial Narrow" w:cs="Times New Roman"/>
          <w:sz w:val="24"/>
          <w:szCs w:val="24"/>
          <w:lang w:eastAsia="en-GB"/>
        </w:rPr>
        <w:t xml:space="preserve"> 100% εμιρατινής ιδιοκτησίας με τη δια νόμου </w:t>
      </w:r>
      <w:r w:rsidRPr="007B69F7">
        <w:rPr>
          <w:rFonts w:ascii="Arial Narrow" w:hAnsi="Arial Narrow" w:cs="Times New Roman"/>
          <w:b/>
          <w:bCs/>
          <w:sz w:val="24"/>
          <w:szCs w:val="24"/>
          <w:lang w:eastAsia="en-GB"/>
        </w:rPr>
        <w:t>ποσοστιαία συμμετοχή</w:t>
      </w:r>
      <w:r w:rsidRPr="007B69F7">
        <w:rPr>
          <w:rFonts w:ascii="Arial Narrow" w:hAnsi="Arial Narrow" w:cs="Times New Roman"/>
          <w:sz w:val="24"/>
          <w:szCs w:val="24"/>
          <w:lang w:eastAsia="en-GB"/>
        </w:rPr>
        <w:t xml:space="preserve"> τους στην ανάληψη </w:t>
      </w:r>
      <w:r w:rsidRPr="007B69F7">
        <w:rPr>
          <w:rFonts w:ascii="Arial Narrow" w:hAnsi="Arial Narrow" w:cs="Times New Roman"/>
          <w:b/>
          <w:bCs/>
          <w:sz w:val="24"/>
          <w:szCs w:val="24"/>
          <w:lang w:eastAsia="en-GB"/>
        </w:rPr>
        <w:t>συμβολαίων δημοσίων έργων και προμηθειών</w:t>
      </w:r>
    </w:p>
    <w:p w14:paraId="7AA90F9E" w14:textId="13C68F39" w:rsidR="0096675E" w:rsidRPr="007B69F7" w:rsidRDefault="0096675E" w:rsidP="00A3641A">
      <w:pPr>
        <w:spacing w:after="120"/>
        <w:ind w:firstLine="567"/>
        <w:jc w:val="both"/>
        <w:rPr>
          <w:rFonts w:ascii="Arial Narrow" w:hAnsi="Arial Narrow" w:cs="Times New Roman"/>
          <w:sz w:val="24"/>
          <w:szCs w:val="24"/>
          <w:lang w:eastAsia="en-GB"/>
        </w:rPr>
      </w:pPr>
      <w:r w:rsidRPr="007B69F7">
        <w:rPr>
          <w:rFonts w:ascii="Arial Narrow" w:hAnsi="Arial Narrow" w:cs="Times New Roman"/>
          <w:sz w:val="24"/>
          <w:szCs w:val="24"/>
          <w:lang w:eastAsia="en-GB"/>
        </w:rPr>
        <w:t>-</w:t>
      </w:r>
      <w:r w:rsidR="00A3641A" w:rsidRPr="007B69F7">
        <w:rPr>
          <w:rFonts w:ascii="Arial Narrow" w:hAnsi="Arial Narrow" w:cs="Times New Roman"/>
          <w:sz w:val="24"/>
          <w:szCs w:val="24"/>
        </w:rPr>
        <w:t>Εκκίνηση τον Μάρτιο 2021, τ</w:t>
      </w:r>
      <w:r w:rsidR="001653BA" w:rsidRPr="007B69F7">
        <w:rPr>
          <w:rFonts w:ascii="Arial Narrow" w:hAnsi="Arial Narrow" w:cs="Times New Roman"/>
          <w:sz w:val="24"/>
          <w:szCs w:val="24"/>
        </w:rPr>
        <w:t>η</w:t>
      </w:r>
      <w:r w:rsidR="00A3641A" w:rsidRPr="007B69F7">
        <w:rPr>
          <w:rFonts w:ascii="Arial Narrow" w:hAnsi="Arial Narrow" w:cs="Times New Roman"/>
          <w:sz w:val="24"/>
          <w:szCs w:val="24"/>
        </w:rPr>
        <w:t>ς</w:t>
      </w:r>
      <w:r w:rsidR="001653BA" w:rsidRPr="007B69F7">
        <w:rPr>
          <w:rFonts w:ascii="Arial Narrow" w:hAnsi="Arial Narrow" w:cs="Times New Roman"/>
          <w:sz w:val="24"/>
          <w:szCs w:val="24"/>
        </w:rPr>
        <w:t xml:space="preserve"> Εθνική</w:t>
      </w:r>
      <w:r w:rsidR="00A3641A" w:rsidRPr="007B69F7">
        <w:rPr>
          <w:rFonts w:ascii="Arial Narrow" w:hAnsi="Arial Narrow" w:cs="Times New Roman"/>
          <w:sz w:val="24"/>
          <w:szCs w:val="24"/>
        </w:rPr>
        <w:t>ς</w:t>
      </w:r>
      <w:r w:rsidR="001653BA" w:rsidRPr="007B69F7">
        <w:rPr>
          <w:rFonts w:ascii="Arial Narrow" w:hAnsi="Arial Narrow" w:cs="Times New Roman"/>
          <w:sz w:val="24"/>
          <w:szCs w:val="24"/>
        </w:rPr>
        <w:t xml:space="preserve"> Στρατηγική</w:t>
      </w:r>
      <w:r w:rsidR="00A3641A" w:rsidRPr="007B69F7">
        <w:rPr>
          <w:rFonts w:ascii="Arial Narrow" w:hAnsi="Arial Narrow" w:cs="Times New Roman"/>
          <w:sz w:val="24"/>
          <w:szCs w:val="24"/>
        </w:rPr>
        <w:t>ς</w:t>
      </w:r>
      <w:r w:rsidR="001653BA" w:rsidRPr="007B69F7">
        <w:rPr>
          <w:rFonts w:ascii="Arial Narrow" w:hAnsi="Arial Narrow" w:cs="Times New Roman"/>
          <w:sz w:val="24"/>
          <w:szCs w:val="24"/>
        </w:rPr>
        <w:t xml:space="preserve"> για την ανάπτυξη της εγχώριας βιομηχανίας «</w:t>
      </w:r>
      <w:hyperlink r:id="rId15" w:history="1">
        <w:r w:rsidR="001653BA" w:rsidRPr="007B69F7">
          <w:rPr>
            <w:rStyle w:val="Hyperlink"/>
            <w:rFonts w:ascii="Arial Narrow" w:hAnsi="Arial Narrow" w:cs="Times New Roman"/>
            <w:b/>
            <w:bCs/>
            <w:sz w:val="24"/>
            <w:szCs w:val="24"/>
            <w:lang w:val="en-US"/>
          </w:rPr>
          <w:t>Operation</w:t>
        </w:r>
        <w:r w:rsidR="001653BA" w:rsidRPr="007B69F7">
          <w:rPr>
            <w:rStyle w:val="Hyperlink"/>
            <w:rFonts w:ascii="Arial Narrow" w:hAnsi="Arial Narrow" w:cs="Times New Roman"/>
            <w:b/>
            <w:bCs/>
            <w:sz w:val="24"/>
            <w:szCs w:val="24"/>
          </w:rPr>
          <w:t xml:space="preserve"> 300</w:t>
        </w:r>
        <w:r w:rsidR="001653BA" w:rsidRPr="007B69F7">
          <w:rPr>
            <w:rStyle w:val="Hyperlink"/>
            <w:rFonts w:ascii="Arial Narrow" w:hAnsi="Arial Narrow" w:cs="Times New Roman"/>
            <w:b/>
            <w:bCs/>
            <w:sz w:val="24"/>
            <w:szCs w:val="24"/>
            <w:lang w:val="en-US"/>
          </w:rPr>
          <w:t>bn</w:t>
        </w:r>
      </w:hyperlink>
      <w:r w:rsidR="001653BA" w:rsidRPr="007B69F7">
        <w:rPr>
          <w:rFonts w:ascii="Arial Narrow" w:hAnsi="Arial Narrow" w:cs="Times New Roman"/>
          <w:sz w:val="24"/>
          <w:szCs w:val="24"/>
        </w:rPr>
        <w:t>»</w:t>
      </w:r>
      <w:r w:rsidR="001653BA" w:rsidRPr="007B69F7">
        <w:rPr>
          <w:rStyle w:val="FootnoteReference"/>
          <w:rFonts w:ascii="Arial Narrow" w:hAnsi="Arial Narrow" w:cs="Times New Roman"/>
          <w:sz w:val="24"/>
          <w:szCs w:val="24"/>
        </w:rPr>
        <w:footnoteReference w:id="4"/>
      </w:r>
      <w:r w:rsidR="00A3641A" w:rsidRPr="007B69F7">
        <w:rPr>
          <w:rFonts w:ascii="Arial Narrow" w:hAnsi="Arial Narrow" w:cs="Times New Roman"/>
          <w:sz w:val="24"/>
          <w:szCs w:val="24"/>
        </w:rPr>
        <w:t xml:space="preserve">, στο πλαίσιο της οποίας εκπονείται το Πρόγραμμα </w:t>
      </w:r>
      <w:r w:rsidRPr="007B69F7">
        <w:rPr>
          <w:rFonts w:ascii="Arial Narrow" w:hAnsi="Arial Narrow" w:cs="Times New Roman"/>
          <w:sz w:val="24"/>
          <w:szCs w:val="24"/>
          <w:lang w:eastAsia="en-GB"/>
        </w:rPr>
        <w:t>“</w:t>
      </w:r>
      <w:hyperlink r:id="rId16" w:history="1">
        <w:r w:rsidRPr="007B69F7">
          <w:rPr>
            <w:rStyle w:val="Hyperlink"/>
            <w:rFonts w:ascii="Arial Narrow" w:hAnsi="Arial Narrow" w:cs="Times New Roman"/>
            <w:b/>
            <w:bCs/>
            <w:sz w:val="24"/>
            <w:szCs w:val="24"/>
            <w:lang w:val="en-US" w:eastAsia="en-GB"/>
          </w:rPr>
          <w:t>In</w:t>
        </w:r>
        <w:r w:rsidRPr="007B69F7">
          <w:rPr>
            <w:rStyle w:val="Hyperlink"/>
            <w:rFonts w:ascii="Arial Narrow" w:hAnsi="Arial Narrow" w:cs="Times New Roman"/>
            <w:b/>
            <w:bCs/>
            <w:sz w:val="24"/>
            <w:szCs w:val="24"/>
            <w:lang w:eastAsia="en-GB"/>
          </w:rPr>
          <w:t>-</w:t>
        </w:r>
        <w:r w:rsidR="00DE1FFA" w:rsidRPr="007B69F7">
          <w:rPr>
            <w:rStyle w:val="Hyperlink"/>
            <w:rFonts w:ascii="Arial Narrow" w:hAnsi="Arial Narrow" w:cs="Times New Roman"/>
            <w:b/>
            <w:bCs/>
            <w:sz w:val="24"/>
            <w:szCs w:val="24"/>
            <w:lang w:val="en-US" w:eastAsia="en-GB"/>
          </w:rPr>
          <w:t>C</w:t>
        </w:r>
        <w:r w:rsidRPr="007B69F7">
          <w:rPr>
            <w:rStyle w:val="Hyperlink"/>
            <w:rFonts w:ascii="Arial Narrow" w:hAnsi="Arial Narrow" w:cs="Times New Roman"/>
            <w:b/>
            <w:bCs/>
            <w:sz w:val="24"/>
            <w:szCs w:val="24"/>
            <w:lang w:val="en-US" w:eastAsia="en-GB"/>
          </w:rPr>
          <w:t>ountry</w:t>
        </w:r>
        <w:r w:rsidRPr="007B69F7">
          <w:rPr>
            <w:rStyle w:val="Hyperlink"/>
            <w:rFonts w:ascii="Arial Narrow" w:hAnsi="Arial Narrow" w:cs="Times New Roman"/>
            <w:b/>
            <w:bCs/>
            <w:sz w:val="24"/>
            <w:szCs w:val="24"/>
            <w:lang w:eastAsia="en-GB"/>
          </w:rPr>
          <w:t xml:space="preserve"> </w:t>
        </w:r>
        <w:r w:rsidRPr="007B69F7">
          <w:rPr>
            <w:rStyle w:val="Hyperlink"/>
            <w:rFonts w:ascii="Arial Narrow" w:hAnsi="Arial Narrow" w:cs="Times New Roman"/>
            <w:b/>
            <w:bCs/>
            <w:sz w:val="24"/>
            <w:szCs w:val="24"/>
            <w:lang w:val="en-US" w:eastAsia="en-GB"/>
          </w:rPr>
          <w:t>Value</w:t>
        </w:r>
        <w:r w:rsidR="00DE1FFA" w:rsidRPr="007B69F7">
          <w:rPr>
            <w:rStyle w:val="Hyperlink"/>
            <w:rFonts w:ascii="Arial Narrow" w:hAnsi="Arial Narrow" w:cs="Times New Roman"/>
            <w:b/>
            <w:bCs/>
            <w:sz w:val="24"/>
            <w:szCs w:val="24"/>
            <w:lang w:eastAsia="en-GB"/>
          </w:rPr>
          <w:t xml:space="preserve"> - </w:t>
        </w:r>
        <w:r w:rsidR="00DE1FFA" w:rsidRPr="007B69F7">
          <w:rPr>
            <w:rStyle w:val="Hyperlink"/>
            <w:rFonts w:ascii="Arial Narrow" w:hAnsi="Arial Narrow" w:cs="Times New Roman"/>
            <w:b/>
            <w:bCs/>
            <w:sz w:val="24"/>
            <w:szCs w:val="24"/>
            <w:lang w:val="en-US" w:eastAsia="en-GB"/>
          </w:rPr>
          <w:t>ICV</w:t>
        </w:r>
      </w:hyperlink>
      <w:r w:rsidRPr="007B69F7">
        <w:rPr>
          <w:rFonts w:ascii="Arial Narrow" w:hAnsi="Arial Narrow" w:cs="Times New Roman"/>
          <w:sz w:val="24"/>
          <w:szCs w:val="24"/>
          <w:lang w:eastAsia="en-GB"/>
        </w:rPr>
        <w:t xml:space="preserve">” </w:t>
      </w:r>
      <w:r w:rsidR="00A3641A" w:rsidRPr="007B69F7">
        <w:rPr>
          <w:rFonts w:ascii="Arial Narrow" w:hAnsi="Arial Narrow" w:cs="Times New Roman"/>
          <w:sz w:val="24"/>
          <w:szCs w:val="24"/>
          <w:lang w:eastAsia="en-GB"/>
        </w:rPr>
        <w:t>(από Δεκέμβριο 2021) (</w:t>
      </w:r>
      <w:hyperlink w:anchor="_Η_Δομή_της" w:history="1">
        <w:r w:rsidR="00A3641A" w:rsidRPr="007B69F7">
          <w:rPr>
            <w:rStyle w:val="Hyperlink"/>
            <w:rFonts w:ascii="Arial Narrow" w:hAnsi="Arial Narrow" w:cs="Times New Roman"/>
            <w:sz w:val="24"/>
            <w:szCs w:val="24"/>
            <w:lang w:eastAsia="en-GB"/>
          </w:rPr>
          <w:t>βλ.</w:t>
        </w:r>
        <w:r w:rsidR="00CE3462" w:rsidRPr="007B69F7">
          <w:rPr>
            <w:rStyle w:val="Hyperlink"/>
            <w:rFonts w:ascii="Arial Narrow" w:hAnsi="Arial Narrow" w:cs="Times New Roman"/>
            <w:sz w:val="24"/>
            <w:szCs w:val="24"/>
            <w:lang w:eastAsia="en-GB"/>
          </w:rPr>
          <w:t xml:space="preserve"> Ενότητα </w:t>
        </w:r>
        <w:r w:rsidR="00A3641A" w:rsidRPr="007B69F7">
          <w:rPr>
            <w:rStyle w:val="Hyperlink"/>
            <w:rFonts w:ascii="Arial Narrow" w:hAnsi="Arial Narrow" w:cs="Times New Roman"/>
            <w:sz w:val="24"/>
            <w:szCs w:val="24"/>
            <w:lang w:eastAsia="en-GB"/>
          </w:rPr>
          <w:t>2.1.1</w:t>
        </w:r>
      </w:hyperlink>
      <w:r w:rsidR="00A3641A" w:rsidRPr="007B69F7">
        <w:rPr>
          <w:rFonts w:ascii="Arial Narrow" w:hAnsi="Arial Narrow" w:cs="Times New Roman"/>
          <w:sz w:val="24"/>
          <w:szCs w:val="24"/>
          <w:lang w:eastAsia="en-GB"/>
        </w:rPr>
        <w:t>).</w:t>
      </w:r>
    </w:p>
    <w:p w14:paraId="13B5F596" w14:textId="150787DC" w:rsidR="007B1AF0" w:rsidRPr="007B69F7" w:rsidRDefault="007B1AF0" w:rsidP="007B1AF0">
      <w:pPr>
        <w:spacing w:after="120"/>
        <w:ind w:firstLine="567"/>
        <w:jc w:val="both"/>
        <w:rPr>
          <w:rFonts w:ascii="Arial Narrow" w:hAnsi="Arial Narrow" w:cs="Times New Roman"/>
          <w:sz w:val="24"/>
          <w:szCs w:val="24"/>
          <w:lang w:eastAsia="en-GB"/>
        </w:rPr>
      </w:pPr>
      <w:r w:rsidRPr="007B69F7">
        <w:rPr>
          <w:rFonts w:ascii="Arial Narrow" w:hAnsi="Arial Narrow" w:cs="Times New Roman"/>
          <w:sz w:val="24"/>
          <w:szCs w:val="24"/>
          <w:lang w:eastAsia="en-GB"/>
        </w:rPr>
        <w:t xml:space="preserve">-Εξαγγελία </w:t>
      </w:r>
      <w:hyperlink r:id="rId17" w:history="1">
        <w:r w:rsidRPr="007B69F7">
          <w:rPr>
            <w:rStyle w:val="Hyperlink"/>
            <w:rFonts w:ascii="Arial Narrow" w:hAnsi="Arial Narrow" w:cs="Times New Roman"/>
            <w:b/>
            <w:bCs/>
            <w:sz w:val="24"/>
            <w:szCs w:val="24"/>
            <w:lang w:eastAsia="en-GB"/>
          </w:rPr>
          <w:t>50 Αναπτυξιακών Πρωτοβουλιών</w:t>
        </w:r>
      </w:hyperlink>
      <w:r w:rsidRPr="007B69F7">
        <w:rPr>
          <w:rFonts w:ascii="Arial Narrow" w:hAnsi="Arial Narrow" w:cs="Times New Roman"/>
          <w:b/>
          <w:bCs/>
          <w:sz w:val="24"/>
          <w:szCs w:val="24"/>
          <w:lang w:eastAsia="en-GB"/>
        </w:rPr>
        <w:t xml:space="preserve"> (</w:t>
      </w:r>
      <w:r w:rsidRPr="007B69F7">
        <w:rPr>
          <w:rFonts w:ascii="Arial Narrow" w:hAnsi="Arial Narrow" w:cs="Times New Roman"/>
          <w:b/>
          <w:bCs/>
          <w:sz w:val="24"/>
          <w:szCs w:val="24"/>
          <w:lang w:val="en-US" w:eastAsia="en-GB"/>
        </w:rPr>
        <w:t>Projects</w:t>
      </w:r>
      <w:r w:rsidRPr="007B69F7">
        <w:rPr>
          <w:rFonts w:ascii="Arial Narrow" w:hAnsi="Arial Narrow" w:cs="Times New Roman"/>
          <w:b/>
          <w:bCs/>
          <w:sz w:val="24"/>
          <w:szCs w:val="24"/>
          <w:lang w:eastAsia="en-GB"/>
        </w:rPr>
        <w:t xml:space="preserve"> </w:t>
      </w:r>
      <w:r w:rsidRPr="007B69F7">
        <w:rPr>
          <w:rFonts w:ascii="Arial Narrow" w:hAnsi="Arial Narrow" w:cs="Times New Roman"/>
          <w:b/>
          <w:bCs/>
          <w:sz w:val="24"/>
          <w:szCs w:val="24"/>
          <w:lang w:val="en-US" w:eastAsia="en-GB"/>
        </w:rPr>
        <w:t>of</w:t>
      </w:r>
      <w:r w:rsidRPr="007B69F7">
        <w:rPr>
          <w:rFonts w:ascii="Arial Narrow" w:hAnsi="Arial Narrow" w:cs="Times New Roman"/>
          <w:b/>
          <w:bCs/>
          <w:sz w:val="24"/>
          <w:szCs w:val="24"/>
          <w:lang w:eastAsia="en-GB"/>
        </w:rPr>
        <w:t xml:space="preserve"> </w:t>
      </w:r>
      <w:r w:rsidRPr="007B69F7">
        <w:rPr>
          <w:rFonts w:ascii="Arial Narrow" w:hAnsi="Arial Narrow" w:cs="Times New Roman"/>
          <w:b/>
          <w:bCs/>
          <w:sz w:val="24"/>
          <w:szCs w:val="24"/>
          <w:lang w:val="en-US" w:eastAsia="en-GB"/>
        </w:rPr>
        <w:t>the</w:t>
      </w:r>
      <w:r w:rsidRPr="007B69F7">
        <w:rPr>
          <w:rFonts w:ascii="Arial Narrow" w:hAnsi="Arial Narrow" w:cs="Times New Roman"/>
          <w:b/>
          <w:bCs/>
          <w:sz w:val="24"/>
          <w:szCs w:val="24"/>
          <w:lang w:eastAsia="en-GB"/>
        </w:rPr>
        <w:t xml:space="preserve"> 50)</w:t>
      </w:r>
      <w:r w:rsidRPr="007B69F7">
        <w:rPr>
          <w:rFonts w:ascii="Arial Narrow" w:hAnsi="Arial Narrow" w:cs="Times New Roman"/>
          <w:sz w:val="24"/>
          <w:szCs w:val="24"/>
          <w:lang w:eastAsia="en-GB"/>
        </w:rPr>
        <w:t xml:space="preserve"> τον Σεπτέμβριο 2021, με σκοπό την ενίσχυση της αποτελεσματικότητας και των συνεργειών στους τομείς της οικονομίας, των επενδύσεων και του εμπορίου. Ενδεικτικά αναφέρονται μεταρρυθμίσες στις υπηρεσίες διασφάλισης των συναλλαγών, στο νέο νομοθετικό πλαίσιο για την κατοχύρωση των δικαιωμάτων βιομηχανικής ιδιοκτησίας, τροποποιήσεις στο θεσμικό πλαίσιο για την προστασία δικαιωμάτων πνευματικής ιδιοκτησίας, τροποποιήσεις στη νομοθεσία εμπορικών σημάτων, τροποποιήσεις στον Νόμο για το εμπορικό μητρώο, οποίες παρέχουν διευρυμένες αρμοδιότητες στις τοπικές Αρχές εκάστου Εμιράτου και η νέα νομοθεσία για την ασφάλεια του διαδικτύου.</w:t>
      </w:r>
    </w:p>
    <w:p w14:paraId="6A8D1D3B" w14:textId="0528756A" w:rsidR="00670BBB" w:rsidRPr="007B69F7" w:rsidRDefault="00F537EB" w:rsidP="00BC2477">
      <w:pPr>
        <w:spacing w:after="120"/>
        <w:ind w:firstLine="567"/>
        <w:jc w:val="both"/>
        <w:rPr>
          <w:rFonts w:ascii="Arial Narrow" w:hAnsi="Arial Narrow" w:cs="Times New Roman"/>
          <w:sz w:val="24"/>
          <w:szCs w:val="24"/>
          <w:lang w:eastAsia="en-GB"/>
        </w:rPr>
      </w:pPr>
      <w:r w:rsidRPr="007B69F7">
        <w:rPr>
          <w:rFonts w:ascii="Arial Narrow" w:hAnsi="Arial Narrow" w:cs="Times New Roman"/>
          <w:sz w:val="24"/>
          <w:szCs w:val="24"/>
          <w:lang w:eastAsia="en-GB"/>
        </w:rPr>
        <w:t>-</w:t>
      </w:r>
      <w:r w:rsidR="00431B17" w:rsidRPr="007B69F7">
        <w:rPr>
          <w:rFonts w:ascii="Arial Narrow" w:hAnsi="Arial Narrow" w:cs="Times New Roman"/>
          <w:sz w:val="24"/>
          <w:szCs w:val="24"/>
          <w:lang w:eastAsia="en-GB"/>
        </w:rPr>
        <w:t>Ε</w:t>
      </w:r>
      <w:r w:rsidR="00670BBB" w:rsidRPr="007B69F7">
        <w:rPr>
          <w:rFonts w:ascii="Arial Narrow" w:hAnsi="Arial Narrow" w:cs="Times New Roman"/>
          <w:sz w:val="24"/>
          <w:szCs w:val="24"/>
          <w:lang w:eastAsia="en-GB"/>
        </w:rPr>
        <w:t>κπόνησ</w:t>
      </w:r>
      <w:r w:rsidR="00431B17" w:rsidRPr="007B69F7">
        <w:rPr>
          <w:rFonts w:ascii="Arial Narrow" w:hAnsi="Arial Narrow" w:cs="Times New Roman"/>
          <w:sz w:val="24"/>
          <w:szCs w:val="24"/>
          <w:lang w:eastAsia="en-GB"/>
        </w:rPr>
        <w:t>η</w:t>
      </w:r>
      <w:r w:rsidR="00670BBB" w:rsidRPr="007B69F7">
        <w:rPr>
          <w:rFonts w:ascii="Arial Narrow" w:hAnsi="Arial Narrow" w:cs="Times New Roman"/>
          <w:sz w:val="24"/>
          <w:szCs w:val="24"/>
          <w:lang w:eastAsia="en-GB"/>
        </w:rPr>
        <w:t xml:space="preserve"> </w:t>
      </w:r>
      <w:hyperlink r:id="rId18" w:history="1">
        <w:r w:rsidR="00431B17" w:rsidRPr="007B69F7">
          <w:rPr>
            <w:rStyle w:val="Hyperlink"/>
            <w:rFonts w:ascii="Arial Narrow" w:hAnsi="Arial Narrow" w:cs="Times New Roman"/>
            <w:sz w:val="24"/>
            <w:szCs w:val="24"/>
            <w:lang w:eastAsia="en-GB"/>
          </w:rPr>
          <w:t>Σ</w:t>
        </w:r>
        <w:r w:rsidR="00670BBB" w:rsidRPr="007B69F7">
          <w:rPr>
            <w:rStyle w:val="Hyperlink"/>
            <w:rFonts w:ascii="Arial Narrow" w:hAnsi="Arial Narrow" w:cs="Times New Roman"/>
            <w:sz w:val="24"/>
            <w:szCs w:val="24"/>
            <w:lang w:eastAsia="en-GB"/>
          </w:rPr>
          <w:t>χ</w:t>
        </w:r>
        <w:r w:rsidR="00431B17" w:rsidRPr="007B69F7">
          <w:rPr>
            <w:rStyle w:val="Hyperlink"/>
            <w:rFonts w:ascii="Arial Narrow" w:hAnsi="Arial Narrow" w:cs="Times New Roman"/>
            <w:sz w:val="24"/>
            <w:szCs w:val="24"/>
            <w:lang w:eastAsia="en-GB"/>
          </w:rPr>
          <w:t>εδίου</w:t>
        </w:r>
        <w:r w:rsidR="00670BBB" w:rsidRPr="007B69F7">
          <w:rPr>
            <w:rStyle w:val="Hyperlink"/>
            <w:rFonts w:ascii="Arial Narrow" w:hAnsi="Arial Narrow" w:cs="Times New Roman"/>
            <w:sz w:val="24"/>
            <w:szCs w:val="24"/>
            <w:lang w:eastAsia="en-GB"/>
          </w:rPr>
          <w:t xml:space="preserve"> “</w:t>
        </w:r>
        <w:r w:rsidR="00670BBB" w:rsidRPr="007B69F7">
          <w:rPr>
            <w:rStyle w:val="Hyperlink"/>
            <w:rFonts w:ascii="Arial Narrow" w:hAnsi="Arial Narrow" w:cs="Times New Roman"/>
            <w:b/>
            <w:bCs/>
            <w:sz w:val="24"/>
            <w:szCs w:val="24"/>
            <w:lang w:val="en-US" w:eastAsia="en-GB"/>
          </w:rPr>
          <w:t>Nafis</w:t>
        </w:r>
      </w:hyperlink>
      <w:r w:rsidR="00670BBB" w:rsidRPr="007B69F7">
        <w:rPr>
          <w:rFonts w:ascii="Arial Narrow" w:hAnsi="Arial Narrow" w:cs="Times New Roman"/>
          <w:sz w:val="24"/>
          <w:szCs w:val="24"/>
          <w:lang w:eastAsia="en-GB"/>
        </w:rPr>
        <w:t>”</w:t>
      </w:r>
      <w:r w:rsidR="005E5F82" w:rsidRPr="007B69F7">
        <w:rPr>
          <w:rStyle w:val="FootnoteReference"/>
          <w:rFonts w:ascii="Arial Narrow" w:hAnsi="Arial Narrow" w:cs="Times New Roman"/>
          <w:sz w:val="24"/>
          <w:szCs w:val="24"/>
          <w:lang w:eastAsia="en-GB"/>
        </w:rPr>
        <w:footnoteReference w:id="5"/>
      </w:r>
      <w:r w:rsidR="003338E4" w:rsidRPr="007B69F7">
        <w:rPr>
          <w:rFonts w:ascii="Arial Narrow" w:hAnsi="Arial Narrow" w:cs="Times New Roman"/>
          <w:sz w:val="24"/>
          <w:szCs w:val="24"/>
          <w:lang w:eastAsia="en-GB"/>
        </w:rPr>
        <w:t xml:space="preserve"> το</w:t>
      </w:r>
      <w:r w:rsidR="00A9145E" w:rsidRPr="007B69F7">
        <w:rPr>
          <w:rFonts w:ascii="Arial Narrow" w:hAnsi="Arial Narrow" w:cs="Times New Roman"/>
          <w:sz w:val="24"/>
          <w:szCs w:val="24"/>
          <w:lang w:eastAsia="en-GB"/>
        </w:rPr>
        <w:t>ν</w:t>
      </w:r>
      <w:r w:rsidR="003338E4" w:rsidRPr="007B69F7">
        <w:rPr>
          <w:rFonts w:ascii="Arial Narrow" w:hAnsi="Arial Narrow" w:cs="Times New Roman"/>
          <w:sz w:val="24"/>
          <w:szCs w:val="24"/>
          <w:lang w:eastAsia="en-GB"/>
        </w:rPr>
        <w:t xml:space="preserve"> Σεπτέμβριο 2021</w:t>
      </w:r>
      <w:r w:rsidR="00670BBB" w:rsidRPr="007B69F7">
        <w:rPr>
          <w:rFonts w:ascii="Arial Narrow" w:hAnsi="Arial Narrow" w:cs="Times New Roman"/>
          <w:sz w:val="24"/>
          <w:szCs w:val="24"/>
          <w:lang w:eastAsia="en-GB"/>
        </w:rPr>
        <w:t xml:space="preserve">, προϋπολογισμού 24 </w:t>
      </w:r>
      <w:r w:rsidR="00133844" w:rsidRPr="007B69F7">
        <w:rPr>
          <w:rFonts w:ascii="Arial Narrow" w:hAnsi="Arial Narrow" w:cs="Times New Roman"/>
          <w:sz w:val="24"/>
          <w:szCs w:val="24"/>
          <w:lang w:eastAsia="en-GB"/>
        </w:rPr>
        <w:t xml:space="preserve">δισεκ. </w:t>
      </w:r>
      <w:r w:rsidR="00670BBB" w:rsidRPr="007B69F7">
        <w:rPr>
          <w:rFonts w:ascii="Arial Narrow" w:hAnsi="Arial Narrow" w:cs="Times New Roman"/>
          <w:sz w:val="24"/>
          <w:szCs w:val="24"/>
          <w:lang w:eastAsia="en-GB"/>
        </w:rPr>
        <w:t xml:space="preserve"> </w:t>
      </w:r>
      <w:r w:rsidR="00BE18A5" w:rsidRPr="007B69F7">
        <w:rPr>
          <w:rFonts w:ascii="Arial Narrow" w:hAnsi="Arial Narrow" w:cs="Times New Roman"/>
          <w:sz w:val="24"/>
          <w:szCs w:val="24"/>
          <w:lang w:eastAsia="en-GB"/>
        </w:rPr>
        <w:t>Ντίρχαμ</w:t>
      </w:r>
      <w:r w:rsidR="00670BBB" w:rsidRPr="007B69F7">
        <w:rPr>
          <w:rFonts w:ascii="Arial Narrow" w:hAnsi="Arial Narrow" w:cs="Times New Roman"/>
          <w:sz w:val="24"/>
          <w:szCs w:val="24"/>
          <w:lang w:eastAsia="en-GB"/>
        </w:rPr>
        <w:t xml:space="preserve"> ($6,5 </w:t>
      </w:r>
      <w:r w:rsidR="00133844" w:rsidRPr="007B69F7">
        <w:rPr>
          <w:rFonts w:ascii="Arial Narrow" w:hAnsi="Arial Narrow" w:cs="Times New Roman"/>
          <w:sz w:val="24"/>
          <w:szCs w:val="24"/>
          <w:lang w:eastAsia="en-GB"/>
        </w:rPr>
        <w:t xml:space="preserve">δισεκ. </w:t>
      </w:r>
      <w:r w:rsidR="00670BBB" w:rsidRPr="007B69F7">
        <w:rPr>
          <w:rFonts w:ascii="Arial Narrow" w:hAnsi="Arial Narrow" w:cs="Times New Roman"/>
          <w:sz w:val="24"/>
          <w:szCs w:val="24"/>
          <w:lang w:eastAsia="en-GB"/>
        </w:rPr>
        <w:t>) για την ενίσχυση της απασχόλησης των εμιρατινών υπηκόων στον ιδιωτικό τομέα, αυξάνοντας τον αριθμό τους σε 75.000, καθώς η πλειονότητα αυτών εργάζεται στο δημόσιο τομέα</w:t>
      </w:r>
      <w:r w:rsidR="00125B2F" w:rsidRPr="007B69F7">
        <w:rPr>
          <w:rFonts w:ascii="Arial Narrow" w:hAnsi="Arial Narrow" w:cs="Times New Roman"/>
          <w:sz w:val="24"/>
          <w:szCs w:val="24"/>
          <w:lang w:eastAsia="en-GB"/>
        </w:rPr>
        <w:t>. Το εν λόγω Σχέδιο προβλέπει δράσεις,</w:t>
      </w:r>
      <w:r w:rsidR="003E6AB0" w:rsidRPr="007B69F7">
        <w:rPr>
          <w:rFonts w:ascii="Arial Narrow" w:hAnsi="Arial Narrow" w:cs="Times New Roman"/>
          <w:sz w:val="24"/>
          <w:szCs w:val="24"/>
          <w:lang w:eastAsia="en-GB"/>
        </w:rPr>
        <w:t xml:space="preserve"> </w:t>
      </w:r>
      <w:r w:rsidR="00670BBB" w:rsidRPr="007B69F7">
        <w:rPr>
          <w:rFonts w:ascii="Arial Narrow" w:hAnsi="Arial Narrow" w:cs="Times New Roman"/>
          <w:sz w:val="24"/>
          <w:szCs w:val="24"/>
          <w:lang w:eastAsia="en-GB"/>
        </w:rPr>
        <w:t xml:space="preserve">όπως επιχορηγήσεις σε σπουδαστές και αποφοίτους πανεπιστημιακών σχολών, χρηματικά κίνητρα σε πτυχιούχους κ.λπ. </w:t>
      </w:r>
      <w:r w:rsidR="001772B0" w:rsidRPr="007B69F7">
        <w:rPr>
          <w:rFonts w:ascii="Arial Narrow" w:hAnsi="Arial Narrow" w:cs="Times New Roman"/>
          <w:sz w:val="24"/>
          <w:szCs w:val="24"/>
          <w:lang w:eastAsia="en-GB"/>
        </w:rPr>
        <w:t>Βάσει του εν λόγω Σχεδίου</w:t>
      </w:r>
      <w:r w:rsidR="002256AA" w:rsidRPr="007B69F7">
        <w:rPr>
          <w:rFonts w:ascii="Arial Narrow" w:hAnsi="Arial Narrow" w:cs="Times New Roman"/>
          <w:sz w:val="24"/>
          <w:szCs w:val="24"/>
          <w:lang w:eastAsia="en-GB"/>
        </w:rPr>
        <w:t>,</w:t>
      </w:r>
      <w:r w:rsidR="001772B0" w:rsidRPr="007B69F7">
        <w:rPr>
          <w:rFonts w:ascii="Arial Narrow" w:hAnsi="Arial Narrow" w:cs="Times New Roman"/>
          <w:sz w:val="24"/>
          <w:szCs w:val="24"/>
          <w:lang w:eastAsia="en-GB"/>
        </w:rPr>
        <w:t xml:space="preserve"> τέθηκαν</w:t>
      </w:r>
      <w:r w:rsidR="002256AA" w:rsidRPr="007B69F7">
        <w:rPr>
          <w:rFonts w:ascii="Arial Narrow" w:hAnsi="Arial Narrow" w:cs="Times New Roman"/>
          <w:sz w:val="24"/>
          <w:szCs w:val="24"/>
          <w:lang w:eastAsia="en-GB"/>
        </w:rPr>
        <w:t>,</w:t>
      </w:r>
      <w:r w:rsidR="001772B0" w:rsidRPr="007B69F7">
        <w:rPr>
          <w:rFonts w:ascii="Arial Narrow" w:hAnsi="Arial Narrow" w:cs="Times New Roman"/>
          <w:sz w:val="24"/>
          <w:szCs w:val="24"/>
          <w:lang w:eastAsia="en-GB"/>
        </w:rPr>
        <w:t xml:space="preserve"> επίσης</w:t>
      </w:r>
      <w:r w:rsidR="002256AA" w:rsidRPr="007B69F7">
        <w:rPr>
          <w:rFonts w:ascii="Arial Narrow" w:hAnsi="Arial Narrow" w:cs="Times New Roman"/>
          <w:sz w:val="24"/>
          <w:szCs w:val="24"/>
          <w:lang w:eastAsia="en-GB"/>
        </w:rPr>
        <w:t>,</w:t>
      </w:r>
      <w:r w:rsidR="001772B0" w:rsidRPr="007B69F7">
        <w:rPr>
          <w:rFonts w:ascii="Arial Narrow" w:hAnsi="Arial Narrow" w:cs="Times New Roman"/>
          <w:sz w:val="24"/>
          <w:szCs w:val="24"/>
          <w:lang w:eastAsia="en-GB"/>
        </w:rPr>
        <w:t xml:space="preserve"> ετήσιοι στόχοι</w:t>
      </w:r>
      <w:r w:rsidR="00FB32A6" w:rsidRPr="007B69F7">
        <w:rPr>
          <w:rFonts w:ascii="Arial Narrow" w:hAnsi="Arial Narrow" w:cs="Times New Roman"/>
          <w:sz w:val="24"/>
          <w:szCs w:val="24"/>
          <w:lang w:eastAsia="en-GB"/>
        </w:rPr>
        <w:t xml:space="preserve"> </w:t>
      </w:r>
      <w:r w:rsidR="00670BBB" w:rsidRPr="007B69F7">
        <w:rPr>
          <w:rFonts w:ascii="Arial Narrow" w:hAnsi="Arial Narrow" w:cs="Times New Roman"/>
          <w:sz w:val="24"/>
          <w:szCs w:val="24"/>
          <w:lang w:eastAsia="en-GB"/>
        </w:rPr>
        <w:t>αύξησης του εμιρατινού εργατικού δυναμικού στις επιχειρήσεις κατά 2%</w:t>
      </w:r>
      <w:r w:rsidR="008B6AED" w:rsidRPr="007B69F7">
        <w:rPr>
          <w:rFonts w:ascii="Arial Narrow" w:hAnsi="Arial Narrow" w:cs="Times New Roman"/>
          <w:sz w:val="24"/>
          <w:szCs w:val="24"/>
          <w:lang w:eastAsia="en-GB"/>
        </w:rPr>
        <w:t xml:space="preserve">, </w:t>
      </w:r>
      <w:r w:rsidR="001772B0" w:rsidRPr="007B69F7">
        <w:rPr>
          <w:rFonts w:ascii="Arial Narrow" w:hAnsi="Arial Narrow" w:cs="Times New Roman"/>
          <w:sz w:val="24"/>
          <w:szCs w:val="24"/>
          <w:lang w:eastAsia="en-GB"/>
        </w:rPr>
        <w:t xml:space="preserve">προκειμένου </w:t>
      </w:r>
      <w:r w:rsidR="00670BBB" w:rsidRPr="007B69F7">
        <w:rPr>
          <w:rFonts w:ascii="Arial Narrow" w:hAnsi="Arial Narrow" w:cs="Times New Roman"/>
          <w:sz w:val="24"/>
          <w:szCs w:val="24"/>
          <w:lang w:eastAsia="en-GB"/>
        </w:rPr>
        <w:t xml:space="preserve"> το ποσοστό αυτό να </w:t>
      </w:r>
      <w:r w:rsidR="001772B0" w:rsidRPr="007B69F7">
        <w:rPr>
          <w:rFonts w:ascii="Arial Narrow" w:hAnsi="Arial Narrow" w:cs="Times New Roman"/>
          <w:sz w:val="24"/>
          <w:szCs w:val="24"/>
          <w:lang w:eastAsia="en-GB"/>
        </w:rPr>
        <w:t>ανέλθει</w:t>
      </w:r>
      <w:r w:rsidR="003E6AB0" w:rsidRPr="007B69F7">
        <w:rPr>
          <w:rFonts w:ascii="Arial Narrow" w:hAnsi="Arial Narrow" w:cs="Times New Roman"/>
          <w:sz w:val="24"/>
          <w:szCs w:val="24"/>
          <w:lang w:eastAsia="en-GB"/>
        </w:rPr>
        <w:t xml:space="preserve"> </w:t>
      </w:r>
      <w:r w:rsidR="001772B0" w:rsidRPr="007B69F7">
        <w:rPr>
          <w:rFonts w:ascii="Arial Narrow" w:hAnsi="Arial Narrow" w:cs="Times New Roman"/>
          <w:sz w:val="24"/>
          <w:szCs w:val="24"/>
          <w:lang w:eastAsia="en-GB"/>
        </w:rPr>
        <w:t>σ</w:t>
      </w:r>
      <w:r w:rsidR="00670BBB" w:rsidRPr="007B69F7">
        <w:rPr>
          <w:rFonts w:ascii="Arial Narrow" w:hAnsi="Arial Narrow" w:cs="Times New Roman"/>
          <w:sz w:val="24"/>
          <w:szCs w:val="24"/>
          <w:lang w:eastAsia="en-GB"/>
        </w:rPr>
        <w:t>το 10%</w:t>
      </w:r>
      <w:r w:rsidR="008B6AED" w:rsidRPr="007B69F7">
        <w:rPr>
          <w:rFonts w:ascii="Arial Narrow" w:hAnsi="Arial Narrow" w:cs="Times New Roman"/>
          <w:sz w:val="24"/>
          <w:szCs w:val="24"/>
          <w:lang w:eastAsia="en-GB"/>
        </w:rPr>
        <w:t xml:space="preserve"> μέχρι το 2026.</w:t>
      </w:r>
      <w:r w:rsidR="00FD16F2" w:rsidRPr="007B69F7">
        <w:rPr>
          <w:rFonts w:ascii="Arial Narrow" w:hAnsi="Arial Narrow" w:cs="Times New Roman"/>
          <w:sz w:val="24"/>
          <w:szCs w:val="24"/>
          <w:lang w:eastAsia="en-GB"/>
        </w:rPr>
        <w:t xml:space="preserve"> Σημειώνεται ότι τον Ιανουάριο 2024, υιοθετήθηκε η επέκταση του πεδίου εφαρμογής των εταιρειών που υπόκεινται στους στόχους της εμιρατοποίησης. Ειδικότερα, οι εταιρείες με ανθρώπινο δυναμικό 20-49 υπαλλήλων, υποχρεούνται να προσλάβουν τουλάχιστον 1 εμιρατινό πολίτη μέχρι τα τέλη του 2024 και άλλον έναν μέχρι τα τέλη του 2025.</w:t>
      </w:r>
    </w:p>
    <w:p w14:paraId="606C19AC" w14:textId="6B38F7CD" w:rsidR="00D34A64" w:rsidRPr="007B69F7" w:rsidRDefault="009B2DC7" w:rsidP="00571EF8">
      <w:pPr>
        <w:spacing w:after="120"/>
        <w:ind w:firstLine="567"/>
        <w:jc w:val="both"/>
        <w:rPr>
          <w:rFonts w:ascii="Arial Narrow" w:hAnsi="Arial Narrow" w:cs="Times New Roman"/>
          <w:sz w:val="24"/>
          <w:szCs w:val="24"/>
          <w:lang w:eastAsia="en-GB"/>
        </w:rPr>
      </w:pPr>
      <w:r w:rsidRPr="007B69F7">
        <w:rPr>
          <w:rFonts w:ascii="Arial Narrow" w:hAnsi="Arial Narrow" w:cs="Times New Roman"/>
          <w:sz w:val="24"/>
          <w:szCs w:val="24"/>
          <w:lang w:eastAsia="en-GB"/>
        </w:rPr>
        <w:t>-</w:t>
      </w:r>
      <w:r w:rsidR="008E1874" w:rsidRPr="007B69F7">
        <w:rPr>
          <w:rFonts w:ascii="Arial Narrow" w:hAnsi="Arial Narrow" w:cs="Times New Roman"/>
          <w:sz w:val="24"/>
          <w:szCs w:val="24"/>
          <w:lang w:eastAsia="en-GB"/>
        </w:rPr>
        <w:t>Υλοποίηση</w:t>
      </w:r>
      <w:r w:rsidRPr="007B69F7">
        <w:rPr>
          <w:rFonts w:ascii="Arial Narrow" w:hAnsi="Arial Narrow" w:cs="Times New Roman"/>
          <w:sz w:val="24"/>
          <w:szCs w:val="24"/>
          <w:lang w:eastAsia="en-GB"/>
        </w:rPr>
        <w:t xml:space="preserve"> </w:t>
      </w:r>
      <w:hyperlink r:id="rId19" w:history="1">
        <w:r w:rsidR="008E1874" w:rsidRPr="007B69F7">
          <w:rPr>
            <w:rStyle w:val="Hyperlink"/>
            <w:rFonts w:ascii="Arial Narrow" w:hAnsi="Arial Narrow" w:cs="Times New Roman"/>
            <w:b/>
            <w:sz w:val="24"/>
            <w:szCs w:val="24"/>
            <w:lang w:eastAsia="en-GB"/>
          </w:rPr>
          <w:t xml:space="preserve">Διαστημικού </w:t>
        </w:r>
        <w:r w:rsidRPr="007B69F7">
          <w:rPr>
            <w:rStyle w:val="Hyperlink"/>
            <w:rFonts w:ascii="Arial Narrow" w:hAnsi="Arial Narrow" w:cs="Times New Roman"/>
            <w:b/>
            <w:sz w:val="24"/>
            <w:szCs w:val="24"/>
            <w:lang w:eastAsia="en-GB"/>
          </w:rPr>
          <w:t>Προγράμματος</w:t>
        </w:r>
      </w:hyperlink>
      <w:r w:rsidRPr="007B69F7">
        <w:rPr>
          <w:rFonts w:ascii="Arial Narrow" w:hAnsi="Arial Narrow" w:cs="Times New Roman"/>
          <w:sz w:val="24"/>
          <w:szCs w:val="24"/>
          <w:lang w:eastAsia="en-GB"/>
        </w:rPr>
        <w:t xml:space="preserve"> </w:t>
      </w:r>
      <w:r w:rsidR="00707A4B" w:rsidRPr="007B69F7">
        <w:rPr>
          <w:rFonts w:ascii="Arial Narrow" w:hAnsi="Arial Narrow" w:cs="Times New Roman"/>
          <w:sz w:val="24"/>
          <w:szCs w:val="24"/>
          <w:lang w:eastAsia="en-GB"/>
        </w:rPr>
        <w:t xml:space="preserve">με </w:t>
      </w:r>
      <w:r w:rsidR="00BD209C" w:rsidRPr="007B69F7">
        <w:rPr>
          <w:rFonts w:ascii="Arial Narrow" w:hAnsi="Arial Narrow" w:cs="Times New Roman"/>
          <w:sz w:val="24"/>
          <w:szCs w:val="24"/>
          <w:lang w:eastAsia="en-GB"/>
        </w:rPr>
        <w:t xml:space="preserve">ίδρυση </w:t>
      </w:r>
      <w:r w:rsidR="00571EF8" w:rsidRPr="007B69F7">
        <w:rPr>
          <w:rFonts w:ascii="Arial Narrow" w:hAnsi="Arial Narrow" w:cs="Times New Roman"/>
          <w:sz w:val="24"/>
          <w:szCs w:val="24"/>
          <w:lang w:eastAsia="en-GB"/>
        </w:rPr>
        <w:t>Τ</w:t>
      </w:r>
      <w:r w:rsidR="00BD209C" w:rsidRPr="007B69F7">
        <w:rPr>
          <w:rFonts w:ascii="Arial Narrow" w:hAnsi="Arial Narrow" w:cs="Times New Roman"/>
          <w:sz w:val="24"/>
          <w:szCs w:val="24"/>
          <w:lang w:eastAsia="en-GB"/>
        </w:rPr>
        <w:t xml:space="preserve">αμείου 3 </w:t>
      </w:r>
      <w:r w:rsidR="00133844" w:rsidRPr="007B69F7">
        <w:rPr>
          <w:rFonts w:ascii="Arial Narrow" w:hAnsi="Arial Narrow" w:cs="Times New Roman"/>
          <w:sz w:val="24"/>
          <w:szCs w:val="24"/>
          <w:lang w:eastAsia="en-GB"/>
        </w:rPr>
        <w:t xml:space="preserve">δισεκ. </w:t>
      </w:r>
      <w:r w:rsidR="00BD209C" w:rsidRPr="007B69F7">
        <w:rPr>
          <w:rFonts w:ascii="Arial Narrow" w:hAnsi="Arial Narrow" w:cs="Times New Roman"/>
          <w:sz w:val="24"/>
          <w:szCs w:val="24"/>
          <w:lang w:eastAsia="en-GB"/>
        </w:rPr>
        <w:t xml:space="preserve"> </w:t>
      </w:r>
      <w:r w:rsidR="00BE18A5" w:rsidRPr="007B69F7">
        <w:rPr>
          <w:rFonts w:ascii="Arial Narrow" w:hAnsi="Arial Narrow" w:cs="Times New Roman"/>
          <w:sz w:val="24"/>
          <w:szCs w:val="24"/>
          <w:lang w:eastAsia="en-GB"/>
        </w:rPr>
        <w:t>Ντίρχαμ</w:t>
      </w:r>
      <w:r w:rsidR="00CB20D3" w:rsidRPr="007B69F7">
        <w:rPr>
          <w:rFonts w:ascii="Arial Narrow" w:hAnsi="Arial Narrow" w:cs="Times New Roman"/>
          <w:sz w:val="24"/>
          <w:szCs w:val="24"/>
          <w:lang w:eastAsia="en-GB"/>
        </w:rPr>
        <w:t xml:space="preserve"> (Ιούλιος 2022),</w:t>
      </w:r>
      <w:r w:rsidR="00BD209C" w:rsidRPr="007B69F7">
        <w:rPr>
          <w:rFonts w:ascii="Arial Narrow" w:hAnsi="Arial Narrow" w:cs="Times New Roman"/>
          <w:sz w:val="24"/>
          <w:szCs w:val="24"/>
          <w:lang w:eastAsia="en-GB"/>
        </w:rPr>
        <w:t xml:space="preserve"> </w:t>
      </w:r>
      <w:r w:rsidR="00F44316" w:rsidRPr="007B69F7">
        <w:rPr>
          <w:rFonts w:ascii="Arial Narrow" w:hAnsi="Arial Narrow" w:cs="Times New Roman"/>
          <w:sz w:val="24"/>
          <w:szCs w:val="24"/>
          <w:lang w:eastAsia="en-GB"/>
        </w:rPr>
        <w:t>έχοντας ως</w:t>
      </w:r>
      <w:r w:rsidR="00BD209C" w:rsidRPr="007B69F7">
        <w:rPr>
          <w:rFonts w:ascii="Arial Narrow" w:hAnsi="Arial Narrow" w:cs="Times New Roman"/>
          <w:sz w:val="24"/>
          <w:szCs w:val="24"/>
          <w:lang w:eastAsia="en-GB"/>
        </w:rPr>
        <w:t xml:space="preserve"> πρώτο έργο την αποστολή δορυφόρων για τηλεσκόπηση, με </w:t>
      </w:r>
      <w:r w:rsidR="008E1874" w:rsidRPr="007B69F7">
        <w:rPr>
          <w:rFonts w:ascii="Arial Narrow" w:hAnsi="Arial Narrow" w:cs="Times New Roman"/>
          <w:bCs/>
          <w:sz w:val="24"/>
          <w:szCs w:val="24"/>
          <w:lang w:eastAsia="en-GB"/>
        </w:rPr>
        <w:t>δ</w:t>
      </w:r>
      <w:r w:rsidRPr="007B69F7">
        <w:rPr>
          <w:rFonts w:ascii="Arial Narrow" w:hAnsi="Arial Narrow" w:cs="Times New Roman"/>
          <w:bCs/>
          <w:sz w:val="24"/>
          <w:szCs w:val="24"/>
          <w:lang w:eastAsia="en-GB"/>
        </w:rPr>
        <w:t>ιαστημική</w:t>
      </w:r>
      <w:r w:rsidR="00BD209C" w:rsidRPr="007B69F7">
        <w:rPr>
          <w:rFonts w:ascii="Arial Narrow" w:hAnsi="Arial Narrow" w:cs="Times New Roman"/>
          <w:bCs/>
          <w:sz w:val="24"/>
          <w:szCs w:val="24"/>
          <w:lang w:eastAsia="en-GB"/>
        </w:rPr>
        <w:t xml:space="preserve"> </w:t>
      </w:r>
      <w:r w:rsidR="00707A4B" w:rsidRPr="007B69F7">
        <w:rPr>
          <w:rFonts w:ascii="Arial Narrow" w:hAnsi="Arial Narrow" w:cs="Times New Roman"/>
          <w:bCs/>
          <w:sz w:val="24"/>
          <w:szCs w:val="24"/>
          <w:lang w:eastAsia="en-GB"/>
        </w:rPr>
        <w:t>α</w:t>
      </w:r>
      <w:r w:rsidRPr="007B69F7">
        <w:rPr>
          <w:rFonts w:ascii="Arial Narrow" w:hAnsi="Arial Narrow" w:cs="Times New Roman"/>
          <w:bCs/>
          <w:sz w:val="24"/>
          <w:szCs w:val="24"/>
          <w:lang w:eastAsia="en-GB"/>
        </w:rPr>
        <w:t>ποστολή</w:t>
      </w:r>
      <w:r w:rsidRPr="007B69F7">
        <w:rPr>
          <w:rFonts w:ascii="Arial Narrow" w:hAnsi="Arial Narrow" w:cs="Times New Roman"/>
          <w:sz w:val="24"/>
          <w:szCs w:val="24"/>
          <w:lang w:eastAsia="en-GB"/>
        </w:rPr>
        <w:t xml:space="preserve"> στον Πλανήτη Άρη</w:t>
      </w:r>
      <w:r w:rsidR="00BD209C" w:rsidRPr="007B69F7">
        <w:rPr>
          <w:rFonts w:ascii="Arial Narrow" w:hAnsi="Arial Narrow" w:cs="Times New Roman"/>
          <w:sz w:val="24"/>
          <w:szCs w:val="24"/>
          <w:lang w:eastAsia="en-GB"/>
        </w:rPr>
        <w:t xml:space="preserve"> (Φεβρουάριος 2021)</w:t>
      </w:r>
      <w:r w:rsidR="00571EF8" w:rsidRPr="007B69F7">
        <w:rPr>
          <w:rFonts w:ascii="Arial Narrow" w:hAnsi="Arial Narrow" w:cs="Times New Roman"/>
          <w:sz w:val="24"/>
          <w:szCs w:val="24"/>
          <w:lang w:eastAsia="en-GB"/>
        </w:rPr>
        <w:t>, με ανεπιτυχή επανδρωμένη αποστολή στη Σελήνη (Δεκέμβριος 2022), καθώς και</w:t>
      </w:r>
      <w:r w:rsidR="00214ACB" w:rsidRPr="007B69F7">
        <w:rPr>
          <w:rFonts w:ascii="Arial Narrow" w:hAnsi="Arial Narrow" w:cs="Times New Roman"/>
          <w:sz w:val="24"/>
          <w:szCs w:val="24"/>
          <w:lang w:eastAsia="en-GB"/>
        </w:rPr>
        <w:t xml:space="preserve"> με </w:t>
      </w:r>
      <w:r w:rsidR="00D34A64" w:rsidRPr="007B69F7">
        <w:rPr>
          <w:rFonts w:ascii="Arial Narrow" w:hAnsi="Arial Narrow" w:cs="Times New Roman"/>
          <w:sz w:val="24"/>
          <w:szCs w:val="24"/>
          <w:lang w:eastAsia="en-AE"/>
        </w:rPr>
        <w:t>έναρξη προετοιμασίας αποστολή</w:t>
      </w:r>
      <w:r w:rsidR="00214ACB" w:rsidRPr="007B69F7">
        <w:rPr>
          <w:rFonts w:ascii="Arial Narrow" w:hAnsi="Arial Narrow" w:cs="Times New Roman"/>
          <w:sz w:val="24"/>
          <w:szCs w:val="24"/>
          <w:lang w:eastAsia="en-AE"/>
        </w:rPr>
        <w:t xml:space="preserve">ς </w:t>
      </w:r>
      <w:r w:rsidR="00D34A64" w:rsidRPr="007B69F7">
        <w:rPr>
          <w:rFonts w:ascii="Arial Narrow" w:hAnsi="Arial Narrow" w:cs="Times New Roman"/>
          <w:sz w:val="24"/>
          <w:szCs w:val="24"/>
          <w:lang w:eastAsia="en-AE"/>
        </w:rPr>
        <w:t>με προορισμό τον πλανήτη Αφροδίτη για το 2028</w:t>
      </w:r>
      <w:r w:rsidR="00214ACB" w:rsidRPr="007B69F7">
        <w:rPr>
          <w:rFonts w:ascii="Arial Narrow" w:hAnsi="Arial Narrow" w:cs="Times New Roman"/>
          <w:sz w:val="24"/>
          <w:szCs w:val="24"/>
          <w:lang w:eastAsia="en-AE"/>
        </w:rPr>
        <w:t>.</w:t>
      </w:r>
    </w:p>
    <w:p w14:paraId="4CF311CC" w14:textId="69EB2EEA" w:rsidR="00F24FCE" w:rsidRPr="007B69F7" w:rsidRDefault="00F24FCE" w:rsidP="00567BCF">
      <w:pPr>
        <w:spacing w:after="120"/>
        <w:ind w:firstLine="567"/>
        <w:jc w:val="both"/>
        <w:rPr>
          <w:rFonts w:ascii="Arial Narrow" w:hAnsi="Arial Narrow" w:cs="Times New Roman"/>
          <w:sz w:val="24"/>
          <w:szCs w:val="24"/>
          <w:lang w:eastAsia="en-GB"/>
        </w:rPr>
      </w:pPr>
      <w:r w:rsidRPr="007B69F7">
        <w:rPr>
          <w:rFonts w:ascii="Arial Narrow" w:hAnsi="Arial Narrow" w:cs="Times New Roman"/>
          <w:sz w:val="24"/>
          <w:szCs w:val="24"/>
          <w:lang w:eastAsia="en-GB"/>
        </w:rPr>
        <w:t xml:space="preserve">-Παροχή περισσότερο </w:t>
      </w:r>
      <w:r w:rsidRPr="007B69F7">
        <w:rPr>
          <w:rFonts w:ascii="Arial Narrow" w:hAnsi="Arial Narrow" w:cs="Times New Roman"/>
          <w:b/>
          <w:bCs/>
          <w:sz w:val="24"/>
          <w:szCs w:val="24"/>
          <w:lang w:eastAsia="en-GB"/>
        </w:rPr>
        <w:t>φιλελεύθερων συνθηκών διαβίωσης</w:t>
      </w:r>
      <w:r w:rsidR="0096675E" w:rsidRPr="007B69F7">
        <w:rPr>
          <w:rFonts w:ascii="Arial Narrow" w:hAnsi="Arial Narrow" w:cs="Times New Roman"/>
          <w:sz w:val="24"/>
          <w:szCs w:val="24"/>
          <w:lang w:eastAsia="en-GB"/>
        </w:rPr>
        <w:t xml:space="preserve"> (διευκολύνσεις στη </w:t>
      </w:r>
      <w:hyperlink r:id="rId20" w:history="1">
        <w:r w:rsidR="0096675E" w:rsidRPr="007B69F7">
          <w:rPr>
            <w:rStyle w:val="Hyperlink"/>
            <w:rFonts w:ascii="Arial Narrow" w:hAnsi="Arial Narrow" w:cs="Times New Roman"/>
            <w:sz w:val="24"/>
            <w:szCs w:val="24"/>
            <w:lang w:eastAsia="en-GB"/>
          </w:rPr>
          <w:t>χορήγηση θεωρήσεων</w:t>
        </w:r>
      </w:hyperlink>
      <w:r w:rsidR="0096675E" w:rsidRPr="007B69F7">
        <w:rPr>
          <w:rFonts w:ascii="Arial Narrow" w:hAnsi="Arial Narrow" w:cs="Times New Roman"/>
          <w:sz w:val="24"/>
          <w:szCs w:val="24"/>
          <w:lang w:eastAsia="en-GB"/>
        </w:rPr>
        <w:t xml:space="preserve"> για παραμονή στη χώρα, κοινωνική φιλελευθεροποίηση)</w:t>
      </w:r>
      <w:r w:rsidR="00DA4A52" w:rsidRPr="007B69F7">
        <w:rPr>
          <w:rFonts w:ascii="Arial Narrow" w:hAnsi="Arial Narrow" w:cs="Times New Roman"/>
          <w:sz w:val="24"/>
          <w:szCs w:val="24"/>
          <w:lang w:eastAsia="en-GB"/>
        </w:rPr>
        <w:t>.</w:t>
      </w:r>
    </w:p>
    <w:p w14:paraId="2C6EF72D" w14:textId="7CC66C42" w:rsidR="00D60958" w:rsidRPr="007B69F7" w:rsidRDefault="0096675E" w:rsidP="00567BCF">
      <w:pPr>
        <w:spacing w:after="120"/>
        <w:ind w:firstLine="567"/>
        <w:jc w:val="both"/>
        <w:rPr>
          <w:rFonts w:ascii="Arial Narrow" w:hAnsi="Arial Narrow" w:cs="Times New Roman"/>
          <w:sz w:val="24"/>
          <w:szCs w:val="24"/>
          <w:lang w:eastAsia="en-GB"/>
        </w:rPr>
      </w:pPr>
      <w:r w:rsidRPr="007B69F7">
        <w:rPr>
          <w:rFonts w:ascii="Arial Narrow" w:hAnsi="Arial Narrow" w:cs="Times New Roman"/>
          <w:sz w:val="24"/>
          <w:szCs w:val="24"/>
          <w:lang w:eastAsia="en-GB"/>
        </w:rPr>
        <w:t>Αξίζει</w:t>
      </w:r>
      <w:r w:rsidR="00BD3C64" w:rsidRPr="007B69F7">
        <w:rPr>
          <w:rFonts w:ascii="Arial Narrow" w:hAnsi="Arial Narrow" w:cs="Times New Roman"/>
          <w:sz w:val="24"/>
          <w:szCs w:val="24"/>
          <w:lang w:eastAsia="en-GB"/>
        </w:rPr>
        <w:t xml:space="preserve"> να υπογραμμισθεί ότι </w:t>
      </w:r>
      <w:r w:rsidRPr="007B69F7">
        <w:rPr>
          <w:rFonts w:ascii="Arial Narrow" w:hAnsi="Arial Narrow" w:cs="Times New Roman"/>
          <w:sz w:val="24"/>
          <w:szCs w:val="24"/>
          <w:lang w:eastAsia="en-GB"/>
        </w:rPr>
        <w:t>σημαντικός βραχίονας άσκησης των ανωτέρω πολιτικών είναι η αξιοποίηση</w:t>
      </w:r>
      <w:r w:rsidR="004B748C" w:rsidRPr="007B69F7">
        <w:rPr>
          <w:rFonts w:ascii="Arial Narrow" w:hAnsi="Arial Narrow" w:cs="Times New Roman"/>
          <w:sz w:val="24"/>
          <w:szCs w:val="24"/>
          <w:lang w:eastAsia="en-GB"/>
        </w:rPr>
        <w:t xml:space="preserve"> </w:t>
      </w:r>
      <w:r w:rsidRPr="007B69F7">
        <w:rPr>
          <w:rFonts w:ascii="Arial Narrow" w:hAnsi="Arial Narrow" w:cs="Times New Roman"/>
          <w:sz w:val="24"/>
          <w:szCs w:val="24"/>
          <w:lang w:eastAsia="en-GB"/>
        </w:rPr>
        <w:t xml:space="preserve">των κρατικών περιουσιακών στοιχείων, η διαχείριση των οποίων </w:t>
      </w:r>
      <w:r w:rsidR="00553352" w:rsidRPr="007B69F7">
        <w:rPr>
          <w:rFonts w:ascii="Arial Narrow" w:hAnsi="Arial Narrow" w:cs="Times New Roman"/>
          <w:sz w:val="24"/>
          <w:szCs w:val="24"/>
          <w:lang w:eastAsia="en-GB"/>
        </w:rPr>
        <w:t>έχει ανατεθεί σε</w:t>
      </w:r>
      <w:r w:rsidR="001D7531" w:rsidRPr="007B69F7">
        <w:rPr>
          <w:rFonts w:ascii="Arial Narrow" w:hAnsi="Arial Narrow" w:cs="Times New Roman"/>
          <w:sz w:val="24"/>
          <w:szCs w:val="24"/>
          <w:lang w:eastAsia="en-GB"/>
        </w:rPr>
        <w:t xml:space="preserve"> </w:t>
      </w:r>
      <w:r w:rsidR="00553352" w:rsidRPr="007B69F7">
        <w:rPr>
          <w:rFonts w:ascii="Arial Narrow" w:hAnsi="Arial Narrow" w:cs="Times New Roman"/>
          <w:b/>
          <w:bCs/>
          <w:sz w:val="24"/>
          <w:szCs w:val="24"/>
          <w:lang w:eastAsia="en-GB"/>
        </w:rPr>
        <w:t>Κ</w:t>
      </w:r>
      <w:r w:rsidR="001D7531" w:rsidRPr="007B69F7">
        <w:rPr>
          <w:rFonts w:ascii="Arial Narrow" w:hAnsi="Arial Narrow" w:cs="Times New Roman"/>
          <w:b/>
          <w:bCs/>
          <w:sz w:val="24"/>
          <w:szCs w:val="24"/>
          <w:lang w:eastAsia="en-GB"/>
        </w:rPr>
        <w:t xml:space="preserve">ρατικά </w:t>
      </w:r>
      <w:r w:rsidR="00553352" w:rsidRPr="007B69F7">
        <w:rPr>
          <w:rFonts w:ascii="Arial Narrow" w:hAnsi="Arial Narrow" w:cs="Times New Roman"/>
          <w:b/>
          <w:bCs/>
          <w:sz w:val="24"/>
          <w:szCs w:val="24"/>
          <w:lang w:eastAsia="en-GB"/>
        </w:rPr>
        <w:t>Ε</w:t>
      </w:r>
      <w:r w:rsidR="001D7531" w:rsidRPr="007B69F7">
        <w:rPr>
          <w:rFonts w:ascii="Arial Narrow" w:hAnsi="Arial Narrow" w:cs="Times New Roman"/>
          <w:b/>
          <w:bCs/>
          <w:sz w:val="24"/>
          <w:szCs w:val="24"/>
          <w:lang w:eastAsia="en-GB"/>
        </w:rPr>
        <w:t>πενδυτικά Ταμεία</w:t>
      </w:r>
      <w:r w:rsidR="004B748C" w:rsidRPr="007B69F7">
        <w:rPr>
          <w:rFonts w:ascii="Arial Narrow" w:hAnsi="Arial Narrow" w:cs="Times New Roman"/>
          <w:sz w:val="24"/>
          <w:szCs w:val="24"/>
          <w:lang w:eastAsia="en-GB"/>
        </w:rPr>
        <w:t xml:space="preserve">. </w:t>
      </w:r>
      <w:r w:rsidR="00553352" w:rsidRPr="007B69F7">
        <w:rPr>
          <w:rFonts w:ascii="Arial Narrow" w:hAnsi="Arial Narrow" w:cs="Times New Roman"/>
          <w:sz w:val="24"/>
          <w:szCs w:val="24"/>
          <w:lang w:eastAsia="en-GB"/>
        </w:rPr>
        <w:t>Τα σημαντικότερα</w:t>
      </w:r>
      <w:r w:rsidR="00D60958" w:rsidRPr="007B69F7">
        <w:rPr>
          <w:rFonts w:ascii="Arial Narrow" w:hAnsi="Arial Narrow" w:cs="Times New Roman"/>
          <w:sz w:val="24"/>
          <w:szCs w:val="24"/>
          <w:lang w:eastAsia="en-GB"/>
        </w:rPr>
        <w:t xml:space="preserve"> είναι τα ακόλουθα:</w:t>
      </w:r>
    </w:p>
    <w:p w14:paraId="6BF04B55" w14:textId="79EFB952" w:rsidR="00B65DC4" w:rsidRPr="007B69F7" w:rsidRDefault="00022BD6" w:rsidP="006E5A5F">
      <w:pPr>
        <w:pStyle w:val="ListParagraph"/>
        <w:numPr>
          <w:ilvl w:val="0"/>
          <w:numId w:val="7"/>
        </w:numPr>
        <w:spacing w:after="120"/>
        <w:ind w:left="0" w:firstLine="709"/>
        <w:jc w:val="both"/>
        <w:rPr>
          <w:rFonts w:ascii="Arial Narrow" w:hAnsi="Arial Narrow" w:cs="Times New Roman"/>
          <w:sz w:val="24"/>
          <w:szCs w:val="24"/>
        </w:rPr>
      </w:pPr>
      <w:hyperlink r:id="rId21" w:history="1">
        <w:r w:rsidR="00C0555D" w:rsidRPr="007B69F7">
          <w:rPr>
            <w:rStyle w:val="Hyperlink"/>
            <w:rFonts w:ascii="Arial Narrow" w:hAnsi="Arial Narrow" w:cs="Times New Roman"/>
            <w:b/>
            <w:bCs/>
            <w:sz w:val="24"/>
            <w:szCs w:val="24"/>
            <w:lang w:val="en-US" w:eastAsia="en-GB"/>
          </w:rPr>
          <w:t>Abu</w:t>
        </w:r>
        <w:r w:rsidR="00C0555D" w:rsidRPr="007B69F7">
          <w:rPr>
            <w:rStyle w:val="Hyperlink"/>
            <w:rFonts w:ascii="Arial Narrow" w:hAnsi="Arial Narrow" w:cs="Times New Roman"/>
            <w:b/>
            <w:bCs/>
            <w:sz w:val="24"/>
            <w:szCs w:val="24"/>
            <w:lang w:eastAsia="en-GB"/>
          </w:rPr>
          <w:t xml:space="preserve"> </w:t>
        </w:r>
        <w:r w:rsidR="00C0555D" w:rsidRPr="007B69F7">
          <w:rPr>
            <w:rStyle w:val="Hyperlink"/>
            <w:rFonts w:ascii="Arial Narrow" w:hAnsi="Arial Narrow" w:cs="Times New Roman"/>
            <w:b/>
            <w:bCs/>
            <w:sz w:val="24"/>
            <w:szCs w:val="24"/>
            <w:lang w:val="en-US" w:eastAsia="en-GB"/>
          </w:rPr>
          <w:t>Dhabi</w:t>
        </w:r>
        <w:r w:rsidR="00C0555D" w:rsidRPr="007B69F7">
          <w:rPr>
            <w:rStyle w:val="Hyperlink"/>
            <w:rFonts w:ascii="Arial Narrow" w:hAnsi="Arial Narrow" w:cs="Times New Roman"/>
            <w:b/>
            <w:bCs/>
            <w:sz w:val="24"/>
            <w:szCs w:val="24"/>
            <w:lang w:eastAsia="en-GB"/>
          </w:rPr>
          <w:t xml:space="preserve"> </w:t>
        </w:r>
        <w:r w:rsidR="00C0555D" w:rsidRPr="007B69F7">
          <w:rPr>
            <w:rStyle w:val="Hyperlink"/>
            <w:rFonts w:ascii="Arial Narrow" w:hAnsi="Arial Narrow" w:cs="Times New Roman"/>
            <w:b/>
            <w:bCs/>
            <w:sz w:val="24"/>
            <w:szCs w:val="24"/>
            <w:lang w:val="en-US" w:eastAsia="en-GB"/>
          </w:rPr>
          <w:t>Investment</w:t>
        </w:r>
        <w:r w:rsidR="00C0555D" w:rsidRPr="007B69F7">
          <w:rPr>
            <w:rStyle w:val="Hyperlink"/>
            <w:rFonts w:ascii="Arial Narrow" w:hAnsi="Arial Narrow" w:cs="Times New Roman"/>
            <w:b/>
            <w:bCs/>
            <w:sz w:val="24"/>
            <w:szCs w:val="24"/>
            <w:lang w:eastAsia="en-GB"/>
          </w:rPr>
          <w:t xml:space="preserve"> </w:t>
        </w:r>
        <w:r w:rsidR="00C0555D" w:rsidRPr="007B69F7">
          <w:rPr>
            <w:rStyle w:val="Hyperlink"/>
            <w:rFonts w:ascii="Arial Narrow" w:hAnsi="Arial Narrow" w:cs="Times New Roman"/>
            <w:b/>
            <w:bCs/>
            <w:sz w:val="24"/>
            <w:szCs w:val="24"/>
            <w:lang w:val="en-US" w:eastAsia="en-GB"/>
          </w:rPr>
          <w:t>Authority</w:t>
        </w:r>
      </w:hyperlink>
      <w:r w:rsidR="00C0555D" w:rsidRPr="007B69F7">
        <w:rPr>
          <w:rFonts w:ascii="Arial Narrow" w:hAnsi="Arial Narrow" w:cs="Times New Roman"/>
          <w:b/>
          <w:bCs/>
          <w:sz w:val="24"/>
          <w:szCs w:val="24"/>
          <w:lang w:eastAsia="en-GB"/>
        </w:rPr>
        <w:t xml:space="preserve"> – </w:t>
      </w:r>
      <w:r w:rsidR="002D130E" w:rsidRPr="007B69F7">
        <w:rPr>
          <w:rFonts w:ascii="Arial Narrow" w:hAnsi="Arial Narrow" w:cs="Times New Roman"/>
          <w:b/>
          <w:bCs/>
          <w:sz w:val="24"/>
          <w:szCs w:val="24"/>
          <w:lang w:val="en-US" w:eastAsia="en-GB"/>
        </w:rPr>
        <w:t>ADIA</w:t>
      </w:r>
      <w:r w:rsidR="00C0555D" w:rsidRPr="007B69F7">
        <w:rPr>
          <w:rFonts w:ascii="Arial Narrow" w:hAnsi="Arial Narrow" w:cs="Times New Roman"/>
          <w:sz w:val="24"/>
          <w:szCs w:val="24"/>
          <w:lang w:eastAsia="en-GB"/>
        </w:rPr>
        <w:t xml:space="preserve">: </w:t>
      </w:r>
      <w:r w:rsidR="00C0555D" w:rsidRPr="007B69F7">
        <w:rPr>
          <w:rFonts w:ascii="Arial Narrow" w:hAnsi="Arial Narrow" w:cs="Times New Roman"/>
          <w:sz w:val="24"/>
          <w:szCs w:val="24"/>
        </w:rPr>
        <w:t xml:space="preserve">Το </w:t>
      </w:r>
      <w:r w:rsidR="00553352" w:rsidRPr="007B69F7">
        <w:rPr>
          <w:rFonts w:ascii="Arial Narrow" w:hAnsi="Arial Narrow" w:cs="Times New Roman"/>
          <w:sz w:val="24"/>
          <w:szCs w:val="24"/>
        </w:rPr>
        <w:t>ισχυρότερο κεφαλαιακά</w:t>
      </w:r>
      <w:r w:rsidR="00C0555D" w:rsidRPr="007B69F7">
        <w:rPr>
          <w:rFonts w:ascii="Arial Narrow" w:hAnsi="Arial Narrow" w:cs="Times New Roman"/>
          <w:sz w:val="24"/>
          <w:szCs w:val="24"/>
        </w:rPr>
        <w:t xml:space="preserve"> </w:t>
      </w:r>
      <w:r w:rsidR="00254B18" w:rsidRPr="007B69F7">
        <w:rPr>
          <w:rFonts w:ascii="Arial Narrow" w:hAnsi="Arial Narrow" w:cs="Times New Roman"/>
          <w:sz w:val="24"/>
          <w:szCs w:val="24"/>
        </w:rPr>
        <w:t>Ε</w:t>
      </w:r>
      <w:r w:rsidR="00C0555D" w:rsidRPr="007B69F7">
        <w:rPr>
          <w:rFonts w:ascii="Arial Narrow" w:hAnsi="Arial Narrow" w:cs="Times New Roman"/>
          <w:sz w:val="24"/>
          <w:szCs w:val="24"/>
        </w:rPr>
        <w:t xml:space="preserve">πενδυτικό Ταμείο του Εμιράτου </w:t>
      </w:r>
      <w:r w:rsidR="00C0555D" w:rsidRPr="007B69F7">
        <w:rPr>
          <w:rFonts w:ascii="Arial Narrow" w:hAnsi="Arial Narrow" w:cs="Times New Roman"/>
          <w:sz w:val="24"/>
          <w:szCs w:val="24"/>
          <w:lang w:val="en-GB"/>
        </w:rPr>
        <w:t>Abu</w:t>
      </w:r>
      <w:r w:rsidR="00C0555D" w:rsidRPr="007B69F7">
        <w:rPr>
          <w:rFonts w:ascii="Arial Narrow" w:hAnsi="Arial Narrow" w:cs="Times New Roman"/>
          <w:sz w:val="24"/>
          <w:szCs w:val="24"/>
        </w:rPr>
        <w:t xml:space="preserve"> </w:t>
      </w:r>
      <w:r w:rsidR="00C0555D" w:rsidRPr="007B69F7">
        <w:rPr>
          <w:rFonts w:ascii="Arial Narrow" w:hAnsi="Arial Narrow" w:cs="Times New Roman"/>
          <w:sz w:val="24"/>
          <w:szCs w:val="24"/>
          <w:lang w:val="en-GB"/>
        </w:rPr>
        <w:t>Dhabi</w:t>
      </w:r>
      <w:r w:rsidR="009B4B51" w:rsidRPr="007B69F7">
        <w:rPr>
          <w:rFonts w:ascii="Arial Narrow" w:hAnsi="Arial Narrow" w:cs="Times New Roman"/>
          <w:sz w:val="24"/>
          <w:szCs w:val="24"/>
        </w:rPr>
        <w:t xml:space="preserve">, </w:t>
      </w:r>
      <w:r w:rsidR="00C0555D" w:rsidRPr="007B69F7">
        <w:rPr>
          <w:rFonts w:ascii="Arial Narrow" w:hAnsi="Arial Narrow" w:cs="Times New Roman"/>
          <w:sz w:val="24"/>
          <w:szCs w:val="24"/>
        </w:rPr>
        <w:t xml:space="preserve">με συνολική αξία στοιχείων ενεργητικού </w:t>
      </w:r>
      <w:r w:rsidR="009B4B51" w:rsidRPr="007B69F7">
        <w:rPr>
          <w:rFonts w:ascii="Arial Narrow" w:hAnsi="Arial Narrow" w:cs="Times New Roman"/>
          <w:sz w:val="24"/>
          <w:szCs w:val="24"/>
        </w:rPr>
        <w:t>ύψους $</w:t>
      </w:r>
      <w:r w:rsidR="00862CD8" w:rsidRPr="007B69F7">
        <w:rPr>
          <w:rFonts w:ascii="Arial Narrow" w:hAnsi="Arial Narrow" w:cs="Times New Roman"/>
          <w:sz w:val="24"/>
          <w:szCs w:val="24"/>
        </w:rPr>
        <w:t>993</w:t>
      </w:r>
      <w:r w:rsidR="00C0555D" w:rsidRPr="007B69F7">
        <w:rPr>
          <w:rFonts w:ascii="Arial Narrow" w:hAnsi="Arial Narrow" w:cs="Times New Roman"/>
          <w:sz w:val="24"/>
          <w:szCs w:val="24"/>
        </w:rPr>
        <w:t xml:space="preserve"> </w:t>
      </w:r>
      <w:r w:rsidR="00133844" w:rsidRPr="007B69F7">
        <w:rPr>
          <w:rFonts w:ascii="Arial Narrow" w:hAnsi="Arial Narrow" w:cs="Times New Roman"/>
          <w:sz w:val="24"/>
          <w:szCs w:val="24"/>
        </w:rPr>
        <w:t xml:space="preserve">δισεκ. </w:t>
      </w:r>
      <w:r w:rsidR="00C0555D" w:rsidRPr="007B69F7">
        <w:rPr>
          <w:rFonts w:ascii="Arial Narrow" w:hAnsi="Arial Narrow" w:cs="Times New Roman"/>
          <w:sz w:val="24"/>
          <w:szCs w:val="24"/>
        </w:rPr>
        <w:t xml:space="preserve"> </w:t>
      </w:r>
    </w:p>
    <w:p w14:paraId="1A3ACAD7" w14:textId="74D1BEE9" w:rsidR="00B65DC4" w:rsidRPr="007B69F7" w:rsidRDefault="00022BD6" w:rsidP="006E5A5F">
      <w:pPr>
        <w:pStyle w:val="ListParagraph"/>
        <w:numPr>
          <w:ilvl w:val="0"/>
          <w:numId w:val="7"/>
        </w:numPr>
        <w:spacing w:after="120"/>
        <w:ind w:left="0" w:firstLine="709"/>
        <w:jc w:val="both"/>
        <w:rPr>
          <w:rFonts w:ascii="Arial Narrow" w:hAnsi="Arial Narrow" w:cs="Times New Roman"/>
          <w:sz w:val="24"/>
          <w:szCs w:val="24"/>
        </w:rPr>
      </w:pPr>
      <w:hyperlink r:id="rId22" w:history="1">
        <w:r w:rsidR="00663DE2" w:rsidRPr="007B69F7">
          <w:rPr>
            <w:rStyle w:val="Hyperlink"/>
            <w:rFonts w:ascii="Arial Narrow" w:hAnsi="Arial Narrow" w:cs="Times New Roman"/>
            <w:b/>
            <w:bCs/>
            <w:sz w:val="24"/>
            <w:szCs w:val="24"/>
            <w:lang w:val="en-GB"/>
          </w:rPr>
          <w:t>Investment</w:t>
        </w:r>
        <w:r w:rsidR="00663DE2" w:rsidRPr="007B69F7">
          <w:rPr>
            <w:rStyle w:val="Hyperlink"/>
            <w:rFonts w:ascii="Arial Narrow" w:hAnsi="Arial Narrow" w:cs="Times New Roman"/>
            <w:b/>
            <w:bCs/>
            <w:sz w:val="24"/>
            <w:szCs w:val="24"/>
          </w:rPr>
          <w:t xml:space="preserve"> </w:t>
        </w:r>
        <w:r w:rsidR="00663DE2" w:rsidRPr="007B69F7">
          <w:rPr>
            <w:rStyle w:val="Hyperlink"/>
            <w:rFonts w:ascii="Arial Narrow" w:hAnsi="Arial Narrow" w:cs="Times New Roman"/>
            <w:b/>
            <w:bCs/>
            <w:sz w:val="24"/>
            <w:szCs w:val="24"/>
            <w:lang w:val="en-GB"/>
          </w:rPr>
          <w:t>Corporation</w:t>
        </w:r>
        <w:r w:rsidR="00663DE2" w:rsidRPr="007B69F7">
          <w:rPr>
            <w:rStyle w:val="Hyperlink"/>
            <w:rFonts w:ascii="Arial Narrow" w:hAnsi="Arial Narrow" w:cs="Times New Roman"/>
            <w:b/>
            <w:bCs/>
            <w:sz w:val="24"/>
            <w:szCs w:val="24"/>
          </w:rPr>
          <w:t xml:space="preserve"> </w:t>
        </w:r>
        <w:r w:rsidR="00663DE2" w:rsidRPr="007B69F7">
          <w:rPr>
            <w:rStyle w:val="Hyperlink"/>
            <w:rFonts w:ascii="Arial Narrow" w:hAnsi="Arial Narrow" w:cs="Times New Roman"/>
            <w:b/>
            <w:bCs/>
            <w:sz w:val="24"/>
            <w:szCs w:val="24"/>
            <w:lang w:val="en-GB"/>
          </w:rPr>
          <w:t>of</w:t>
        </w:r>
        <w:r w:rsidR="00663DE2" w:rsidRPr="007B69F7">
          <w:rPr>
            <w:rStyle w:val="Hyperlink"/>
            <w:rFonts w:ascii="Arial Narrow" w:hAnsi="Arial Narrow" w:cs="Times New Roman"/>
            <w:b/>
            <w:bCs/>
            <w:sz w:val="24"/>
            <w:szCs w:val="24"/>
          </w:rPr>
          <w:t xml:space="preserve"> </w:t>
        </w:r>
        <w:r w:rsidR="00663DE2" w:rsidRPr="007B69F7">
          <w:rPr>
            <w:rStyle w:val="Hyperlink"/>
            <w:rFonts w:ascii="Arial Narrow" w:hAnsi="Arial Narrow" w:cs="Times New Roman"/>
            <w:b/>
            <w:bCs/>
            <w:sz w:val="24"/>
            <w:szCs w:val="24"/>
            <w:lang w:val="en-GB"/>
          </w:rPr>
          <w:t>Dubai</w:t>
        </w:r>
      </w:hyperlink>
      <w:r w:rsidR="00663DE2" w:rsidRPr="007B69F7">
        <w:rPr>
          <w:rFonts w:ascii="Arial Narrow" w:hAnsi="Arial Narrow" w:cs="Times New Roman"/>
          <w:b/>
          <w:bCs/>
          <w:sz w:val="24"/>
          <w:szCs w:val="24"/>
        </w:rPr>
        <w:t xml:space="preserve"> – </w:t>
      </w:r>
      <w:r w:rsidR="00663DE2" w:rsidRPr="007B69F7">
        <w:rPr>
          <w:rFonts w:ascii="Arial Narrow" w:hAnsi="Arial Narrow" w:cs="Times New Roman"/>
          <w:b/>
          <w:bCs/>
          <w:sz w:val="24"/>
          <w:szCs w:val="24"/>
          <w:lang w:val="en-GB"/>
        </w:rPr>
        <w:t>ICD</w:t>
      </w:r>
      <w:r w:rsidR="00663DE2" w:rsidRPr="007B69F7">
        <w:rPr>
          <w:rFonts w:ascii="Arial Narrow" w:hAnsi="Arial Narrow" w:cs="Times New Roman"/>
          <w:sz w:val="24"/>
          <w:szCs w:val="24"/>
        </w:rPr>
        <w:t xml:space="preserve">: Το </w:t>
      </w:r>
      <w:r w:rsidR="00254B18" w:rsidRPr="007B69F7">
        <w:rPr>
          <w:rFonts w:ascii="Arial Narrow" w:hAnsi="Arial Narrow" w:cs="Times New Roman"/>
          <w:sz w:val="24"/>
          <w:szCs w:val="24"/>
        </w:rPr>
        <w:t>Κ</w:t>
      </w:r>
      <w:r w:rsidR="00663DE2" w:rsidRPr="007B69F7">
        <w:rPr>
          <w:rFonts w:ascii="Arial Narrow" w:hAnsi="Arial Narrow" w:cs="Times New Roman"/>
          <w:sz w:val="24"/>
          <w:szCs w:val="24"/>
        </w:rPr>
        <w:t xml:space="preserve">ρατικό </w:t>
      </w:r>
      <w:r w:rsidR="00254B18" w:rsidRPr="007B69F7">
        <w:rPr>
          <w:rFonts w:ascii="Arial Narrow" w:hAnsi="Arial Narrow" w:cs="Times New Roman"/>
          <w:sz w:val="24"/>
          <w:szCs w:val="24"/>
        </w:rPr>
        <w:t>Ε</w:t>
      </w:r>
      <w:r w:rsidR="00663DE2" w:rsidRPr="007B69F7">
        <w:rPr>
          <w:rFonts w:ascii="Arial Narrow" w:hAnsi="Arial Narrow" w:cs="Times New Roman"/>
          <w:sz w:val="24"/>
          <w:szCs w:val="24"/>
        </w:rPr>
        <w:t xml:space="preserve">πενδυτικό </w:t>
      </w:r>
      <w:r w:rsidR="00254B18" w:rsidRPr="007B69F7">
        <w:rPr>
          <w:rFonts w:ascii="Arial Narrow" w:hAnsi="Arial Narrow" w:cs="Times New Roman"/>
          <w:sz w:val="24"/>
          <w:szCs w:val="24"/>
        </w:rPr>
        <w:t>Τ</w:t>
      </w:r>
      <w:r w:rsidR="00663DE2" w:rsidRPr="007B69F7">
        <w:rPr>
          <w:rFonts w:ascii="Arial Narrow" w:hAnsi="Arial Narrow" w:cs="Times New Roman"/>
          <w:sz w:val="24"/>
          <w:szCs w:val="24"/>
        </w:rPr>
        <w:t xml:space="preserve">αμείο του Εμιράτου </w:t>
      </w:r>
      <w:r w:rsidR="00663DE2" w:rsidRPr="007B69F7">
        <w:rPr>
          <w:rFonts w:ascii="Arial Narrow" w:hAnsi="Arial Narrow" w:cs="Times New Roman"/>
          <w:sz w:val="24"/>
          <w:szCs w:val="24"/>
          <w:lang w:val="en-US"/>
        </w:rPr>
        <w:t>Dubai</w:t>
      </w:r>
      <w:r w:rsidR="00663DE2" w:rsidRPr="007B69F7">
        <w:rPr>
          <w:rFonts w:ascii="Arial Narrow" w:hAnsi="Arial Narrow" w:cs="Times New Roman"/>
          <w:sz w:val="24"/>
          <w:szCs w:val="24"/>
        </w:rPr>
        <w:t xml:space="preserve"> διαχειρίζεται στοιχεία ενεργητικού αξίας περίπου $3</w:t>
      </w:r>
      <w:r w:rsidR="00862CD8" w:rsidRPr="007B69F7">
        <w:rPr>
          <w:rFonts w:ascii="Arial Narrow" w:hAnsi="Arial Narrow" w:cs="Times New Roman"/>
          <w:sz w:val="24"/>
          <w:szCs w:val="24"/>
        </w:rPr>
        <w:t>4</w:t>
      </w:r>
      <w:r w:rsidR="00663DE2" w:rsidRPr="007B69F7">
        <w:rPr>
          <w:rFonts w:ascii="Arial Narrow" w:hAnsi="Arial Narrow" w:cs="Times New Roman"/>
          <w:sz w:val="24"/>
          <w:szCs w:val="24"/>
        </w:rPr>
        <w:t xml:space="preserve">0 </w:t>
      </w:r>
      <w:r w:rsidR="00133844" w:rsidRPr="007B69F7">
        <w:rPr>
          <w:rFonts w:ascii="Arial Narrow" w:hAnsi="Arial Narrow" w:cs="Times New Roman"/>
          <w:sz w:val="24"/>
          <w:szCs w:val="24"/>
        </w:rPr>
        <w:t xml:space="preserve">δισεκ. </w:t>
      </w:r>
      <w:r w:rsidR="00663DE2" w:rsidRPr="007B69F7">
        <w:rPr>
          <w:rFonts w:ascii="Arial Narrow" w:hAnsi="Arial Narrow" w:cs="Times New Roman"/>
          <w:sz w:val="24"/>
          <w:szCs w:val="24"/>
        </w:rPr>
        <w:t xml:space="preserve"> σε 13 χώρες.</w:t>
      </w:r>
    </w:p>
    <w:p w14:paraId="5C121C29" w14:textId="6AB318AF" w:rsidR="00254B18" w:rsidRPr="007B69F7" w:rsidRDefault="00022BD6" w:rsidP="006E5A5F">
      <w:pPr>
        <w:pStyle w:val="ListParagraph"/>
        <w:numPr>
          <w:ilvl w:val="0"/>
          <w:numId w:val="7"/>
        </w:numPr>
        <w:ind w:left="0" w:firstLine="709"/>
        <w:jc w:val="both"/>
        <w:rPr>
          <w:rFonts w:ascii="Arial Narrow" w:hAnsi="Arial Narrow" w:cs="Times New Roman"/>
          <w:b/>
          <w:bCs/>
          <w:sz w:val="24"/>
          <w:szCs w:val="24"/>
        </w:rPr>
      </w:pPr>
      <w:hyperlink r:id="rId23" w:history="1">
        <w:r w:rsidR="004713CF" w:rsidRPr="007B69F7">
          <w:rPr>
            <w:rStyle w:val="Hyperlink"/>
            <w:rFonts w:ascii="Arial Narrow" w:hAnsi="Arial Narrow" w:cs="Times New Roman"/>
            <w:b/>
            <w:bCs/>
            <w:sz w:val="24"/>
            <w:szCs w:val="24"/>
            <w:lang w:val="en-US"/>
          </w:rPr>
          <w:t>Mubadala</w:t>
        </w:r>
      </w:hyperlink>
      <w:r w:rsidR="004713CF" w:rsidRPr="007B69F7">
        <w:rPr>
          <w:rFonts w:ascii="Arial Narrow" w:hAnsi="Arial Narrow" w:cs="Times New Roman"/>
          <w:sz w:val="24"/>
          <w:szCs w:val="24"/>
        </w:rPr>
        <w:t>: 2</w:t>
      </w:r>
      <w:r w:rsidR="004713CF" w:rsidRPr="007B69F7">
        <w:rPr>
          <w:rFonts w:ascii="Arial Narrow" w:hAnsi="Arial Narrow" w:cs="Times New Roman"/>
          <w:sz w:val="24"/>
          <w:szCs w:val="24"/>
          <w:vertAlign w:val="superscript"/>
        </w:rPr>
        <w:t>ο</w:t>
      </w:r>
      <w:r w:rsidR="004713CF" w:rsidRPr="007B69F7">
        <w:rPr>
          <w:rFonts w:ascii="Arial Narrow" w:hAnsi="Arial Narrow" w:cs="Times New Roman"/>
          <w:sz w:val="24"/>
          <w:szCs w:val="24"/>
        </w:rPr>
        <w:t xml:space="preserve"> μεγαλύτερο </w:t>
      </w:r>
      <w:r w:rsidR="00254B18" w:rsidRPr="007B69F7">
        <w:rPr>
          <w:rFonts w:ascii="Arial Narrow" w:hAnsi="Arial Narrow" w:cs="Times New Roman"/>
          <w:sz w:val="24"/>
          <w:szCs w:val="24"/>
        </w:rPr>
        <w:t>Κ</w:t>
      </w:r>
      <w:r w:rsidR="004713CF" w:rsidRPr="007B69F7">
        <w:rPr>
          <w:rFonts w:ascii="Arial Narrow" w:hAnsi="Arial Narrow" w:cs="Times New Roman"/>
          <w:sz w:val="24"/>
          <w:szCs w:val="24"/>
        </w:rPr>
        <w:t xml:space="preserve">ρατικό </w:t>
      </w:r>
      <w:r w:rsidR="00254B18" w:rsidRPr="007B69F7">
        <w:rPr>
          <w:rFonts w:ascii="Arial Narrow" w:hAnsi="Arial Narrow" w:cs="Times New Roman"/>
          <w:sz w:val="24"/>
          <w:szCs w:val="24"/>
        </w:rPr>
        <w:t>Ε</w:t>
      </w:r>
      <w:r w:rsidR="004713CF" w:rsidRPr="007B69F7">
        <w:rPr>
          <w:rFonts w:ascii="Arial Narrow" w:hAnsi="Arial Narrow" w:cs="Times New Roman"/>
          <w:sz w:val="24"/>
          <w:szCs w:val="24"/>
        </w:rPr>
        <w:t xml:space="preserve">πενδυτικό Ταμείο Εμιράτου </w:t>
      </w:r>
      <w:r w:rsidR="004713CF" w:rsidRPr="007B69F7">
        <w:rPr>
          <w:rFonts w:ascii="Arial Narrow" w:hAnsi="Arial Narrow" w:cs="Times New Roman"/>
          <w:sz w:val="24"/>
          <w:szCs w:val="24"/>
          <w:lang w:val="en-GB"/>
        </w:rPr>
        <w:t>Abu</w:t>
      </w:r>
      <w:r w:rsidR="004713CF" w:rsidRPr="007B69F7">
        <w:rPr>
          <w:rFonts w:ascii="Arial Narrow" w:hAnsi="Arial Narrow" w:cs="Times New Roman"/>
          <w:sz w:val="24"/>
          <w:szCs w:val="24"/>
        </w:rPr>
        <w:t xml:space="preserve"> </w:t>
      </w:r>
      <w:r w:rsidR="004713CF" w:rsidRPr="007B69F7">
        <w:rPr>
          <w:rFonts w:ascii="Arial Narrow" w:hAnsi="Arial Narrow" w:cs="Times New Roman"/>
          <w:sz w:val="24"/>
          <w:szCs w:val="24"/>
          <w:lang w:val="en-GB"/>
        </w:rPr>
        <w:t>Dhabi</w:t>
      </w:r>
      <w:r w:rsidR="004713CF" w:rsidRPr="007B69F7">
        <w:rPr>
          <w:rFonts w:ascii="Arial Narrow" w:hAnsi="Arial Narrow" w:cs="Times New Roman"/>
          <w:sz w:val="24"/>
          <w:szCs w:val="24"/>
        </w:rPr>
        <w:t>, οποίο διαχειρίζεται στοιχεία ενεργητικού συνολικής αξίας $</w:t>
      </w:r>
      <w:r w:rsidR="00862CD8" w:rsidRPr="007B69F7">
        <w:rPr>
          <w:rFonts w:ascii="Arial Narrow" w:hAnsi="Arial Narrow" w:cs="Times New Roman"/>
          <w:sz w:val="24"/>
          <w:szCs w:val="24"/>
        </w:rPr>
        <w:t xml:space="preserve">302 </w:t>
      </w:r>
      <w:r w:rsidR="00133844" w:rsidRPr="007B69F7">
        <w:rPr>
          <w:rFonts w:ascii="Arial Narrow" w:hAnsi="Arial Narrow" w:cs="Times New Roman"/>
          <w:sz w:val="24"/>
          <w:szCs w:val="24"/>
        </w:rPr>
        <w:t xml:space="preserve">δισεκ. </w:t>
      </w:r>
      <w:r w:rsidR="00E22CC1" w:rsidRPr="007B69F7">
        <w:rPr>
          <w:rFonts w:ascii="Arial Narrow" w:hAnsi="Arial Narrow" w:cs="Times New Roman"/>
          <w:sz w:val="24"/>
          <w:szCs w:val="24"/>
        </w:rPr>
        <w:t xml:space="preserve"> </w:t>
      </w:r>
    </w:p>
    <w:p w14:paraId="6EFBCA87" w14:textId="2DAA0558" w:rsidR="00254B18" w:rsidRPr="007B69F7" w:rsidRDefault="00022BD6" w:rsidP="006E5A5F">
      <w:pPr>
        <w:pStyle w:val="ListParagraph"/>
        <w:numPr>
          <w:ilvl w:val="0"/>
          <w:numId w:val="7"/>
        </w:numPr>
        <w:spacing w:after="120"/>
        <w:ind w:left="0" w:firstLine="709"/>
        <w:jc w:val="both"/>
        <w:rPr>
          <w:rFonts w:ascii="Arial Narrow" w:hAnsi="Arial Narrow" w:cs="Times New Roman"/>
          <w:sz w:val="24"/>
          <w:szCs w:val="24"/>
        </w:rPr>
      </w:pPr>
      <w:hyperlink r:id="rId24" w:history="1">
        <w:r w:rsidR="00FB3C7B" w:rsidRPr="007B69F7">
          <w:rPr>
            <w:rStyle w:val="Hyperlink"/>
            <w:rFonts w:ascii="Arial Narrow" w:hAnsi="Arial Narrow" w:cs="Times New Roman"/>
            <w:b/>
            <w:bCs/>
            <w:sz w:val="24"/>
            <w:szCs w:val="24"/>
            <w:shd w:val="clear" w:color="auto" w:fill="FFFFFF"/>
          </w:rPr>
          <w:t>Abu Dhabi Developmental Holding Company PJSC</w:t>
        </w:r>
      </w:hyperlink>
      <w:r w:rsidR="00FB3C7B" w:rsidRPr="007B69F7">
        <w:rPr>
          <w:rFonts w:ascii="Arial Narrow" w:hAnsi="Arial Narrow" w:cs="Times New Roman"/>
          <w:b/>
          <w:bCs/>
          <w:sz w:val="24"/>
          <w:szCs w:val="24"/>
          <w:lang w:eastAsia="en-GB"/>
        </w:rPr>
        <w:t xml:space="preserve"> - </w:t>
      </w:r>
      <w:r w:rsidR="002D130E" w:rsidRPr="007B69F7">
        <w:rPr>
          <w:rFonts w:ascii="Arial Narrow" w:hAnsi="Arial Narrow" w:cs="Times New Roman"/>
          <w:b/>
          <w:bCs/>
          <w:sz w:val="24"/>
          <w:szCs w:val="24"/>
          <w:lang w:val="en-US" w:eastAsia="en-GB"/>
        </w:rPr>
        <w:t>ADQ</w:t>
      </w:r>
      <w:r w:rsidR="003D2674" w:rsidRPr="007B69F7">
        <w:rPr>
          <w:rFonts w:ascii="Arial Narrow" w:hAnsi="Arial Narrow" w:cs="Times New Roman"/>
          <w:sz w:val="24"/>
          <w:szCs w:val="24"/>
          <w:lang w:eastAsia="en-GB"/>
        </w:rPr>
        <w:t xml:space="preserve">: </w:t>
      </w:r>
      <w:r w:rsidR="003D2674" w:rsidRPr="007B69F7">
        <w:rPr>
          <w:rFonts w:ascii="Arial Narrow" w:hAnsi="Arial Narrow" w:cs="Times New Roman"/>
          <w:sz w:val="24"/>
          <w:szCs w:val="24"/>
        </w:rPr>
        <w:t>3</w:t>
      </w:r>
      <w:r w:rsidR="003D2674" w:rsidRPr="007B69F7">
        <w:rPr>
          <w:rFonts w:ascii="Arial Narrow" w:hAnsi="Arial Narrow" w:cs="Times New Roman"/>
          <w:sz w:val="24"/>
          <w:szCs w:val="24"/>
          <w:vertAlign w:val="superscript"/>
        </w:rPr>
        <w:t>ο</w:t>
      </w:r>
      <w:r w:rsidR="003D2674" w:rsidRPr="007B69F7">
        <w:rPr>
          <w:rFonts w:ascii="Arial Narrow" w:hAnsi="Arial Narrow" w:cs="Times New Roman"/>
          <w:sz w:val="24"/>
          <w:szCs w:val="24"/>
        </w:rPr>
        <w:t xml:space="preserve"> </w:t>
      </w:r>
      <w:r w:rsidR="00DB0877" w:rsidRPr="007B69F7">
        <w:rPr>
          <w:rFonts w:ascii="Arial Narrow" w:hAnsi="Arial Narrow" w:cs="Times New Roman"/>
          <w:sz w:val="24"/>
          <w:szCs w:val="24"/>
        </w:rPr>
        <w:t xml:space="preserve">μεγαλύτερο </w:t>
      </w:r>
      <w:r w:rsidR="00254B18" w:rsidRPr="007B69F7">
        <w:rPr>
          <w:rFonts w:ascii="Arial Narrow" w:hAnsi="Arial Narrow" w:cs="Times New Roman"/>
          <w:sz w:val="24"/>
          <w:szCs w:val="24"/>
        </w:rPr>
        <w:t>Κ</w:t>
      </w:r>
      <w:r w:rsidR="00DB0877" w:rsidRPr="007B69F7">
        <w:rPr>
          <w:rFonts w:ascii="Arial Narrow" w:hAnsi="Arial Narrow" w:cs="Times New Roman"/>
          <w:sz w:val="24"/>
          <w:szCs w:val="24"/>
        </w:rPr>
        <w:t xml:space="preserve">ρατικό </w:t>
      </w:r>
      <w:r w:rsidR="00254B18" w:rsidRPr="007B69F7">
        <w:rPr>
          <w:rFonts w:ascii="Arial Narrow" w:hAnsi="Arial Narrow" w:cs="Times New Roman"/>
          <w:sz w:val="24"/>
          <w:szCs w:val="24"/>
        </w:rPr>
        <w:t>Ε</w:t>
      </w:r>
      <w:r w:rsidR="00DB0877" w:rsidRPr="007B69F7">
        <w:rPr>
          <w:rFonts w:ascii="Arial Narrow" w:hAnsi="Arial Narrow" w:cs="Times New Roman"/>
          <w:sz w:val="24"/>
          <w:szCs w:val="24"/>
        </w:rPr>
        <w:t xml:space="preserve">πενδυτικό </w:t>
      </w:r>
      <w:r w:rsidR="001927C5" w:rsidRPr="007B69F7">
        <w:rPr>
          <w:rFonts w:ascii="Arial Narrow" w:hAnsi="Arial Narrow" w:cs="Times New Roman"/>
          <w:sz w:val="24"/>
          <w:szCs w:val="24"/>
        </w:rPr>
        <w:t>Ταμείο</w:t>
      </w:r>
      <w:r w:rsidR="00254B18" w:rsidRPr="007B69F7">
        <w:rPr>
          <w:rFonts w:ascii="Arial Narrow" w:hAnsi="Arial Narrow" w:cs="Times New Roman"/>
          <w:sz w:val="24"/>
          <w:szCs w:val="24"/>
        </w:rPr>
        <w:t xml:space="preserve"> </w:t>
      </w:r>
      <w:r w:rsidR="00DB0877" w:rsidRPr="007B69F7">
        <w:rPr>
          <w:rFonts w:ascii="Arial Narrow" w:hAnsi="Arial Narrow" w:cs="Times New Roman"/>
          <w:sz w:val="24"/>
          <w:szCs w:val="24"/>
        </w:rPr>
        <w:t>Εμιράτου</w:t>
      </w:r>
      <w:r w:rsidR="001927C5" w:rsidRPr="007B69F7">
        <w:rPr>
          <w:rFonts w:ascii="Arial Narrow" w:hAnsi="Arial Narrow" w:cs="Times New Roman"/>
          <w:sz w:val="24"/>
          <w:szCs w:val="24"/>
        </w:rPr>
        <w:t xml:space="preserve"> </w:t>
      </w:r>
      <w:r w:rsidR="00DB0877" w:rsidRPr="007B69F7">
        <w:rPr>
          <w:rFonts w:ascii="Arial Narrow" w:hAnsi="Arial Narrow" w:cs="Times New Roman"/>
          <w:sz w:val="24"/>
          <w:szCs w:val="24"/>
          <w:lang w:val="en-GB"/>
        </w:rPr>
        <w:t>Abu</w:t>
      </w:r>
      <w:r w:rsidR="00DB0877" w:rsidRPr="007B69F7">
        <w:rPr>
          <w:rFonts w:ascii="Arial Narrow" w:hAnsi="Arial Narrow" w:cs="Times New Roman"/>
          <w:sz w:val="24"/>
          <w:szCs w:val="24"/>
        </w:rPr>
        <w:t xml:space="preserve"> </w:t>
      </w:r>
      <w:r w:rsidR="00DB0877" w:rsidRPr="007B69F7">
        <w:rPr>
          <w:rFonts w:ascii="Arial Narrow" w:hAnsi="Arial Narrow" w:cs="Times New Roman"/>
          <w:sz w:val="24"/>
          <w:szCs w:val="24"/>
          <w:lang w:val="en-GB"/>
        </w:rPr>
        <w:t>Dhabi</w:t>
      </w:r>
      <w:r w:rsidR="004713CF" w:rsidRPr="007B69F7">
        <w:rPr>
          <w:rFonts w:ascii="Arial Narrow" w:hAnsi="Arial Narrow" w:cs="Times New Roman"/>
          <w:sz w:val="24"/>
          <w:szCs w:val="24"/>
        </w:rPr>
        <w:t xml:space="preserve">, με συνολική </w:t>
      </w:r>
      <w:r w:rsidR="00DB0877" w:rsidRPr="007B69F7">
        <w:rPr>
          <w:rFonts w:ascii="Arial Narrow" w:hAnsi="Arial Narrow" w:cs="Times New Roman"/>
          <w:sz w:val="24"/>
          <w:szCs w:val="24"/>
        </w:rPr>
        <w:t xml:space="preserve">αξία στοιχείων ενεργητικού </w:t>
      </w:r>
      <w:r w:rsidR="004713CF" w:rsidRPr="007B69F7">
        <w:rPr>
          <w:rFonts w:ascii="Arial Narrow" w:hAnsi="Arial Narrow" w:cs="Times New Roman"/>
          <w:sz w:val="24"/>
          <w:szCs w:val="24"/>
        </w:rPr>
        <w:t>ύψους</w:t>
      </w:r>
      <w:r w:rsidR="00DB0877" w:rsidRPr="007B69F7">
        <w:rPr>
          <w:rFonts w:ascii="Arial Narrow" w:hAnsi="Arial Narrow" w:cs="Times New Roman"/>
          <w:sz w:val="24"/>
          <w:szCs w:val="24"/>
        </w:rPr>
        <w:t xml:space="preserve"> </w:t>
      </w:r>
      <w:r w:rsidR="00826504" w:rsidRPr="007B69F7">
        <w:rPr>
          <w:rFonts w:ascii="Arial Narrow" w:hAnsi="Arial Narrow" w:cs="Times New Roman"/>
          <w:sz w:val="24"/>
          <w:szCs w:val="24"/>
        </w:rPr>
        <w:t>$</w:t>
      </w:r>
      <w:r w:rsidR="004B3588" w:rsidRPr="007B69F7">
        <w:rPr>
          <w:rFonts w:ascii="Arial Narrow" w:hAnsi="Arial Narrow" w:cs="Times New Roman"/>
          <w:sz w:val="24"/>
          <w:szCs w:val="24"/>
        </w:rPr>
        <w:t>1</w:t>
      </w:r>
      <w:r w:rsidR="00862CD8" w:rsidRPr="007B69F7">
        <w:rPr>
          <w:rFonts w:ascii="Arial Narrow" w:hAnsi="Arial Narrow" w:cs="Times New Roman"/>
          <w:sz w:val="24"/>
          <w:szCs w:val="24"/>
        </w:rPr>
        <w:t>57</w:t>
      </w:r>
      <w:r w:rsidR="00DB0877" w:rsidRPr="007B69F7">
        <w:rPr>
          <w:rFonts w:ascii="Arial Narrow" w:hAnsi="Arial Narrow" w:cs="Times New Roman"/>
          <w:sz w:val="24"/>
          <w:szCs w:val="24"/>
        </w:rPr>
        <w:t xml:space="preserve"> </w:t>
      </w:r>
      <w:r w:rsidR="00133844" w:rsidRPr="007B69F7">
        <w:rPr>
          <w:rFonts w:ascii="Arial Narrow" w:hAnsi="Arial Narrow" w:cs="Times New Roman"/>
          <w:sz w:val="24"/>
          <w:szCs w:val="24"/>
        </w:rPr>
        <w:t xml:space="preserve">δισεκ. </w:t>
      </w:r>
      <w:r w:rsidR="00DB0877" w:rsidRPr="007B69F7">
        <w:rPr>
          <w:rFonts w:ascii="Arial Narrow" w:hAnsi="Arial Narrow" w:cs="Times New Roman"/>
          <w:sz w:val="24"/>
          <w:szCs w:val="24"/>
        </w:rPr>
        <w:t xml:space="preserve"> </w:t>
      </w:r>
    </w:p>
    <w:p w14:paraId="367BD404" w14:textId="69406A3C" w:rsidR="0098610B" w:rsidRPr="007B69F7" w:rsidRDefault="00022BD6" w:rsidP="006E5A5F">
      <w:pPr>
        <w:pStyle w:val="ListParagraph"/>
        <w:numPr>
          <w:ilvl w:val="0"/>
          <w:numId w:val="7"/>
        </w:numPr>
        <w:spacing w:after="120"/>
        <w:ind w:left="0" w:firstLine="709"/>
        <w:jc w:val="both"/>
        <w:rPr>
          <w:rFonts w:ascii="Arial Narrow" w:hAnsi="Arial Narrow" w:cs="Times New Roman"/>
          <w:sz w:val="24"/>
          <w:szCs w:val="24"/>
        </w:rPr>
      </w:pPr>
      <w:hyperlink r:id="rId25" w:history="1">
        <w:r w:rsidR="00663DE2" w:rsidRPr="007B69F7">
          <w:rPr>
            <w:rStyle w:val="Hyperlink"/>
            <w:rFonts w:ascii="Arial Narrow" w:hAnsi="Arial Narrow" w:cs="Times New Roman"/>
            <w:b/>
            <w:bCs/>
            <w:sz w:val="24"/>
            <w:szCs w:val="24"/>
            <w:lang w:val="en-US" w:eastAsia="en-GB"/>
          </w:rPr>
          <w:t>Emirates</w:t>
        </w:r>
        <w:r w:rsidR="00663DE2" w:rsidRPr="007B69F7">
          <w:rPr>
            <w:rStyle w:val="Hyperlink"/>
            <w:rFonts w:ascii="Arial Narrow" w:hAnsi="Arial Narrow" w:cs="Times New Roman"/>
            <w:b/>
            <w:bCs/>
            <w:sz w:val="24"/>
            <w:szCs w:val="24"/>
            <w:lang w:eastAsia="en-GB"/>
          </w:rPr>
          <w:t xml:space="preserve"> </w:t>
        </w:r>
        <w:r w:rsidR="00663DE2" w:rsidRPr="007B69F7">
          <w:rPr>
            <w:rStyle w:val="Hyperlink"/>
            <w:rFonts w:ascii="Arial Narrow" w:hAnsi="Arial Narrow" w:cs="Times New Roman"/>
            <w:b/>
            <w:bCs/>
            <w:sz w:val="24"/>
            <w:szCs w:val="24"/>
            <w:lang w:val="en-US" w:eastAsia="en-GB"/>
          </w:rPr>
          <w:t>Investment</w:t>
        </w:r>
        <w:r w:rsidR="00663DE2" w:rsidRPr="007B69F7">
          <w:rPr>
            <w:rStyle w:val="Hyperlink"/>
            <w:rFonts w:ascii="Arial Narrow" w:hAnsi="Arial Narrow" w:cs="Times New Roman"/>
            <w:b/>
            <w:bCs/>
            <w:sz w:val="24"/>
            <w:szCs w:val="24"/>
            <w:lang w:eastAsia="en-GB"/>
          </w:rPr>
          <w:t xml:space="preserve"> </w:t>
        </w:r>
        <w:r w:rsidR="00663DE2" w:rsidRPr="007B69F7">
          <w:rPr>
            <w:rStyle w:val="Hyperlink"/>
            <w:rFonts w:ascii="Arial Narrow" w:hAnsi="Arial Narrow" w:cs="Times New Roman"/>
            <w:b/>
            <w:bCs/>
            <w:sz w:val="24"/>
            <w:szCs w:val="24"/>
            <w:lang w:val="en-US" w:eastAsia="en-GB"/>
          </w:rPr>
          <w:t>Authority</w:t>
        </w:r>
      </w:hyperlink>
      <w:r w:rsidR="00663DE2" w:rsidRPr="007B69F7">
        <w:rPr>
          <w:rFonts w:ascii="Arial Narrow" w:hAnsi="Arial Narrow" w:cs="Times New Roman"/>
          <w:b/>
          <w:bCs/>
          <w:sz w:val="24"/>
          <w:szCs w:val="24"/>
          <w:lang w:eastAsia="en-GB"/>
        </w:rPr>
        <w:t xml:space="preserve">: </w:t>
      </w:r>
      <w:r w:rsidR="00663DE2" w:rsidRPr="007B69F7">
        <w:rPr>
          <w:rFonts w:ascii="Arial Narrow" w:hAnsi="Arial Narrow" w:cs="Times New Roman"/>
          <w:sz w:val="24"/>
          <w:szCs w:val="24"/>
        </w:rPr>
        <w:t xml:space="preserve">Αποτελεί το </w:t>
      </w:r>
      <w:r w:rsidR="00663DE2" w:rsidRPr="007B69F7">
        <w:rPr>
          <w:rFonts w:ascii="Arial Narrow" w:hAnsi="Arial Narrow" w:cs="Times New Roman"/>
          <w:b/>
          <w:sz w:val="24"/>
          <w:szCs w:val="24"/>
        </w:rPr>
        <w:t xml:space="preserve">μοναδικό </w:t>
      </w:r>
      <w:r w:rsidR="00254B18" w:rsidRPr="007B69F7">
        <w:rPr>
          <w:rFonts w:ascii="Arial Narrow" w:hAnsi="Arial Narrow" w:cs="Times New Roman"/>
          <w:b/>
          <w:sz w:val="24"/>
          <w:szCs w:val="24"/>
        </w:rPr>
        <w:t>Ο</w:t>
      </w:r>
      <w:r w:rsidR="00663DE2" w:rsidRPr="007B69F7">
        <w:rPr>
          <w:rFonts w:ascii="Arial Narrow" w:hAnsi="Arial Narrow" w:cs="Times New Roman"/>
          <w:b/>
          <w:sz w:val="24"/>
          <w:szCs w:val="24"/>
        </w:rPr>
        <w:t>μοσπονδιακό</w:t>
      </w:r>
      <w:r w:rsidR="00663DE2" w:rsidRPr="007B69F7">
        <w:rPr>
          <w:rFonts w:ascii="Arial Narrow" w:hAnsi="Arial Narrow" w:cs="Times New Roman"/>
          <w:sz w:val="24"/>
          <w:szCs w:val="24"/>
        </w:rPr>
        <w:t xml:space="preserve"> </w:t>
      </w:r>
      <w:r w:rsidR="00254B18" w:rsidRPr="007B69F7">
        <w:rPr>
          <w:rFonts w:ascii="Arial Narrow" w:hAnsi="Arial Narrow" w:cs="Times New Roman"/>
          <w:sz w:val="24"/>
          <w:szCs w:val="24"/>
        </w:rPr>
        <w:t>Κ</w:t>
      </w:r>
      <w:r w:rsidR="00663DE2" w:rsidRPr="007B69F7">
        <w:rPr>
          <w:rFonts w:ascii="Arial Narrow" w:hAnsi="Arial Narrow" w:cs="Times New Roman"/>
          <w:sz w:val="24"/>
          <w:szCs w:val="24"/>
        </w:rPr>
        <w:t xml:space="preserve">ρατικό </w:t>
      </w:r>
      <w:r w:rsidR="00254B18" w:rsidRPr="007B69F7">
        <w:rPr>
          <w:rFonts w:ascii="Arial Narrow" w:hAnsi="Arial Narrow" w:cs="Times New Roman"/>
          <w:sz w:val="24"/>
          <w:szCs w:val="24"/>
        </w:rPr>
        <w:t>Ε</w:t>
      </w:r>
      <w:r w:rsidR="00663DE2" w:rsidRPr="007B69F7">
        <w:rPr>
          <w:rFonts w:ascii="Arial Narrow" w:hAnsi="Arial Narrow" w:cs="Times New Roman"/>
          <w:sz w:val="24"/>
          <w:szCs w:val="24"/>
        </w:rPr>
        <w:t xml:space="preserve">πενδυτικό </w:t>
      </w:r>
      <w:r w:rsidR="00254B18" w:rsidRPr="007B69F7">
        <w:rPr>
          <w:rFonts w:ascii="Arial Narrow" w:hAnsi="Arial Narrow" w:cs="Times New Roman"/>
          <w:sz w:val="24"/>
          <w:szCs w:val="24"/>
        </w:rPr>
        <w:t>Τ</w:t>
      </w:r>
      <w:r w:rsidR="00663DE2" w:rsidRPr="007B69F7">
        <w:rPr>
          <w:rFonts w:ascii="Arial Narrow" w:hAnsi="Arial Narrow" w:cs="Times New Roman"/>
          <w:sz w:val="24"/>
          <w:szCs w:val="24"/>
        </w:rPr>
        <w:t>αμείο στα ΗΑΕ, οποίο διαχειρίζεται στοιχεία ενεργητικού συνολικής αξίας $</w:t>
      </w:r>
      <w:r w:rsidR="00862CD8" w:rsidRPr="007B69F7">
        <w:rPr>
          <w:rFonts w:ascii="Arial Narrow" w:hAnsi="Arial Narrow" w:cs="Times New Roman"/>
          <w:sz w:val="24"/>
          <w:szCs w:val="24"/>
        </w:rPr>
        <w:t>87</w:t>
      </w:r>
      <w:r w:rsidR="00663DE2" w:rsidRPr="007B69F7">
        <w:rPr>
          <w:rFonts w:ascii="Arial Narrow" w:hAnsi="Arial Narrow" w:cs="Times New Roman"/>
          <w:sz w:val="24"/>
          <w:szCs w:val="24"/>
        </w:rPr>
        <w:t xml:space="preserve"> </w:t>
      </w:r>
      <w:r w:rsidR="00133844" w:rsidRPr="007B69F7">
        <w:rPr>
          <w:rFonts w:ascii="Arial Narrow" w:hAnsi="Arial Narrow" w:cs="Times New Roman"/>
          <w:sz w:val="24"/>
          <w:szCs w:val="24"/>
        </w:rPr>
        <w:t xml:space="preserve">δισεκ. </w:t>
      </w:r>
    </w:p>
    <w:p w14:paraId="01677D21" w14:textId="7BDE6553" w:rsidR="00535D1C" w:rsidRPr="007B69F7" w:rsidRDefault="0028616A" w:rsidP="006E5A5F">
      <w:pPr>
        <w:pStyle w:val="ListParagraph"/>
        <w:numPr>
          <w:ilvl w:val="0"/>
          <w:numId w:val="7"/>
        </w:numPr>
        <w:spacing w:after="120"/>
        <w:ind w:left="0" w:firstLine="709"/>
        <w:jc w:val="both"/>
        <w:rPr>
          <w:rFonts w:ascii="Arial Narrow" w:hAnsi="Arial Narrow" w:cs="Times New Roman"/>
          <w:sz w:val="24"/>
          <w:szCs w:val="24"/>
        </w:rPr>
      </w:pPr>
      <w:r w:rsidRPr="007B69F7">
        <w:rPr>
          <w:rFonts w:ascii="Arial Narrow" w:hAnsi="Arial Narrow" w:cs="Times New Roman"/>
          <w:b/>
          <w:sz w:val="24"/>
          <w:szCs w:val="24"/>
          <w:u w:val="single"/>
          <w:lang w:val="en-AE"/>
        </w:rPr>
        <w:t>Dubai</w:t>
      </w:r>
      <w:r w:rsidRPr="007B69F7">
        <w:rPr>
          <w:rFonts w:ascii="Arial Narrow" w:hAnsi="Arial Narrow" w:cs="Times New Roman"/>
          <w:b/>
          <w:sz w:val="24"/>
          <w:szCs w:val="24"/>
          <w:u w:val="single"/>
        </w:rPr>
        <w:t xml:space="preserve"> </w:t>
      </w:r>
      <w:r w:rsidRPr="007B69F7">
        <w:rPr>
          <w:rFonts w:ascii="Arial Narrow" w:hAnsi="Arial Narrow" w:cs="Times New Roman"/>
          <w:b/>
          <w:sz w:val="24"/>
          <w:szCs w:val="24"/>
          <w:u w:val="single"/>
          <w:lang w:val="en-AE"/>
        </w:rPr>
        <w:t>Investment</w:t>
      </w:r>
      <w:r w:rsidRPr="007B69F7">
        <w:rPr>
          <w:rFonts w:ascii="Arial Narrow" w:hAnsi="Arial Narrow" w:cs="Times New Roman"/>
          <w:b/>
          <w:sz w:val="24"/>
          <w:szCs w:val="24"/>
          <w:u w:val="single"/>
        </w:rPr>
        <w:t xml:space="preserve"> </w:t>
      </w:r>
      <w:r w:rsidRPr="007B69F7">
        <w:rPr>
          <w:rFonts w:ascii="Arial Narrow" w:hAnsi="Arial Narrow" w:cs="Times New Roman"/>
          <w:b/>
          <w:sz w:val="24"/>
          <w:szCs w:val="24"/>
          <w:u w:val="single"/>
          <w:lang w:val="en-AE"/>
        </w:rPr>
        <w:t>Fund</w:t>
      </w:r>
      <w:r w:rsidRPr="007B69F7">
        <w:rPr>
          <w:rFonts w:ascii="Arial Narrow" w:hAnsi="Arial Narrow" w:cs="Times New Roman"/>
          <w:sz w:val="24"/>
          <w:szCs w:val="24"/>
        </w:rPr>
        <w:t xml:space="preserve"> (</w:t>
      </w:r>
      <w:r w:rsidRPr="007B69F7">
        <w:rPr>
          <w:rFonts w:ascii="Arial Narrow" w:hAnsi="Arial Narrow" w:cs="Times New Roman"/>
          <w:sz w:val="24"/>
          <w:szCs w:val="24"/>
          <w:lang w:val="en-AE"/>
        </w:rPr>
        <w:t>DIF</w:t>
      </w:r>
      <w:r w:rsidRPr="007B69F7">
        <w:rPr>
          <w:rFonts w:ascii="Arial Narrow" w:hAnsi="Arial Narrow" w:cs="Times New Roman"/>
          <w:sz w:val="24"/>
          <w:szCs w:val="24"/>
        </w:rPr>
        <w:t>)</w:t>
      </w:r>
      <w:r w:rsidR="0098610B" w:rsidRPr="007B69F7">
        <w:rPr>
          <w:rFonts w:ascii="Arial Narrow" w:hAnsi="Arial Narrow" w:cs="Times New Roman"/>
          <w:sz w:val="24"/>
          <w:szCs w:val="24"/>
        </w:rPr>
        <w:t>: Σ</w:t>
      </w:r>
      <w:r w:rsidR="00EF5041" w:rsidRPr="007B69F7">
        <w:rPr>
          <w:rFonts w:ascii="Arial Narrow" w:hAnsi="Arial Narrow" w:cs="Times New Roman"/>
          <w:sz w:val="24"/>
          <w:szCs w:val="24"/>
        </w:rPr>
        <w:t>υστάθηκε τον Δεκέμβριο 2023</w:t>
      </w:r>
      <w:r w:rsidR="0098610B" w:rsidRPr="007B69F7">
        <w:rPr>
          <w:rFonts w:ascii="Arial Narrow" w:hAnsi="Arial Narrow" w:cs="Times New Roman"/>
          <w:sz w:val="24"/>
          <w:szCs w:val="24"/>
        </w:rPr>
        <w:t xml:space="preserve"> και </w:t>
      </w:r>
      <w:r w:rsidR="00535D1C" w:rsidRPr="007B69F7">
        <w:rPr>
          <w:rFonts w:ascii="Arial Narrow" w:hAnsi="Arial Narrow" w:cs="Times New Roman"/>
          <w:sz w:val="24"/>
          <w:szCs w:val="24"/>
        </w:rPr>
        <w:t>θα λειτουργεί</w:t>
      </w:r>
      <w:r w:rsidR="0098610B" w:rsidRPr="007B69F7">
        <w:rPr>
          <w:rFonts w:ascii="Arial Narrow" w:hAnsi="Arial Narrow" w:cs="Times New Roman"/>
          <w:sz w:val="24"/>
          <w:szCs w:val="24"/>
        </w:rPr>
        <w:t xml:space="preserve"> </w:t>
      </w:r>
      <w:r w:rsidR="00535D1C" w:rsidRPr="007B69F7">
        <w:rPr>
          <w:rFonts w:ascii="Arial Narrow" w:hAnsi="Arial Narrow" w:cs="Times New Roman"/>
          <w:sz w:val="24"/>
          <w:szCs w:val="24"/>
        </w:rPr>
        <w:t>ως θεματοφύλακας μετοχών σε εισηγμένες κρατικές εταιρείες</w:t>
      </w:r>
      <w:r w:rsidR="0098610B" w:rsidRPr="007B69F7">
        <w:rPr>
          <w:rFonts w:ascii="Arial Narrow" w:hAnsi="Arial Narrow" w:cs="Times New Roman"/>
          <w:sz w:val="24"/>
          <w:szCs w:val="24"/>
        </w:rPr>
        <w:t xml:space="preserve">. Οι </w:t>
      </w:r>
      <w:r w:rsidR="00535D1C" w:rsidRPr="007B69F7">
        <w:rPr>
          <w:rFonts w:ascii="Arial Narrow" w:hAnsi="Arial Narrow" w:cs="Times New Roman"/>
          <w:sz w:val="24"/>
          <w:szCs w:val="24"/>
        </w:rPr>
        <w:t xml:space="preserve">δημόσιοι φορείς στο </w:t>
      </w:r>
      <w:r w:rsidR="001D51D3" w:rsidRPr="007B69F7">
        <w:rPr>
          <w:rFonts w:ascii="Arial Narrow" w:hAnsi="Arial Narrow" w:cs="Times New Roman"/>
          <w:sz w:val="24"/>
          <w:szCs w:val="24"/>
        </w:rPr>
        <w:t>Dubai</w:t>
      </w:r>
      <w:r w:rsidR="00535D1C" w:rsidRPr="007B69F7">
        <w:rPr>
          <w:rFonts w:ascii="Arial Narrow" w:hAnsi="Arial Narrow" w:cs="Times New Roman"/>
          <w:sz w:val="24"/>
          <w:szCs w:val="24"/>
        </w:rPr>
        <w:t xml:space="preserve"> πρέπει να καταχωρίσουν όλα τα περιουσιακά στοιχεία, κινητές και ακίνητες αξίες, ομόλογα, μετοχές κλπ.στο νέο Ταμείο.</w:t>
      </w:r>
      <w:r w:rsidR="0098610B" w:rsidRPr="007B69F7">
        <w:rPr>
          <w:rFonts w:ascii="Arial Narrow" w:hAnsi="Arial Narrow" w:cs="Times New Roman"/>
          <w:sz w:val="24"/>
          <w:szCs w:val="24"/>
        </w:rPr>
        <w:t xml:space="preserve"> </w:t>
      </w:r>
      <w:r w:rsidR="00535D1C" w:rsidRPr="007B69F7">
        <w:rPr>
          <w:rFonts w:ascii="Arial Narrow" w:hAnsi="Arial Narrow" w:cs="Times New Roman"/>
          <w:sz w:val="24"/>
          <w:szCs w:val="24"/>
        </w:rPr>
        <w:t xml:space="preserve">Ως εκ τούτου, τα συνολικά υπό διαχείριση περιουσιακά στοιχεία του DIF θα κυμαίνονται μεταξύ </w:t>
      </w:r>
      <w:r w:rsidR="0098610B" w:rsidRPr="007B69F7">
        <w:rPr>
          <w:rFonts w:ascii="Arial Narrow" w:hAnsi="Arial Narrow" w:cs="Times New Roman"/>
          <w:sz w:val="24"/>
          <w:szCs w:val="24"/>
        </w:rPr>
        <w:t>$</w:t>
      </w:r>
      <w:r w:rsidR="00535D1C" w:rsidRPr="007B69F7">
        <w:rPr>
          <w:rFonts w:ascii="Arial Narrow" w:hAnsi="Arial Narrow" w:cs="Times New Roman"/>
          <w:sz w:val="24"/>
          <w:szCs w:val="24"/>
        </w:rPr>
        <w:t xml:space="preserve">80-100 </w:t>
      </w:r>
      <w:r w:rsidR="00133844" w:rsidRPr="007B69F7">
        <w:rPr>
          <w:rFonts w:ascii="Arial Narrow" w:hAnsi="Arial Narrow" w:cs="Times New Roman"/>
          <w:sz w:val="24"/>
          <w:szCs w:val="24"/>
        </w:rPr>
        <w:t xml:space="preserve">δισεκ. </w:t>
      </w:r>
    </w:p>
    <w:p w14:paraId="343BDE3F" w14:textId="620F4D7E" w:rsidR="00A31F2C" w:rsidRPr="007B69F7" w:rsidRDefault="00563FC9" w:rsidP="00567BCF">
      <w:pPr>
        <w:suppressAutoHyphens/>
        <w:autoSpaceDN w:val="0"/>
        <w:ind w:firstLine="567"/>
        <w:jc w:val="both"/>
        <w:textAlignment w:val="baseline"/>
        <w:rPr>
          <w:rFonts w:ascii="Arial Narrow" w:eastAsia="Times New Roman" w:hAnsi="Arial Narrow" w:cs="Times New Roman"/>
          <w:sz w:val="24"/>
          <w:szCs w:val="24"/>
          <w:lang w:eastAsia="en-US"/>
        </w:rPr>
      </w:pPr>
      <w:r w:rsidRPr="007B69F7">
        <w:rPr>
          <w:rFonts w:ascii="Arial Narrow" w:hAnsi="Arial Narrow" w:cs="Times New Roman"/>
          <w:sz w:val="24"/>
          <w:szCs w:val="24"/>
          <w:lang w:eastAsia="en-GB"/>
        </w:rPr>
        <w:t>Συμπερασματικά, εμιρατινή Κυβέρνηση</w:t>
      </w:r>
      <w:r w:rsidR="00CB1F98" w:rsidRPr="007B69F7">
        <w:rPr>
          <w:rFonts w:ascii="Arial Narrow" w:hAnsi="Arial Narrow" w:cs="Times New Roman"/>
          <w:sz w:val="24"/>
          <w:szCs w:val="24"/>
          <w:lang w:eastAsia="en-GB"/>
        </w:rPr>
        <w:t>,</w:t>
      </w:r>
      <w:r w:rsidRPr="007B69F7">
        <w:rPr>
          <w:rFonts w:ascii="Arial Narrow" w:hAnsi="Arial Narrow" w:cs="Times New Roman"/>
          <w:sz w:val="24"/>
          <w:szCs w:val="24"/>
          <w:lang w:eastAsia="en-GB"/>
        </w:rPr>
        <w:t xml:space="preserve"> </w:t>
      </w:r>
      <w:r w:rsidR="003240C4" w:rsidRPr="007B69F7">
        <w:rPr>
          <w:rFonts w:ascii="Arial Narrow" w:hAnsi="Arial Narrow" w:cs="Times New Roman"/>
          <w:sz w:val="24"/>
          <w:szCs w:val="24"/>
          <w:lang w:eastAsia="en-GB"/>
        </w:rPr>
        <w:t xml:space="preserve">μεταβαίνοντας από </w:t>
      </w:r>
      <w:r w:rsidR="00CB1F98" w:rsidRPr="007B69F7">
        <w:rPr>
          <w:rFonts w:ascii="Arial Narrow" w:hAnsi="Arial Narrow" w:cs="Times New Roman"/>
          <w:sz w:val="24"/>
          <w:szCs w:val="24"/>
          <w:lang w:eastAsia="en-GB"/>
        </w:rPr>
        <w:t>το “</w:t>
      </w:r>
      <w:r w:rsidR="00CB1F98" w:rsidRPr="007B69F7">
        <w:rPr>
          <w:rFonts w:ascii="Arial Narrow" w:hAnsi="Arial Narrow" w:cs="Times New Roman"/>
          <w:b/>
          <w:bCs/>
          <w:sz w:val="24"/>
          <w:szCs w:val="24"/>
          <w:lang w:val="en-US" w:eastAsia="en-GB"/>
        </w:rPr>
        <w:t>Vision</w:t>
      </w:r>
      <w:r w:rsidR="00CB1F98" w:rsidRPr="007B69F7">
        <w:rPr>
          <w:rFonts w:ascii="Arial Narrow" w:hAnsi="Arial Narrow" w:cs="Times New Roman"/>
          <w:b/>
          <w:bCs/>
          <w:sz w:val="24"/>
          <w:szCs w:val="24"/>
          <w:lang w:eastAsia="en-GB"/>
        </w:rPr>
        <w:t xml:space="preserve"> 2021</w:t>
      </w:r>
      <w:r w:rsidR="00CB1F98" w:rsidRPr="007B69F7">
        <w:rPr>
          <w:rFonts w:ascii="Arial Narrow" w:hAnsi="Arial Narrow" w:cs="Times New Roman"/>
          <w:sz w:val="24"/>
          <w:szCs w:val="24"/>
          <w:lang w:eastAsia="en-GB"/>
        </w:rPr>
        <w:t>”</w:t>
      </w:r>
      <w:r w:rsidR="003240C4" w:rsidRPr="007B69F7">
        <w:rPr>
          <w:rFonts w:ascii="Arial Narrow" w:hAnsi="Arial Narrow" w:cs="Times New Roman"/>
          <w:sz w:val="24"/>
          <w:szCs w:val="24"/>
          <w:lang w:eastAsia="en-GB"/>
        </w:rPr>
        <w:t xml:space="preserve"> στο </w:t>
      </w:r>
      <w:r w:rsidR="00EB731D" w:rsidRPr="007B69F7">
        <w:rPr>
          <w:rFonts w:ascii="Arial Narrow" w:hAnsi="Arial Narrow" w:cs="Times New Roman"/>
          <w:sz w:val="24"/>
          <w:szCs w:val="24"/>
          <w:lang w:eastAsia="en-GB"/>
        </w:rPr>
        <w:t>“</w:t>
      </w:r>
      <w:r w:rsidR="003240C4" w:rsidRPr="007B69F7">
        <w:rPr>
          <w:rFonts w:ascii="Arial Narrow" w:hAnsi="Arial Narrow" w:cs="Times New Roman"/>
          <w:b/>
          <w:bCs/>
          <w:sz w:val="24"/>
          <w:szCs w:val="24"/>
          <w:lang w:val="en-US" w:eastAsia="en-GB"/>
        </w:rPr>
        <w:t>Vision</w:t>
      </w:r>
      <w:r w:rsidR="003240C4" w:rsidRPr="007B69F7">
        <w:rPr>
          <w:rFonts w:ascii="Arial Narrow" w:hAnsi="Arial Narrow" w:cs="Times New Roman"/>
          <w:b/>
          <w:bCs/>
          <w:sz w:val="24"/>
          <w:szCs w:val="24"/>
          <w:lang w:eastAsia="en-GB"/>
        </w:rPr>
        <w:t xml:space="preserve"> 2071</w:t>
      </w:r>
      <w:r w:rsidR="00EB731D" w:rsidRPr="007B69F7">
        <w:rPr>
          <w:rFonts w:ascii="Arial Narrow" w:hAnsi="Arial Narrow" w:cs="Times New Roman"/>
          <w:b/>
          <w:bCs/>
          <w:sz w:val="24"/>
          <w:szCs w:val="24"/>
          <w:lang w:eastAsia="en-GB"/>
        </w:rPr>
        <w:t>”</w:t>
      </w:r>
      <w:r w:rsidR="003240C4" w:rsidRPr="007B69F7">
        <w:rPr>
          <w:rFonts w:ascii="Arial Narrow" w:hAnsi="Arial Narrow" w:cs="Times New Roman"/>
          <w:sz w:val="24"/>
          <w:szCs w:val="24"/>
          <w:lang w:eastAsia="en-GB"/>
        </w:rPr>
        <w:t xml:space="preserve">, </w:t>
      </w:r>
      <w:r w:rsidR="008C7A60" w:rsidRPr="007B69F7">
        <w:rPr>
          <w:rFonts w:ascii="Arial Narrow" w:hAnsi="Arial Narrow" w:cs="Times New Roman"/>
          <w:sz w:val="24"/>
          <w:szCs w:val="24"/>
          <w:lang w:eastAsia="en-GB"/>
        </w:rPr>
        <w:t xml:space="preserve">εξακολουθεί να </w:t>
      </w:r>
      <w:r w:rsidRPr="007B69F7">
        <w:rPr>
          <w:rFonts w:ascii="Arial Narrow" w:hAnsi="Arial Narrow" w:cs="Times New Roman"/>
          <w:sz w:val="24"/>
          <w:szCs w:val="24"/>
          <w:lang w:eastAsia="en-GB"/>
        </w:rPr>
        <w:t xml:space="preserve">καταβάλλει αξιόλογες προσπάθειες για </w:t>
      </w:r>
      <w:r w:rsidR="002650BE" w:rsidRPr="007B69F7">
        <w:rPr>
          <w:rFonts w:ascii="Arial Narrow" w:hAnsi="Arial Narrow" w:cs="Times New Roman"/>
          <w:sz w:val="24"/>
          <w:szCs w:val="24"/>
          <w:lang w:eastAsia="en-GB"/>
        </w:rPr>
        <w:t xml:space="preserve">τη </w:t>
      </w:r>
      <w:r w:rsidRPr="007B69F7">
        <w:rPr>
          <w:rFonts w:ascii="Arial Narrow" w:hAnsi="Arial Narrow" w:cs="Times New Roman"/>
          <w:sz w:val="24"/>
          <w:szCs w:val="24"/>
          <w:lang w:eastAsia="en-GB"/>
        </w:rPr>
        <w:t>δι</w:t>
      </w:r>
      <w:r w:rsidR="004B748C" w:rsidRPr="007B69F7">
        <w:rPr>
          <w:rFonts w:ascii="Arial Narrow" w:hAnsi="Arial Narrow" w:cs="Times New Roman"/>
          <w:sz w:val="24"/>
          <w:szCs w:val="24"/>
          <w:lang w:eastAsia="en-GB"/>
        </w:rPr>
        <w:t>εύρυνση της παραγωγικής βάσης</w:t>
      </w:r>
      <w:r w:rsidR="002650BE" w:rsidRPr="007B69F7">
        <w:rPr>
          <w:rFonts w:ascii="Arial Narrow" w:hAnsi="Arial Narrow" w:cs="Times New Roman"/>
          <w:sz w:val="24"/>
          <w:szCs w:val="24"/>
          <w:lang w:eastAsia="en-GB"/>
        </w:rPr>
        <w:t xml:space="preserve"> της εμιρατινής οικονομίας</w:t>
      </w:r>
      <w:r w:rsidR="004B748C" w:rsidRPr="007B69F7">
        <w:rPr>
          <w:rFonts w:ascii="Arial Narrow" w:hAnsi="Arial Narrow" w:cs="Times New Roman"/>
          <w:sz w:val="24"/>
          <w:szCs w:val="24"/>
          <w:lang w:eastAsia="en-GB"/>
        </w:rPr>
        <w:t xml:space="preserve"> και για </w:t>
      </w:r>
      <w:r w:rsidR="002650BE" w:rsidRPr="007B69F7">
        <w:rPr>
          <w:rFonts w:ascii="Arial Narrow" w:hAnsi="Arial Narrow" w:cs="Times New Roman"/>
          <w:sz w:val="24"/>
          <w:szCs w:val="24"/>
          <w:lang w:eastAsia="en-GB"/>
        </w:rPr>
        <w:t xml:space="preserve">την </w:t>
      </w:r>
      <w:r w:rsidR="004B748C" w:rsidRPr="007B69F7">
        <w:rPr>
          <w:rFonts w:ascii="Arial Narrow" w:hAnsi="Arial Narrow" w:cs="Times New Roman"/>
          <w:sz w:val="24"/>
          <w:szCs w:val="24"/>
          <w:lang w:eastAsia="en-GB"/>
        </w:rPr>
        <w:t xml:space="preserve">προώθηση εικόνας χώρας </w:t>
      </w:r>
      <w:r w:rsidR="00A31F2C" w:rsidRPr="007B69F7">
        <w:rPr>
          <w:rFonts w:ascii="Arial Narrow" w:hAnsi="Arial Narrow" w:cs="Times New Roman"/>
          <w:sz w:val="24"/>
          <w:szCs w:val="24"/>
          <w:lang w:eastAsia="en-GB"/>
        </w:rPr>
        <w:t xml:space="preserve">ως </w:t>
      </w:r>
      <w:r w:rsidR="00871E72" w:rsidRPr="007B69F7">
        <w:rPr>
          <w:rFonts w:ascii="Arial Narrow" w:hAnsi="Arial Narrow" w:cs="Times New Roman"/>
          <w:b/>
          <w:sz w:val="24"/>
          <w:szCs w:val="24"/>
          <w:lang w:eastAsia="en-GB"/>
        </w:rPr>
        <w:t>του</w:t>
      </w:r>
      <w:r w:rsidR="00A31F2C" w:rsidRPr="007B69F7">
        <w:rPr>
          <w:rFonts w:ascii="Arial Narrow" w:hAnsi="Arial Narrow" w:cs="Times New Roman"/>
          <w:b/>
          <w:sz w:val="24"/>
          <w:szCs w:val="24"/>
          <w:lang w:eastAsia="en-GB"/>
        </w:rPr>
        <w:t xml:space="preserve"> καλύτερο</w:t>
      </w:r>
      <w:r w:rsidR="00871E72" w:rsidRPr="007B69F7">
        <w:rPr>
          <w:rFonts w:ascii="Arial Narrow" w:hAnsi="Arial Narrow" w:cs="Times New Roman"/>
          <w:b/>
          <w:sz w:val="24"/>
          <w:szCs w:val="24"/>
          <w:lang w:eastAsia="en-GB"/>
        </w:rPr>
        <w:t>υ</w:t>
      </w:r>
      <w:r w:rsidR="00A31F2C" w:rsidRPr="007B69F7">
        <w:rPr>
          <w:rFonts w:ascii="Arial Narrow" w:hAnsi="Arial Narrow" w:cs="Times New Roman"/>
          <w:b/>
          <w:sz w:val="24"/>
          <w:szCs w:val="24"/>
          <w:lang w:eastAsia="en-GB"/>
        </w:rPr>
        <w:t xml:space="preserve"> τόπο</w:t>
      </w:r>
      <w:r w:rsidR="00871E72" w:rsidRPr="007B69F7">
        <w:rPr>
          <w:rFonts w:ascii="Arial Narrow" w:hAnsi="Arial Narrow" w:cs="Times New Roman"/>
          <w:b/>
          <w:sz w:val="24"/>
          <w:szCs w:val="24"/>
          <w:lang w:eastAsia="en-GB"/>
        </w:rPr>
        <w:t>υ</w:t>
      </w:r>
      <w:r w:rsidR="00A31F2C" w:rsidRPr="007B69F7">
        <w:rPr>
          <w:rFonts w:ascii="Arial Narrow" w:hAnsi="Arial Narrow" w:cs="Times New Roman"/>
          <w:b/>
          <w:sz w:val="24"/>
          <w:szCs w:val="24"/>
          <w:lang w:eastAsia="en-GB"/>
        </w:rPr>
        <w:t xml:space="preserve"> διαβίωσης</w:t>
      </w:r>
      <w:r w:rsidR="00A31F2C" w:rsidRPr="007B69F7">
        <w:rPr>
          <w:rFonts w:ascii="Arial Narrow" w:hAnsi="Arial Narrow" w:cs="Times New Roman"/>
          <w:sz w:val="24"/>
          <w:szCs w:val="24"/>
          <w:lang w:eastAsia="en-GB"/>
        </w:rPr>
        <w:t xml:space="preserve">. Τα ΗΑΕ προωθούν σημαντικές μεταρρυθμίσεις, προκειμένου να μην απωλέσουν τη θέση τους ως </w:t>
      </w:r>
      <w:r w:rsidR="00A31F2C" w:rsidRPr="007B69F7">
        <w:rPr>
          <w:rFonts w:ascii="Arial Narrow" w:hAnsi="Arial Narrow" w:cs="Times New Roman"/>
          <w:b/>
          <w:bCs/>
          <w:sz w:val="24"/>
          <w:szCs w:val="24"/>
          <w:lang w:val="en-US" w:eastAsia="en-GB"/>
        </w:rPr>
        <w:t>mega</w:t>
      </w:r>
      <w:r w:rsidR="00A31F2C" w:rsidRPr="007B69F7">
        <w:rPr>
          <w:rFonts w:ascii="Arial Narrow" w:hAnsi="Arial Narrow" w:cs="Times New Roman"/>
          <w:b/>
          <w:bCs/>
          <w:sz w:val="24"/>
          <w:szCs w:val="24"/>
          <w:lang w:eastAsia="en-GB"/>
        </w:rPr>
        <w:t xml:space="preserve"> </w:t>
      </w:r>
      <w:r w:rsidR="00A31F2C" w:rsidRPr="007B69F7">
        <w:rPr>
          <w:rFonts w:ascii="Arial Narrow" w:hAnsi="Arial Narrow" w:cs="Times New Roman"/>
          <w:b/>
          <w:bCs/>
          <w:sz w:val="24"/>
          <w:szCs w:val="24"/>
          <w:lang w:val="en-US" w:eastAsia="en-GB"/>
        </w:rPr>
        <w:t>hub</w:t>
      </w:r>
      <w:r w:rsidR="00A31F2C" w:rsidRPr="007B69F7">
        <w:rPr>
          <w:rFonts w:ascii="Arial Narrow" w:hAnsi="Arial Narrow" w:cs="Times New Roman"/>
          <w:sz w:val="24"/>
          <w:szCs w:val="24"/>
          <w:lang w:eastAsia="en-GB"/>
        </w:rPr>
        <w:t xml:space="preserve"> της περιοχής, φοβούμενοι τον ανταγωνισμό από τις γειτονικές χώρες και κυρίως από τη Σαουδική Αραβία. Αξίζει να αναφερθεί ότι </w:t>
      </w:r>
      <w:r w:rsidR="00A31F2C" w:rsidRPr="007B69F7">
        <w:rPr>
          <w:rFonts w:ascii="Arial Narrow" w:eastAsia="Times New Roman" w:hAnsi="Arial Narrow" w:cs="Times New Roman"/>
          <w:sz w:val="24"/>
          <w:szCs w:val="24"/>
          <w:lang w:eastAsia="en-US"/>
        </w:rPr>
        <w:t>πέραν του ευέλικτου και του ακμάζοντος επενδυτικού κέντρου, τα ΗΑΕ διαθέτουν επίσης ένα από τα υψηλότερα κατά κεφαλήν εισοδήματα και ένα από τα χαμηλότερα ποσοστά εγκληματικότητας</w:t>
      </w:r>
      <w:r w:rsidR="007417C8" w:rsidRPr="007B69F7">
        <w:rPr>
          <w:rFonts w:ascii="Arial Narrow" w:eastAsia="Times New Roman" w:hAnsi="Arial Narrow" w:cs="Times New Roman"/>
          <w:sz w:val="24"/>
          <w:szCs w:val="24"/>
          <w:lang w:eastAsia="en-US"/>
        </w:rPr>
        <w:t xml:space="preserve"> παγκοσμίως</w:t>
      </w:r>
      <w:r w:rsidR="00A31F2C" w:rsidRPr="007B69F7">
        <w:rPr>
          <w:rFonts w:ascii="Arial Narrow" w:eastAsia="Times New Roman" w:hAnsi="Arial Narrow" w:cs="Times New Roman"/>
          <w:sz w:val="24"/>
          <w:szCs w:val="24"/>
          <w:lang w:eastAsia="en-US"/>
        </w:rPr>
        <w:t xml:space="preserve">. Τέλος, ως προς τις πολιτικές ενθάρρυνσης της εγχώριας απασχόλησης, κοινή πεποίθηση αποτελεί η ανάγκη για </w:t>
      </w:r>
      <w:r w:rsidR="00A31F2C" w:rsidRPr="007B69F7">
        <w:rPr>
          <w:rFonts w:ascii="Arial Narrow" w:eastAsia="Times New Roman" w:hAnsi="Arial Narrow" w:cs="Times New Roman"/>
          <w:b/>
          <w:bCs/>
          <w:sz w:val="24"/>
          <w:szCs w:val="24"/>
          <w:lang w:eastAsia="en-US"/>
        </w:rPr>
        <w:t>αύξηση της παραγωγικότητας</w:t>
      </w:r>
      <w:r w:rsidR="00A31F2C" w:rsidRPr="007B69F7">
        <w:rPr>
          <w:rFonts w:ascii="Arial Narrow" w:eastAsia="Times New Roman" w:hAnsi="Arial Narrow" w:cs="Times New Roman"/>
          <w:sz w:val="24"/>
          <w:szCs w:val="24"/>
          <w:lang w:eastAsia="en-US"/>
        </w:rPr>
        <w:t xml:space="preserve"> της.</w:t>
      </w:r>
    </w:p>
    <w:p w14:paraId="24935487" w14:textId="2D29B399" w:rsidR="003B5F4C" w:rsidRPr="007B69F7" w:rsidRDefault="00092951" w:rsidP="00567BCF">
      <w:pPr>
        <w:spacing w:after="240"/>
        <w:ind w:firstLine="567"/>
        <w:jc w:val="both"/>
        <w:rPr>
          <w:rFonts w:ascii="Arial Narrow" w:eastAsia="Times New Roman" w:hAnsi="Arial Narrow" w:cs="Times New Roman"/>
          <w:sz w:val="24"/>
          <w:szCs w:val="24"/>
        </w:rPr>
      </w:pPr>
      <w:r w:rsidRPr="007B69F7">
        <w:rPr>
          <w:rFonts w:ascii="Arial Narrow" w:eastAsia="Times New Roman" w:hAnsi="Arial Narrow" w:cs="Times New Roman"/>
          <w:sz w:val="24"/>
          <w:szCs w:val="24"/>
        </w:rPr>
        <w:t xml:space="preserve">Παράλληλα με τις ανωτέρω πολιτικές που εστιάζουν στα εσωτερικά ζητήματα </w:t>
      </w:r>
      <w:r w:rsidR="000412C2" w:rsidRPr="007B69F7">
        <w:rPr>
          <w:rFonts w:ascii="Arial Narrow" w:eastAsia="Times New Roman" w:hAnsi="Arial Narrow" w:cs="Times New Roman"/>
          <w:sz w:val="24"/>
          <w:szCs w:val="24"/>
        </w:rPr>
        <w:t>τ</w:t>
      </w:r>
      <w:r w:rsidRPr="007B69F7">
        <w:rPr>
          <w:rFonts w:ascii="Arial Narrow" w:eastAsia="Times New Roman" w:hAnsi="Arial Narrow" w:cs="Times New Roman"/>
          <w:sz w:val="24"/>
          <w:szCs w:val="24"/>
        </w:rPr>
        <w:t>ης χώρας, τα ΗΑΕ τα τελευταία χρόνια ενισχύουν όλο και περισσότερο τις εμπορικές κι επενδυτικές τους σχέσεις με άλλες χώρες</w:t>
      </w:r>
      <w:r w:rsidR="00F67F0B" w:rsidRPr="007B69F7">
        <w:rPr>
          <w:rFonts w:ascii="Arial Narrow" w:eastAsia="Times New Roman" w:hAnsi="Arial Narrow" w:cs="Times New Roman"/>
          <w:sz w:val="24"/>
          <w:szCs w:val="24"/>
        </w:rPr>
        <w:t xml:space="preserve">, εστιάζοντας στην σύναψη διμερών </w:t>
      </w:r>
      <w:r w:rsidR="000412C2" w:rsidRPr="007B69F7">
        <w:rPr>
          <w:rFonts w:ascii="Arial Narrow" w:eastAsia="Times New Roman" w:hAnsi="Arial Narrow" w:cs="Times New Roman"/>
          <w:b/>
          <w:bCs/>
          <w:sz w:val="24"/>
          <w:szCs w:val="24"/>
        </w:rPr>
        <w:t>Σ</w:t>
      </w:r>
      <w:r w:rsidR="00F67F0B" w:rsidRPr="007B69F7">
        <w:rPr>
          <w:rFonts w:ascii="Arial Narrow" w:eastAsia="Times New Roman" w:hAnsi="Arial Narrow" w:cs="Times New Roman"/>
          <w:b/>
          <w:bCs/>
          <w:sz w:val="24"/>
          <w:szCs w:val="24"/>
        </w:rPr>
        <w:t xml:space="preserve">υμφωνιών </w:t>
      </w:r>
      <w:r w:rsidR="000412C2" w:rsidRPr="007B69F7">
        <w:rPr>
          <w:rFonts w:ascii="Arial Narrow" w:eastAsia="Times New Roman" w:hAnsi="Arial Narrow" w:cs="Times New Roman"/>
          <w:b/>
          <w:bCs/>
          <w:sz w:val="24"/>
          <w:szCs w:val="24"/>
        </w:rPr>
        <w:t>Ο</w:t>
      </w:r>
      <w:r w:rsidR="00F67F0B" w:rsidRPr="007B69F7">
        <w:rPr>
          <w:rFonts w:ascii="Arial Narrow" w:eastAsia="Times New Roman" w:hAnsi="Arial Narrow" w:cs="Times New Roman"/>
          <w:b/>
          <w:bCs/>
          <w:sz w:val="24"/>
          <w:szCs w:val="24"/>
        </w:rPr>
        <w:t xml:space="preserve">λοκληρωμένης </w:t>
      </w:r>
      <w:r w:rsidR="000412C2" w:rsidRPr="007B69F7">
        <w:rPr>
          <w:rFonts w:ascii="Arial Narrow" w:eastAsia="Times New Roman" w:hAnsi="Arial Narrow" w:cs="Times New Roman"/>
          <w:b/>
          <w:bCs/>
          <w:sz w:val="24"/>
          <w:szCs w:val="24"/>
        </w:rPr>
        <w:t>Ο</w:t>
      </w:r>
      <w:r w:rsidR="00F67F0B" w:rsidRPr="007B69F7">
        <w:rPr>
          <w:rFonts w:ascii="Arial Narrow" w:eastAsia="Times New Roman" w:hAnsi="Arial Narrow" w:cs="Times New Roman"/>
          <w:b/>
          <w:bCs/>
          <w:sz w:val="24"/>
          <w:szCs w:val="24"/>
        </w:rPr>
        <w:t xml:space="preserve">ικονομικής </w:t>
      </w:r>
      <w:r w:rsidR="000412C2" w:rsidRPr="007B69F7">
        <w:rPr>
          <w:rFonts w:ascii="Arial Narrow" w:eastAsia="Times New Roman" w:hAnsi="Arial Narrow" w:cs="Times New Roman"/>
          <w:b/>
          <w:bCs/>
          <w:sz w:val="24"/>
          <w:szCs w:val="24"/>
        </w:rPr>
        <w:t>Σ</w:t>
      </w:r>
      <w:r w:rsidR="00F67F0B" w:rsidRPr="007B69F7">
        <w:rPr>
          <w:rFonts w:ascii="Arial Narrow" w:eastAsia="Times New Roman" w:hAnsi="Arial Narrow" w:cs="Times New Roman"/>
          <w:b/>
          <w:bCs/>
          <w:sz w:val="24"/>
          <w:szCs w:val="24"/>
        </w:rPr>
        <w:t>υνεργασίας</w:t>
      </w:r>
      <w:r w:rsidR="00F67F0B" w:rsidRPr="007B69F7">
        <w:rPr>
          <w:rFonts w:ascii="Arial Narrow" w:eastAsia="Times New Roman" w:hAnsi="Arial Narrow" w:cs="Times New Roman"/>
          <w:sz w:val="24"/>
          <w:szCs w:val="24"/>
        </w:rPr>
        <w:t>. Το</w:t>
      </w:r>
      <w:r w:rsidR="00424AFA" w:rsidRPr="007B69F7">
        <w:rPr>
          <w:rFonts w:ascii="Arial Narrow" w:eastAsia="Times New Roman" w:hAnsi="Arial Narrow" w:cs="Times New Roman"/>
          <w:sz w:val="24"/>
          <w:szCs w:val="24"/>
        </w:rPr>
        <w:t>ν</w:t>
      </w:r>
      <w:r w:rsidR="00F67F0B" w:rsidRPr="007B69F7">
        <w:rPr>
          <w:rFonts w:ascii="Arial Narrow" w:eastAsia="Times New Roman" w:hAnsi="Arial Narrow" w:cs="Times New Roman"/>
          <w:sz w:val="24"/>
          <w:szCs w:val="24"/>
        </w:rPr>
        <w:t xml:space="preserve"> Σεπτέμβριο του 2021, </w:t>
      </w:r>
      <w:r w:rsidR="00DC7181" w:rsidRPr="007B69F7">
        <w:rPr>
          <w:rFonts w:ascii="Arial Narrow" w:eastAsia="Times New Roman" w:hAnsi="Arial Narrow" w:cs="Times New Roman"/>
          <w:sz w:val="24"/>
          <w:szCs w:val="24"/>
        </w:rPr>
        <w:t xml:space="preserve">στο πλαίσιο των εξαγγελιών των </w:t>
      </w:r>
      <w:r w:rsidR="00DC7181" w:rsidRPr="007B69F7">
        <w:rPr>
          <w:rFonts w:ascii="Arial Narrow" w:eastAsia="Times New Roman" w:hAnsi="Arial Narrow" w:cs="Times New Roman"/>
          <w:sz w:val="24"/>
          <w:szCs w:val="24"/>
          <w:lang w:val="en-US"/>
        </w:rPr>
        <w:t>Projects</w:t>
      </w:r>
      <w:r w:rsidR="00DC7181" w:rsidRPr="007B69F7">
        <w:rPr>
          <w:rFonts w:ascii="Arial Narrow" w:eastAsia="Times New Roman" w:hAnsi="Arial Narrow" w:cs="Times New Roman"/>
          <w:sz w:val="24"/>
          <w:szCs w:val="24"/>
        </w:rPr>
        <w:t xml:space="preserve"> </w:t>
      </w:r>
      <w:r w:rsidR="00DC7181" w:rsidRPr="007B69F7">
        <w:rPr>
          <w:rFonts w:ascii="Arial Narrow" w:eastAsia="Times New Roman" w:hAnsi="Arial Narrow" w:cs="Times New Roman"/>
          <w:sz w:val="24"/>
          <w:szCs w:val="24"/>
          <w:lang w:val="en-US"/>
        </w:rPr>
        <w:t>of</w:t>
      </w:r>
      <w:r w:rsidR="00DC7181" w:rsidRPr="007B69F7">
        <w:rPr>
          <w:rFonts w:ascii="Arial Narrow" w:eastAsia="Times New Roman" w:hAnsi="Arial Narrow" w:cs="Times New Roman"/>
          <w:sz w:val="24"/>
          <w:szCs w:val="24"/>
        </w:rPr>
        <w:t xml:space="preserve"> </w:t>
      </w:r>
      <w:r w:rsidR="00DC7181" w:rsidRPr="007B69F7">
        <w:rPr>
          <w:rFonts w:ascii="Arial Narrow" w:eastAsia="Times New Roman" w:hAnsi="Arial Narrow" w:cs="Times New Roman"/>
          <w:sz w:val="24"/>
          <w:szCs w:val="24"/>
          <w:lang w:val="en-US"/>
        </w:rPr>
        <w:t>the</w:t>
      </w:r>
      <w:r w:rsidR="00DC7181" w:rsidRPr="007B69F7">
        <w:rPr>
          <w:rFonts w:ascii="Arial Narrow" w:eastAsia="Times New Roman" w:hAnsi="Arial Narrow" w:cs="Times New Roman"/>
          <w:sz w:val="24"/>
          <w:szCs w:val="24"/>
        </w:rPr>
        <w:t xml:space="preserve"> 50, </w:t>
      </w:r>
      <w:r w:rsidR="00F67F0B" w:rsidRPr="007B69F7">
        <w:rPr>
          <w:rFonts w:ascii="Arial Narrow" w:eastAsia="Times New Roman" w:hAnsi="Arial Narrow" w:cs="Times New Roman"/>
          <w:sz w:val="24"/>
          <w:szCs w:val="24"/>
        </w:rPr>
        <w:t xml:space="preserve">ανακοινώθηκαν οι 8 χώρες προτεραιότητας για τη σύναψη διμερούς συμφωνίας, με απτά αποτελέσματα της στρατηγικής αυτής </w:t>
      </w:r>
      <w:bookmarkStart w:id="4" w:name="_Hlk169086743"/>
      <w:r w:rsidR="001F6015" w:rsidRPr="007B69F7">
        <w:rPr>
          <w:rFonts w:ascii="Arial Narrow" w:eastAsia="Times New Roman" w:hAnsi="Arial Narrow" w:cs="Times New Roman"/>
          <w:sz w:val="24"/>
          <w:szCs w:val="24"/>
        </w:rPr>
        <w:t>από το 2022</w:t>
      </w:r>
      <w:r w:rsidR="001638C2" w:rsidRPr="007B69F7">
        <w:rPr>
          <w:rFonts w:ascii="Arial Narrow" w:eastAsia="Times New Roman" w:hAnsi="Arial Narrow" w:cs="Times New Roman"/>
          <w:sz w:val="24"/>
          <w:szCs w:val="24"/>
        </w:rPr>
        <w:t xml:space="preserve"> (</w:t>
      </w:r>
      <w:hyperlink w:anchor="_Συμμετοχή_των_ΗΑΕ" w:history="1">
        <w:r w:rsidR="001638C2" w:rsidRPr="007B69F7">
          <w:rPr>
            <w:rStyle w:val="Hyperlink"/>
            <w:rFonts w:ascii="Arial Narrow" w:eastAsia="Times New Roman" w:hAnsi="Arial Narrow" w:cs="Times New Roman"/>
            <w:sz w:val="24"/>
            <w:szCs w:val="24"/>
          </w:rPr>
          <w:t>βλ.</w:t>
        </w:r>
        <w:r w:rsidR="00CE3462" w:rsidRPr="007B69F7">
          <w:rPr>
            <w:rStyle w:val="Hyperlink"/>
            <w:rFonts w:ascii="Arial Narrow" w:eastAsia="Times New Roman" w:hAnsi="Arial Narrow" w:cs="Times New Roman"/>
            <w:sz w:val="24"/>
            <w:szCs w:val="24"/>
          </w:rPr>
          <w:t xml:space="preserve"> Ενότητα </w:t>
        </w:r>
        <w:r w:rsidR="001638C2" w:rsidRPr="007B69F7">
          <w:rPr>
            <w:rStyle w:val="Hyperlink"/>
            <w:rFonts w:ascii="Arial Narrow" w:eastAsia="Times New Roman" w:hAnsi="Arial Narrow" w:cs="Times New Roman"/>
            <w:sz w:val="24"/>
            <w:szCs w:val="24"/>
          </w:rPr>
          <w:t>2.4.3</w:t>
        </w:r>
      </w:hyperlink>
      <w:r w:rsidR="001638C2" w:rsidRPr="007B69F7">
        <w:rPr>
          <w:rFonts w:ascii="Arial Narrow" w:eastAsia="Times New Roman" w:hAnsi="Arial Narrow" w:cs="Times New Roman"/>
          <w:sz w:val="24"/>
          <w:szCs w:val="24"/>
        </w:rPr>
        <w:t>)</w:t>
      </w:r>
      <w:r w:rsidR="00920FD4" w:rsidRPr="007B69F7">
        <w:rPr>
          <w:rFonts w:ascii="Arial Narrow" w:eastAsia="Times New Roman" w:hAnsi="Arial Narrow" w:cs="Times New Roman"/>
          <w:sz w:val="24"/>
          <w:szCs w:val="24"/>
        </w:rPr>
        <w:t>.</w:t>
      </w:r>
      <w:bookmarkEnd w:id="4"/>
    </w:p>
    <w:p w14:paraId="7D7F6EEC" w14:textId="1280A919" w:rsidR="0097367E" w:rsidRPr="002C2272" w:rsidRDefault="006D1A78" w:rsidP="002C2272">
      <w:pPr>
        <w:spacing w:after="240"/>
        <w:ind w:firstLine="567"/>
        <w:jc w:val="both"/>
        <w:rPr>
          <w:rFonts w:ascii="Arial Narrow" w:eastAsia="Times New Roman" w:hAnsi="Arial Narrow" w:cs="Times New Roman"/>
          <w:sz w:val="24"/>
          <w:szCs w:val="24"/>
        </w:rPr>
      </w:pPr>
      <w:r w:rsidRPr="007B69F7">
        <w:rPr>
          <w:rFonts w:ascii="Arial Narrow" w:eastAsia="Times New Roman" w:hAnsi="Arial Narrow" w:cs="Times New Roman"/>
          <w:sz w:val="24"/>
          <w:szCs w:val="24"/>
        </w:rPr>
        <w:t xml:space="preserve">Παράλληλα, οι οικονομικές στοχεύσεις της χώρας στο εξωτερικό πραγματοποιούνται </w:t>
      </w:r>
      <w:r w:rsidR="0071531B" w:rsidRPr="007B69F7">
        <w:rPr>
          <w:rFonts w:ascii="Arial Narrow" w:eastAsia="Times New Roman" w:hAnsi="Arial Narrow" w:cs="Times New Roman"/>
          <w:sz w:val="24"/>
          <w:szCs w:val="24"/>
        </w:rPr>
        <w:t xml:space="preserve">και </w:t>
      </w:r>
      <w:r w:rsidRPr="007B69F7">
        <w:rPr>
          <w:rFonts w:ascii="Arial Narrow" w:eastAsia="Times New Roman" w:hAnsi="Arial Narrow" w:cs="Times New Roman"/>
          <w:b/>
          <w:bCs/>
          <w:sz w:val="24"/>
          <w:szCs w:val="24"/>
        </w:rPr>
        <w:t>μέσω επενδύσεων</w:t>
      </w:r>
      <w:r w:rsidRPr="007B69F7">
        <w:rPr>
          <w:rFonts w:ascii="Arial Narrow" w:eastAsia="Times New Roman" w:hAnsi="Arial Narrow" w:cs="Times New Roman"/>
          <w:sz w:val="24"/>
          <w:szCs w:val="24"/>
        </w:rPr>
        <w:t xml:space="preserve"> των προαναφερθέντων </w:t>
      </w:r>
      <w:r w:rsidR="000412C2" w:rsidRPr="007B69F7">
        <w:rPr>
          <w:rFonts w:ascii="Arial Narrow" w:eastAsia="Times New Roman" w:hAnsi="Arial Narrow" w:cs="Times New Roman"/>
          <w:sz w:val="24"/>
          <w:szCs w:val="24"/>
        </w:rPr>
        <w:t>Κ</w:t>
      </w:r>
      <w:r w:rsidRPr="007B69F7">
        <w:rPr>
          <w:rFonts w:ascii="Arial Narrow" w:eastAsia="Times New Roman" w:hAnsi="Arial Narrow" w:cs="Times New Roman"/>
          <w:sz w:val="24"/>
          <w:szCs w:val="24"/>
        </w:rPr>
        <w:t xml:space="preserve">ρατικών </w:t>
      </w:r>
      <w:r w:rsidR="000412C2" w:rsidRPr="007B69F7">
        <w:rPr>
          <w:rFonts w:ascii="Arial Narrow" w:eastAsia="Times New Roman" w:hAnsi="Arial Narrow" w:cs="Times New Roman"/>
          <w:sz w:val="24"/>
          <w:szCs w:val="24"/>
        </w:rPr>
        <w:t>Ε</w:t>
      </w:r>
      <w:r w:rsidRPr="007B69F7">
        <w:rPr>
          <w:rFonts w:ascii="Arial Narrow" w:eastAsia="Times New Roman" w:hAnsi="Arial Narrow" w:cs="Times New Roman"/>
          <w:sz w:val="24"/>
          <w:szCs w:val="24"/>
        </w:rPr>
        <w:t xml:space="preserve">πενδυτικών </w:t>
      </w:r>
      <w:r w:rsidR="000412C2" w:rsidRPr="007B69F7">
        <w:rPr>
          <w:rFonts w:ascii="Arial Narrow" w:eastAsia="Times New Roman" w:hAnsi="Arial Narrow" w:cs="Times New Roman"/>
          <w:sz w:val="24"/>
          <w:szCs w:val="24"/>
        </w:rPr>
        <w:t>Τ</w:t>
      </w:r>
      <w:r w:rsidRPr="007B69F7">
        <w:rPr>
          <w:rFonts w:ascii="Arial Narrow" w:eastAsia="Times New Roman" w:hAnsi="Arial Narrow" w:cs="Times New Roman"/>
          <w:sz w:val="24"/>
          <w:szCs w:val="24"/>
        </w:rPr>
        <w:t>αμείων σε τομείς και χώρες ενδιαφέρ</w:t>
      </w:r>
      <w:bookmarkStart w:id="5" w:name="_Η_Δομή_της"/>
      <w:bookmarkEnd w:id="5"/>
      <w:r w:rsidR="002C2272">
        <w:rPr>
          <w:rFonts w:ascii="Arial Narrow" w:eastAsia="Times New Roman" w:hAnsi="Arial Narrow" w:cs="Times New Roman"/>
          <w:sz w:val="24"/>
          <w:szCs w:val="24"/>
        </w:rPr>
        <w:t>οντος.</w:t>
      </w:r>
    </w:p>
    <w:p w14:paraId="0BA27130" w14:textId="1D5E3D91" w:rsidR="00D743B0" w:rsidRPr="00060A0F" w:rsidRDefault="00060A0F" w:rsidP="00060A0F">
      <w:pPr>
        <w:rPr>
          <w:rFonts w:ascii="Arial Narrow" w:hAnsi="Arial Narrow"/>
          <w:b/>
          <w:color w:val="4F81BD" w:themeColor="accent1"/>
          <w:sz w:val="28"/>
          <w:szCs w:val="28"/>
        </w:rPr>
      </w:pPr>
      <w:r w:rsidRPr="00060A0F">
        <w:rPr>
          <w:rFonts w:ascii="Arial Narrow" w:hAnsi="Arial Narrow"/>
          <w:b/>
          <w:color w:val="4F81BD" w:themeColor="accent1"/>
          <w:sz w:val="28"/>
          <w:szCs w:val="28"/>
        </w:rPr>
        <w:t xml:space="preserve">11.2. </w:t>
      </w:r>
      <w:r w:rsidR="0063393C" w:rsidRPr="00060A0F">
        <w:rPr>
          <w:rFonts w:ascii="Arial Narrow" w:hAnsi="Arial Narrow"/>
          <w:b/>
          <w:color w:val="4F81BD" w:themeColor="accent1"/>
          <w:sz w:val="28"/>
          <w:szCs w:val="28"/>
        </w:rPr>
        <w:t xml:space="preserve">Εισαγωγή </w:t>
      </w:r>
    </w:p>
    <w:p w14:paraId="786A39AF" w14:textId="43E909F4" w:rsidR="003D00F0" w:rsidRDefault="0063393C" w:rsidP="0063393C">
      <w:pPr>
        <w:jc w:val="both"/>
        <w:rPr>
          <w:rFonts w:ascii="Arial Narrow" w:hAnsi="Arial Narrow"/>
          <w:sz w:val="24"/>
          <w:szCs w:val="24"/>
        </w:rPr>
      </w:pPr>
      <w:r>
        <w:rPr>
          <w:rFonts w:ascii="Arial Narrow" w:hAnsi="Arial Narrow"/>
          <w:color w:val="1F497D" w:themeColor="text2"/>
          <w:sz w:val="24"/>
          <w:szCs w:val="24"/>
        </w:rPr>
        <w:tab/>
      </w:r>
      <w:r>
        <w:rPr>
          <w:rFonts w:ascii="Arial Narrow" w:hAnsi="Arial Narrow"/>
          <w:sz w:val="24"/>
          <w:szCs w:val="24"/>
        </w:rPr>
        <w:t xml:space="preserve">Η οικονομία των Ηνωμένων Αραβικών Εμιράτων αποτελεί σήμερα μία από τις πλέον διαφοροποιημένες, ανταγωνιστικές και δυναμικές οικονομίες της ευρύτερης Μέσης Ανατολής. Αν και η ανάπτυξή της βασίστηκε ιστορικά στα έσοδα από τους υδρογονάνθρακες, τις τελευταίες δύο δεκαετίες ακολουθεί μια συστηματική στρατηγική οικονομικού μετασχηματισμού, με στόχο τη μείωση της εξάρτησης από το πετρέλαιο και την ανάδειξη των ΗΑΕ σε διεθνές κέντρο εμπορίου, χρηματοοικονομικών υπηρεσιών, τουρισμού, τεχνολογίας, εφοδιαστικής αλυσίδας και καινοτομίας. Το ονομαστικό ΑΕΠ των ΗΑΕ υπερβαίνει σήμερα τα 500 δις </w:t>
      </w:r>
      <w:r w:rsidR="00B66B1A">
        <w:rPr>
          <w:rFonts w:ascii="Arial Narrow" w:hAnsi="Arial Narrow"/>
          <w:sz w:val="24"/>
          <w:szCs w:val="24"/>
        </w:rPr>
        <w:t xml:space="preserve">$, ενώ το μη πετρελαϊκό ΑΕΠ αντιπροσωπεύει πλέον περίπου το 75% του συνολικού ΑΕΠ, γεγονός που κατατάσσει τη χώρα </w:t>
      </w:r>
      <w:r w:rsidR="009D799C">
        <w:rPr>
          <w:rFonts w:ascii="Arial Narrow" w:hAnsi="Arial Narrow"/>
          <w:sz w:val="24"/>
          <w:szCs w:val="24"/>
        </w:rPr>
        <w:t>μεταξύ των πλέον διαφοροποιημένων οικονομιών του Κόλπου</w:t>
      </w:r>
      <w:r w:rsidR="009E1915">
        <w:rPr>
          <w:rFonts w:ascii="Arial Narrow" w:hAnsi="Arial Narrow"/>
          <w:sz w:val="24"/>
          <w:szCs w:val="24"/>
        </w:rPr>
        <w:t>.</w:t>
      </w:r>
    </w:p>
    <w:p w14:paraId="5E2FAFA1" w14:textId="7D8ECDE0" w:rsidR="003D00F0" w:rsidRPr="00060A0F" w:rsidRDefault="00060A0F" w:rsidP="0063393C">
      <w:pPr>
        <w:jc w:val="both"/>
        <w:rPr>
          <w:rFonts w:ascii="Arial Narrow" w:hAnsi="Arial Narrow"/>
          <w:b/>
          <w:color w:val="4F81BD" w:themeColor="accent1"/>
          <w:sz w:val="28"/>
          <w:szCs w:val="28"/>
        </w:rPr>
      </w:pPr>
      <w:r>
        <w:rPr>
          <w:rFonts w:ascii="Arial Narrow" w:hAnsi="Arial Narrow"/>
          <w:b/>
          <w:color w:val="4F81BD" w:themeColor="accent1"/>
          <w:sz w:val="28"/>
          <w:szCs w:val="28"/>
        </w:rPr>
        <w:t>11.3. Ομοσπονδιακή Κυβέρνηση ΗΑΕ</w:t>
      </w:r>
    </w:p>
    <w:p w14:paraId="32B639A8" w14:textId="488E2AA5" w:rsidR="003D00F0" w:rsidRPr="003D00F0" w:rsidRDefault="003D00F0" w:rsidP="003D00F0">
      <w:pPr>
        <w:pStyle w:val="ListParagraph"/>
        <w:numPr>
          <w:ilvl w:val="0"/>
          <w:numId w:val="28"/>
        </w:numPr>
        <w:jc w:val="both"/>
        <w:rPr>
          <w:rFonts w:ascii="Arial Narrow" w:hAnsi="Arial Narrow"/>
          <w:sz w:val="24"/>
          <w:szCs w:val="24"/>
        </w:rPr>
      </w:pPr>
      <w:r w:rsidRPr="003D00F0">
        <w:rPr>
          <w:rFonts w:ascii="Arial Narrow" w:hAnsi="Arial Narrow"/>
          <w:sz w:val="24"/>
          <w:szCs w:val="24"/>
        </w:rPr>
        <w:t>Η εμιρατινή οικονομία λειτουργεί σε τρία επίπεδα και καθορίζει:</w:t>
      </w:r>
    </w:p>
    <w:p w14:paraId="1173AFD4" w14:textId="483CEDB9" w:rsidR="003D00F0" w:rsidRDefault="003D00F0" w:rsidP="003D00F0">
      <w:pPr>
        <w:pStyle w:val="ListParagraph"/>
        <w:numPr>
          <w:ilvl w:val="0"/>
          <w:numId w:val="27"/>
        </w:numPr>
        <w:jc w:val="both"/>
        <w:rPr>
          <w:rFonts w:ascii="Arial Narrow" w:hAnsi="Arial Narrow"/>
          <w:sz w:val="24"/>
          <w:szCs w:val="24"/>
        </w:rPr>
      </w:pPr>
      <w:r w:rsidRPr="003D00F0">
        <w:rPr>
          <w:rFonts w:ascii="Arial Narrow" w:hAnsi="Arial Narrow"/>
          <w:sz w:val="24"/>
          <w:szCs w:val="24"/>
        </w:rPr>
        <w:t>Δημοσιονομική Πολιτική.</w:t>
      </w:r>
    </w:p>
    <w:p w14:paraId="6478A946" w14:textId="6542207E" w:rsidR="003D00F0" w:rsidRDefault="003D00F0" w:rsidP="003D00F0">
      <w:pPr>
        <w:pStyle w:val="ListParagraph"/>
        <w:numPr>
          <w:ilvl w:val="0"/>
          <w:numId w:val="27"/>
        </w:numPr>
        <w:jc w:val="both"/>
        <w:rPr>
          <w:rFonts w:ascii="Arial Narrow" w:hAnsi="Arial Narrow"/>
          <w:sz w:val="24"/>
          <w:szCs w:val="24"/>
        </w:rPr>
      </w:pPr>
      <w:r>
        <w:rPr>
          <w:rFonts w:ascii="Arial Narrow" w:hAnsi="Arial Narrow"/>
          <w:sz w:val="24"/>
          <w:szCs w:val="24"/>
        </w:rPr>
        <w:t>Νομισματική Πολιτική.</w:t>
      </w:r>
    </w:p>
    <w:p w14:paraId="34E56534" w14:textId="413AE153" w:rsidR="003D00F0" w:rsidRDefault="003D00F0" w:rsidP="003D00F0">
      <w:pPr>
        <w:pStyle w:val="ListParagraph"/>
        <w:numPr>
          <w:ilvl w:val="0"/>
          <w:numId w:val="27"/>
        </w:numPr>
        <w:jc w:val="both"/>
        <w:rPr>
          <w:rFonts w:ascii="Arial Narrow" w:hAnsi="Arial Narrow"/>
          <w:sz w:val="24"/>
          <w:szCs w:val="24"/>
        </w:rPr>
      </w:pPr>
      <w:r>
        <w:rPr>
          <w:rFonts w:ascii="Arial Narrow" w:hAnsi="Arial Narrow"/>
          <w:sz w:val="24"/>
          <w:szCs w:val="24"/>
        </w:rPr>
        <w:t>Εμπορική Πολιτική.</w:t>
      </w:r>
    </w:p>
    <w:p w14:paraId="0AE3075F" w14:textId="61EED235" w:rsidR="003D00F0" w:rsidRDefault="003D00F0" w:rsidP="003D00F0">
      <w:pPr>
        <w:pStyle w:val="ListParagraph"/>
        <w:numPr>
          <w:ilvl w:val="0"/>
          <w:numId w:val="27"/>
        </w:numPr>
        <w:jc w:val="both"/>
        <w:rPr>
          <w:rFonts w:ascii="Arial Narrow" w:hAnsi="Arial Narrow"/>
          <w:sz w:val="24"/>
          <w:szCs w:val="24"/>
        </w:rPr>
      </w:pPr>
      <w:r>
        <w:rPr>
          <w:rFonts w:ascii="Arial Narrow" w:hAnsi="Arial Narrow"/>
          <w:sz w:val="24"/>
          <w:szCs w:val="24"/>
        </w:rPr>
        <w:t>Εξωτερικές Οικονομικές Σχέσεις</w:t>
      </w:r>
    </w:p>
    <w:p w14:paraId="22031997" w14:textId="1E8F7FFF" w:rsidR="003D00F0" w:rsidRDefault="003D00F0" w:rsidP="003D00F0">
      <w:pPr>
        <w:pStyle w:val="ListParagraph"/>
        <w:numPr>
          <w:ilvl w:val="0"/>
          <w:numId w:val="27"/>
        </w:numPr>
        <w:jc w:val="both"/>
        <w:rPr>
          <w:rFonts w:ascii="Arial Narrow" w:hAnsi="Arial Narrow"/>
          <w:sz w:val="24"/>
          <w:szCs w:val="24"/>
        </w:rPr>
      </w:pPr>
      <w:r>
        <w:rPr>
          <w:rFonts w:ascii="Arial Narrow" w:hAnsi="Arial Narrow"/>
          <w:sz w:val="24"/>
          <w:szCs w:val="24"/>
        </w:rPr>
        <w:t>Φορολογία.</w:t>
      </w:r>
    </w:p>
    <w:p w14:paraId="022E0EEA" w14:textId="645C5E0A" w:rsidR="003D00F0" w:rsidRDefault="003D00F0" w:rsidP="003D00F0">
      <w:pPr>
        <w:pStyle w:val="ListParagraph"/>
        <w:numPr>
          <w:ilvl w:val="0"/>
          <w:numId w:val="27"/>
        </w:numPr>
        <w:jc w:val="both"/>
        <w:rPr>
          <w:rFonts w:ascii="Arial Narrow" w:hAnsi="Arial Narrow"/>
          <w:sz w:val="24"/>
          <w:szCs w:val="24"/>
        </w:rPr>
      </w:pPr>
      <w:r>
        <w:rPr>
          <w:rFonts w:ascii="Arial Narrow" w:hAnsi="Arial Narrow"/>
          <w:sz w:val="24"/>
          <w:szCs w:val="24"/>
        </w:rPr>
        <w:t>Επενδυτική Πολιτική.</w:t>
      </w:r>
    </w:p>
    <w:p w14:paraId="739D4EA3" w14:textId="6D5B3EE0" w:rsidR="004525C4" w:rsidRPr="008F103E" w:rsidRDefault="003D00F0" w:rsidP="0063393C">
      <w:pPr>
        <w:pStyle w:val="ListParagraph"/>
        <w:numPr>
          <w:ilvl w:val="0"/>
          <w:numId w:val="27"/>
        </w:numPr>
        <w:jc w:val="both"/>
        <w:rPr>
          <w:rFonts w:ascii="Arial Narrow" w:hAnsi="Arial Narrow"/>
          <w:sz w:val="24"/>
          <w:szCs w:val="24"/>
        </w:rPr>
      </w:pPr>
      <w:r>
        <w:rPr>
          <w:rFonts w:ascii="Arial Narrow" w:hAnsi="Arial Narrow"/>
          <w:sz w:val="24"/>
          <w:szCs w:val="24"/>
        </w:rPr>
        <w:t>Νομοθεσία Επιχειρήσεω</w:t>
      </w:r>
      <w:r w:rsidR="008F103E">
        <w:rPr>
          <w:rFonts w:ascii="Arial Narrow" w:hAnsi="Arial Narrow"/>
          <w:sz w:val="24"/>
          <w:szCs w:val="24"/>
        </w:rPr>
        <w:t>ν</w:t>
      </w:r>
    </w:p>
    <w:p w14:paraId="60C5FB48" w14:textId="38396E78" w:rsidR="009D799C" w:rsidRPr="002C2272" w:rsidRDefault="009D799C" w:rsidP="006A1BFE">
      <w:pPr>
        <w:ind w:firstLine="720"/>
        <w:jc w:val="both"/>
        <w:rPr>
          <w:rFonts w:ascii="Arial Narrow" w:hAnsi="Arial Narrow"/>
          <w:b/>
          <w:color w:val="1F497D" w:themeColor="text2"/>
          <w:sz w:val="24"/>
          <w:szCs w:val="24"/>
        </w:rPr>
      </w:pPr>
      <w:r w:rsidRPr="002C2272">
        <w:rPr>
          <w:rFonts w:ascii="Arial Narrow" w:hAnsi="Arial Narrow"/>
          <w:b/>
          <w:color w:val="1F497D" w:themeColor="text2"/>
          <w:sz w:val="24"/>
          <w:szCs w:val="24"/>
        </w:rPr>
        <w:t>ΠΙΝΑΚΑΣ</w:t>
      </w:r>
      <w:r w:rsidR="0072778C">
        <w:rPr>
          <w:rFonts w:ascii="Arial Narrow" w:hAnsi="Arial Narrow"/>
          <w:b/>
          <w:color w:val="1F497D" w:themeColor="text2"/>
          <w:sz w:val="24"/>
          <w:szCs w:val="24"/>
        </w:rPr>
        <w:t xml:space="preserve"> </w:t>
      </w:r>
      <w:r w:rsidR="00E10259">
        <w:rPr>
          <w:rFonts w:ascii="Arial Narrow" w:hAnsi="Arial Narrow"/>
          <w:b/>
          <w:color w:val="1F497D" w:themeColor="text2"/>
          <w:sz w:val="24"/>
          <w:szCs w:val="24"/>
        </w:rPr>
        <w:t>1</w:t>
      </w:r>
      <w:r w:rsidR="00026058" w:rsidRPr="00026058">
        <w:rPr>
          <w:rFonts w:ascii="Arial Narrow" w:hAnsi="Arial Narrow"/>
          <w:b/>
          <w:color w:val="1F497D" w:themeColor="text2"/>
          <w:sz w:val="24"/>
          <w:szCs w:val="24"/>
        </w:rPr>
        <w:t xml:space="preserve"> </w:t>
      </w:r>
      <w:r w:rsidRPr="002C2272">
        <w:rPr>
          <w:rFonts w:ascii="Arial Narrow" w:hAnsi="Arial Narrow"/>
          <w:b/>
          <w:color w:val="1F497D" w:themeColor="text2"/>
          <w:sz w:val="24"/>
          <w:szCs w:val="24"/>
        </w:rPr>
        <w:t>ΜΑΚΡΟΟΙΚΟΝΟΜΙΚ</w:t>
      </w:r>
      <w:r w:rsidR="0072778C">
        <w:rPr>
          <w:rFonts w:ascii="Arial Narrow" w:hAnsi="Arial Narrow"/>
          <w:b/>
          <w:color w:val="1F497D" w:themeColor="text2"/>
          <w:sz w:val="24"/>
          <w:szCs w:val="24"/>
        </w:rPr>
        <w:t xml:space="preserve">Α ΣΤΟΙΧΕΙΑ </w:t>
      </w:r>
      <w:r w:rsidRPr="002C2272">
        <w:rPr>
          <w:rFonts w:ascii="Arial Narrow" w:hAnsi="Arial Narrow"/>
          <w:b/>
          <w:color w:val="1F497D" w:themeColor="text2"/>
          <w:sz w:val="24"/>
          <w:szCs w:val="24"/>
        </w:rPr>
        <w:t>– ΟΙΚΟΝΟΜΙΑ ΤΩΝ Η</w:t>
      </w:r>
      <w:r w:rsidR="006A1BFE" w:rsidRPr="002C2272">
        <w:rPr>
          <w:rFonts w:ascii="Arial Narrow" w:hAnsi="Arial Narrow"/>
          <w:b/>
          <w:color w:val="1F497D" w:themeColor="text2"/>
          <w:sz w:val="24"/>
          <w:szCs w:val="24"/>
        </w:rPr>
        <w:t>ΑΕ 2024-2026</w:t>
      </w:r>
    </w:p>
    <w:tbl>
      <w:tblPr>
        <w:tblStyle w:val="TableGrid"/>
        <w:tblW w:w="0" w:type="auto"/>
        <w:jc w:val="center"/>
        <w:tblLook w:val="04A0" w:firstRow="1" w:lastRow="0" w:firstColumn="1" w:lastColumn="0" w:noHBand="0" w:noVBand="1"/>
      </w:tblPr>
      <w:tblGrid>
        <w:gridCol w:w="2442"/>
        <w:gridCol w:w="2443"/>
        <w:gridCol w:w="2443"/>
        <w:gridCol w:w="2443"/>
      </w:tblGrid>
      <w:tr w:rsidR="006A1BFE" w:rsidRPr="006A1BFE" w14:paraId="1CC6689F" w14:textId="77777777" w:rsidTr="006A1BFE">
        <w:trPr>
          <w:jc w:val="center"/>
        </w:trPr>
        <w:tc>
          <w:tcPr>
            <w:tcW w:w="2442" w:type="dxa"/>
          </w:tcPr>
          <w:p w14:paraId="4F87B9F8" w14:textId="04909B03" w:rsidR="009D799C" w:rsidRPr="006A1BFE" w:rsidRDefault="006A1BFE"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ΔΕΙΚΤΗΣ </w:t>
            </w:r>
          </w:p>
        </w:tc>
        <w:tc>
          <w:tcPr>
            <w:tcW w:w="2443" w:type="dxa"/>
          </w:tcPr>
          <w:p w14:paraId="24F647D8" w14:textId="38247A67" w:rsidR="009D799C" w:rsidRPr="006A1BFE" w:rsidRDefault="006A1BFE"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2024</w:t>
            </w:r>
          </w:p>
        </w:tc>
        <w:tc>
          <w:tcPr>
            <w:tcW w:w="2443" w:type="dxa"/>
          </w:tcPr>
          <w:p w14:paraId="172F00C3" w14:textId="3C4BBF4E" w:rsidR="009D799C" w:rsidRPr="006A1BFE" w:rsidRDefault="006A1BFE"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2025 (ΠΡΟΒΛΕΨΗ)</w:t>
            </w:r>
          </w:p>
        </w:tc>
        <w:tc>
          <w:tcPr>
            <w:tcW w:w="2443" w:type="dxa"/>
          </w:tcPr>
          <w:p w14:paraId="013D03C6" w14:textId="2EB0E732" w:rsidR="009D799C" w:rsidRPr="006A1BFE" w:rsidRDefault="006A1BFE"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2026 (ΠΡΟΒΛΕΨΗ)</w:t>
            </w:r>
          </w:p>
        </w:tc>
      </w:tr>
      <w:tr w:rsidR="006A1BFE" w:rsidRPr="006A1BFE" w14:paraId="56F06BEC" w14:textId="77777777" w:rsidTr="006A1BFE">
        <w:trPr>
          <w:jc w:val="center"/>
        </w:trPr>
        <w:tc>
          <w:tcPr>
            <w:tcW w:w="2442" w:type="dxa"/>
          </w:tcPr>
          <w:p w14:paraId="02A85D41" w14:textId="186C2DCB" w:rsidR="009D799C" w:rsidRPr="006A1BFE" w:rsidRDefault="006A1BFE"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Ονομαστικό ΑΕΠ (δις $)</w:t>
            </w:r>
          </w:p>
        </w:tc>
        <w:tc>
          <w:tcPr>
            <w:tcW w:w="2443" w:type="dxa"/>
          </w:tcPr>
          <w:p w14:paraId="100E3C27" w14:textId="7DC3EA85" w:rsidR="009D799C" w:rsidRPr="006A1BFE" w:rsidRDefault="006A1BFE"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580 δις $</w:t>
            </w:r>
          </w:p>
        </w:tc>
        <w:tc>
          <w:tcPr>
            <w:tcW w:w="2443" w:type="dxa"/>
          </w:tcPr>
          <w:p w14:paraId="0D26627A" w14:textId="04EAE52E" w:rsidR="009D799C" w:rsidRPr="006A1BFE" w:rsidRDefault="003B6672"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615 δις $</w:t>
            </w:r>
          </w:p>
        </w:tc>
        <w:tc>
          <w:tcPr>
            <w:tcW w:w="2443" w:type="dxa"/>
          </w:tcPr>
          <w:p w14:paraId="149C9AEE" w14:textId="40749125" w:rsidR="009D799C" w:rsidRPr="006A1BFE" w:rsidRDefault="003B6672"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655 δις $</w:t>
            </w:r>
          </w:p>
        </w:tc>
      </w:tr>
      <w:tr w:rsidR="006A1BFE" w:rsidRPr="006A1BFE" w14:paraId="7936ABA5" w14:textId="77777777" w:rsidTr="006A1BFE">
        <w:trPr>
          <w:jc w:val="center"/>
        </w:trPr>
        <w:tc>
          <w:tcPr>
            <w:tcW w:w="2442" w:type="dxa"/>
          </w:tcPr>
          <w:p w14:paraId="60691B8E" w14:textId="75FC838C" w:rsidR="009D799C" w:rsidRPr="003B6672" w:rsidRDefault="003B6672" w:rsidP="009D799C">
            <w:pPr>
              <w:jc w:val="both"/>
              <w:rPr>
                <w:rFonts w:ascii="Arial Narrow" w:hAnsi="Arial Narrow" w:cs="Times New Roman"/>
                <w:color w:val="1F497D" w:themeColor="text2"/>
                <w:sz w:val="24"/>
                <w:szCs w:val="24"/>
                <w:lang w:val="en-US"/>
              </w:rPr>
            </w:pPr>
            <w:r>
              <w:rPr>
                <w:rFonts w:ascii="Arial Narrow" w:hAnsi="Arial Narrow" w:cs="Times New Roman"/>
                <w:color w:val="1F497D" w:themeColor="text2"/>
                <w:sz w:val="24"/>
                <w:szCs w:val="24"/>
              </w:rPr>
              <w:t>Ονομαστικό ΑΕΠ</w:t>
            </w:r>
            <w:r>
              <w:rPr>
                <w:rFonts w:ascii="Arial Narrow" w:hAnsi="Arial Narrow" w:cs="Times New Roman"/>
                <w:color w:val="1F497D" w:themeColor="text2"/>
                <w:sz w:val="24"/>
                <w:szCs w:val="24"/>
                <w:lang w:val="en-US"/>
              </w:rPr>
              <w:t xml:space="preserve"> (</w:t>
            </w:r>
            <w:r>
              <w:rPr>
                <w:rFonts w:ascii="Arial Narrow" w:hAnsi="Arial Narrow" w:cs="Times New Roman"/>
                <w:color w:val="1F497D" w:themeColor="text2"/>
                <w:sz w:val="24"/>
                <w:szCs w:val="24"/>
              </w:rPr>
              <w:t xml:space="preserve">δις </w:t>
            </w:r>
            <w:r>
              <w:rPr>
                <w:rFonts w:ascii="Arial Narrow" w:hAnsi="Arial Narrow" w:cs="Times New Roman"/>
                <w:color w:val="1F497D" w:themeColor="text2"/>
                <w:sz w:val="24"/>
                <w:szCs w:val="24"/>
                <w:lang w:val="en-US"/>
              </w:rPr>
              <w:t>AED)</w:t>
            </w:r>
          </w:p>
        </w:tc>
        <w:tc>
          <w:tcPr>
            <w:tcW w:w="2443" w:type="dxa"/>
          </w:tcPr>
          <w:p w14:paraId="4CB1F802" w14:textId="77777777" w:rsidR="009D799C" w:rsidRDefault="009D799C" w:rsidP="009D799C">
            <w:pPr>
              <w:jc w:val="both"/>
              <w:rPr>
                <w:rFonts w:ascii="Arial Narrow" w:hAnsi="Arial Narrow" w:cs="Times New Roman"/>
                <w:color w:val="1F497D" w:themeColor="text2"/>
                <w:sz w:val="24"/>
                <w:szCs w:val="24"/>
              </w:rPr>
            </w:pPr>
          </w:p>
          <w:p w14:paraId="3B52FE70" w14:textId="1CF146FC" w:rsidR="003B6672" w:rsidRPr="003B6672" w:rsidRDefault="003B6672" w:rsidP="009D799C">
            <w:pPr>
              <w:jc w:val="both"/>
              <w:rPr>
                <w:rFonts w:ascii="Arial Narrow" w:hAnsi="Arial Narrow" w:cs="Times New Roman"/>
                <w:color w:val="1F497D" w:themeColor="text2"/>
                <w:sz w:val="24"/>
                <w:szCs w:val="24"/>
                <w:lang w:val="en-US"/>
              </w:rPr>
            </w:pPr>
            <w:r>
              <w:rPr>
                <w:rFonts w:ascii="Arial Narrow" w:hAnsi="Arial Narrow" w:cs="Times New Roman"/>
                <w:color w:val="1F497D" w:themeColor="text2"/>
                <w:sz w:val="24"/>
                <w:szCs w:val="24"/>
                <w:lang w:val="en-US"/>
              </w:rPr>
              <w:t xml:space="preserve">1.776 </w:t>
            </w:r>
            <w:r>
              <w:rPr>
                <w:rFonts w:ascii="Arial Narrow" w:hAnsi="Arial Narrow" w:cs="Times New Roman"/>
                <w:color w:val="1F497D" w:themeColor="text2"/>
                <w:sz w:val="24"/>
                <w:szCs w:val="24"/>
              </w:rPr>
              <w:t xml:space="preserve">δις </w:t>
            </w:r>
            <w:r>
              <w:rPr>
                <w:rFonts w:ascii="Arial Narrow" w:hAnsi="Arial Narrow" w:cs="Times New Roman"/>
                <w:color w:val="1F497D" w:themeColor="text2"/>
                <w:sz w:val="24"/>
                <w:szCs w:val="24"/>
                <w:lang w:val="en-US"/>
              </w:rPr>
              <w:t>AED</w:t>
            </w:r>
          </w:p>
        </w:tc>
        <w:tc>
          <w:tcPr>
            <w:tcW w:w="2443" w:type="dxa"/>
          </w:tcPr>
          <w:p w14:paraId="0E3C2814" w14:textId="77777777" w:rsidR="009D799C" w:rsidRDefault="009D799C" w:rsidP="009D799C">
            <w:pPr>
              <w:jc w:val="both"/>
              <w:rPr>
                <w:rFonts w:ascii="Arial Narrow" w:hAnsi="Arial Narrow" w:cs="Times New Roman"/>
                <w:color w:val="1F497D" w:themeColor="text2"/>
                <w:sz w:val="24"/>
                <w:szCs w:val="24"/>
              </w:rPr>
            </w:pPr>
          </w:p>
          <w:p w14:paraId="79F7DF15" w14:textId="6B771640" w:rsidR="003B6672" w:rsidRPr="003B6672" w:rsidRDefault="003B6672" w:rsidP="009D799C">
            <w:pPr>
              <w:jc w:val="both"/>
              <w:rPr>
                <w:rFonts w:ascii="Arial Narrow" w:hAnsi="Arial Narrow" w:cs="Times New Roman"/>
                <w:color w:val="1F497D" w:themeColor="text2"/>
                <w:sz w:val="24"/>
                <w:szCs w:val="24"/>
                <w:lang w:val="en-US"/>
              </w:rPr>
            </w:pPr>
            <w:r>
              <w:rPr>
                <w:rFonts w:ascii="Arial Narrow" w:hAnsi="Arial Narrow" w:cs="Times New Roman"/>
                <w:color w:val="1F497D" w:themeColor="text2"/>
                <w:sz w:val="24"/>
                <w:szCs w:val="24"/>
                <w:lang w:val="en-US"/>
              </w:rPr>
              <w:t xml:space="preserve">1.850 </w:t>
            </w:r>
            <w:r>
              <w:rPr>
                <w:rFonts w:ascii="Arial Narrow" w:hAnsi="Arial Narrow" w:cs="Times New Roman"/>
                <w:color w:val="1F497D" w:themeColor="text2"/>
                <w:sz w:val="24"/>
                <w:szCs w:val="24"/>
              </w:rPr>
              <w:t xml:space="preserve">δις </w:t>
            </w:r>
            <w:r>
              <w:rPr>
                <w:rFonts w:ascii="Arial Narrow" w:hAnsi="Arial Narrow" w:cs="Times New Roman"/>
                <w:color w:val="1F497D" w:themeColor="text2"/>
                <w:sz w:val="24"/>
                <w:szCs w:val="24"/>
                <w:lang w:val="en-US"/>
              </w:rPr>
              <w:t>AED</w:t>
            </w:r>
          </w:p>
        </w:tc>
        <w:tc>
          <w:tcPr>
            <w:tcW w:w="2443" w:type="dxa"/>
          </w:tcPr>
          <w:p w14:paraId="006A6CB0" w14:textId="77777777" w:rsidR="009D799C" w:rsidRDefault="009D799C" w:rsidP="009D799C">
            <w:pPr>
              <w:jc w:val="both"/>
              <w:rPr>
                <w:rFonts w:ascii="Arial Narrow" w:hAnsi="Arial Narrow" w:cs="Times New Roman"/>
                <w:color w:val="1F497D" w:themeColor="text2"/>
                <w:sz w:val="24"/>
                <w:szCs w:val="24"/>
              </w:rPr>
            </w:pPr>
          </w:p>
          <w:p w14:paraId="35362503" w14:textId="53540557" w:rsidR="003B6672" w:rsidRPr="003B6672" w:rsidRDefault="003B6672" w:rsidP="009D799C">
            <w:pPr>
              <w:jc w:val="both"/>
              <w:rPr>
                <w:rFonts w:ascii="Arial Narrow" w:hAnsi="Arial Narrow" w:cs="Times New Roman"/>
                <w:color w:val="1F497D" w:themeColor="text2"/>
                <w:sz w:val="24"/>
                <w:szCs w:val="24"/>
                <w:lang w:val="en-US"/>
              </w:rPr>
            </w:pPr>
            <w:r>
              <w:rPr>
                <w:rFonts w:ascii="Arial Narrow" w:hAnsi="Arial Narrow" w:cs="Times New Roman"/>
                <w:color w:val="1F497D" w:themeColor="text2"/>
                <w:sz w:val="24"/>
                <w:szCs w:val="24"/>
                <w:lang w:val="en-US"/>
              </w:rPr>
              <w:t xml:space="preserve">1.950 </w:t>
            </w:r>
            <w:r>
              <w:rPr>
                <w:rFonts w:ascii="Arial Narrow" w:hAnsi="Arial Narrow" w:cs="Times New Roman"/>
                <w:color w:val="1F497D" w:themeColor="text2"/>
                <w:sz w:val="24"/>
                <w:szCs w:val="24"/>
              </w:rPr>
              <w:t xml:space="preserve">δις </w:t>
            </w:r>
            <w:r>
              <w:rPr>
                <w:rFonts w:ascii="Arial Narrow" w:hAnsi="Arial Narrow" w:cs="Times New Roman"/>
                <w:color w:val="1F497D" w:themeColor="text2"/>
                <w:sz w:val="24"/>
                <w:szCs w:val="24"/>
                <w:lang w:val="en-US"/>
              </w:rPr>
              <w:t>AED</w:t>
            </w:r>
          </w:p>
        </w:tc>
      </w:tr>
      <w:tr w:rsidR="006A1BFE" w:rsidRPr="006A1BFE" w14:paraId="53696D93" w14:textId="77777777" w:rsidTr="006A1BFE">
        <w:trPr>
          <w:jc w:val="center"/>
        </w:trPr>
        <w:tc>
          <w:tcPr>
            <w:tcW w:w="2442" w:type="dxa"/>
          </w:tcPr>
          <w:p w14:paraId="4163C4B0" w14:textId="05391D66" w:rsidR="009D799C" w:rsidRPr="004A0E4F" w:rsidRDefault="003B6672"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lang w:val="en-US"/>
              </w:rPr>
              <w:t>A</w:t>
            </w:r>
            <w:r w:rsidR="004A0E4F">
              <w:rPr>
                <w:rFonts w:ascii="Arial Narrow" w:hAnsi="Arial Narrow" w:cs="Times New Roman"/>
                <w:color w:val="1F497D" w:themeColor="text2"/>
                <w:sz w:val="24"/>
                <w:szCs w:val="24"/>
              </w:rPr>
              <w:t>νάπτυξη (%) ΑΕΠ</w:t>
            </w:r>
          </w:p>
        </w:tc>
        <w:tc>
          <w:tcPr>
            <w:tcW w:w="2443" w:type="dxa"/>
          </w:tcPr>
          <w:p w14:paraId="2B7D7592" w14:textId="5B459A89" w:rsidR="009D799C" w:rsidRPr="006A1BFE" w:rsidRDefault="004A0E4F"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4,0%</w:t>
            </w:r>
          </w:p>
        </w:tc>
        <w:tc>
          <w:tcPr>
            <w:tcW w:w="2443" w:type="dxa"/>
          </w:tcPr>
          <w:p w14:paraId="07142F85" w14:textId="5BCD4296" w:rsidR="009D799C" w:rsidRPr="006A1BFE" w:rsidRDefault="004A0E4F"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4,8%</w:t>
            </w:r>
          </w:p>
        </w:tc>
        <w:tc>
          <w:tcPr>
            <w:tcW w:w="2443" w:type="dxa"/>
          </w:tcPr>
          <w:p w14:paraId="2C6FADC0" w14:textId="065996CE" w:rsidR="009D799C" w:rsidRPr="006A1BFE" w:rsidRDefault="004A0E4F"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4,5%</w:t>
            </w:r>
          </w:p>
        </w:tc>
      </w:tr>
      <w:tr w:rsidR="006A1BFE" w:rsidRPr="006A1BFE" w14:paraId="4579118D" w14:textId="77777777" w:rsidTr="006A1BFE">
        <w:trPr>
          <w:jc w:val="center"/>
        </w:trPr>
        <w:tc>
          <w:tcPr>
            <w:tcW w:w="2442" w:type="dxa"/>
          </w:tcPr>
          <w:p w14:paraId="0E9D7D8B" w14:textId="6589ED6D" w:rsidR="009D799C" w:rsidRPr="006A1BFE" w:rsidRDefault="004A0E4F"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Ανάπτυξη μη πετρελαϊκούο ΑΕΠ (%)</w:t>
            </w:r>
          </w:p>
        </w:tc>
        <w:tc>
          <w:tcPr>
            <w:tcW w:w="2443" w:type="dxa"/>
          </w:tcPr>
          <w:p w14:paraId="2CF81FB4" w14:textId="77777777" w:rsidR="009D799C" w:rsidRDefault="009D799C" w:rsidP="009D799C">
            <w:pPr>
              <w:jc w:val="both"/>
              <w:rPr>
                <w:rFonts w:ascii="Arial Narrow" w:hAnsi="Arial Narrow" w:cs="Times New Roman"/>
                <w:color w:val="1F497D" w:themeColor="text2"/>
                <w:sz w:val="24"/>
                <w:szCs w:val="24"/>
              </w:rPr>
            </w:pPr>
          </w:p>
          <w:p w14:paraId="4AE5E881" w14:textId="0205F01A" w:rsidR="004A0E4F" w:rsidRPr="006A1BFE" w:rsidRDefault="004A0E4F"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5,0%</w:t>
            </w:r>
          </w:p>
        </w:tc>
        <w:tc>
          <w:tcPr>
            <w:tcW w:w="2443" w:type="dxa"/>
          </w:tcPr>
          <w:p w14:paraId="712AA5B0" w14:textId="77777777" w:rsidR="009D799C" w:rsidRDefault="009D799C" w:rsidP="009D799C">
            <w:pPr>
              <w:jc w:val="both"/>
              <w:rPr>
                <w:rFonts w:ascii="Arial Narrow" w:hAnsi="Arial Narrow" w:cs="Times New Roman"/>
                <w:color w:val="1F497D" w:themeColor="text2"/>
                <w:sz w:val="24"/>
                <w:szCs w:val="24"/>
              </w:rPr>
            </w:pPr>
          </w:p>
          <w:p w14:paraId="711580BD" w14:textId="4F87ADD0" w:rsidR="004A0E4F" w:rsidRPr="006A1BFE" w:rsidRDefault="004A0E4F"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5,2%</w:t>
            </w:r>
          </w:p>
        </w:tc>
        <w:tc>
          <w:tcPr>
            <w:tcW w:w="2443" w:type="dxa"/>
          </w:tcPr>
          <w:p w14:paraId="30601AE1" w14:textId="77777777" w:rsidR="009D799C" w:rsidRDefault="009D799C" w:rsidP="009D799C">
            <w:pPr>
              <w:jc w:val="both"/>
              <w:rPr>
                <w:rFonts w:ascii="Arial Narrow" w:hAnsi="Arial Narrow" w:cs="Times New Roman"/>
                <w:color w:val="1F497D" w:themeColor="text2"/>
                <w:sz w:val="24"/>
                <w:szCs w:val="24"/>
              </w:rPr>
            </w:pPr>
          </w:p>
          <w:p w14:paraId="60F8D7BB" w14:textId="48CB618C" w:rsidR="004A0E4F" w:rsidRPr="006A1BFE" w:rsidRDefault="004A0E4F"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4,8%</w:t>
            </w:r>
          </w:p>
        </w:tc>
      </w:tr>
      <w:tr w:rsidR="006A1BFE" w:rsidRPr="006A1BFE" w14:paraId="3888F9DE" w14:textId="77777777" w:rsidTr="006A1BFE">
        <w:trPr>
          <w:jc w:val="center"/>
        </w:trPr>
        <w:tc>
          <w:tcPr>
            <w:tcW w:w="2442" w:type="dxa"/>
          </w:tcPr>
          <w:p w14:paraId="50A32849" w14:textId="131ECCE6" w:rsidR="009D799C" w:rsidRPr="006A1BFE" w:rsidRDefault="004A0E4F"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Ανεργία (%)</w:t>
            </w:r>
          </w:p>
        </w:tc>
        <w:tc>
          <w:tcPr>
            <w:tcW w:w="2443" w:type="dxa"/>
          </w:tcPr>
          <w:p w14:paraId="1E4D5F19" w14:textId="29BECEFE" w:rsidR="009D799C" w:rsidRPr="006A1BFE" w:rsidRDefault="00A772C0"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1,9%</w:t>
            </w:r>
          </w:p>
        </w:tc>
        <w:tc>
          <w:tcPr>
            <w:tcW w:w="2443" w:type="dxa"/>
          </w:tcPr>
          <w:p w14:paraId="19460F1C" w14:textId="27B7D596" w:rsidR="009D799C" w:rsidRPr="006A1BFE" w:rsidRDefault="00A772C0"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1,8%</w:t>
            </w:r>
          </w:p>
        </w:tc>
        <w:tc>
          <w:tcPr>
            <w:tcW w:w="2443" w:type="dxa"/>
          </w:tcPr>
          <w:p w14:paraId="2FBE7486" w14:textId="69199D3F" w:rsidR="009D799C" w:rsidRPr="006A1BFE" w:rsidRDefault="00A772C0"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1,8%</w:t>
            </w:r>
          </w:p>
        </w:tc>
      </w:tr>
      <w:tr w:rsidR="006A1BFE" w:rsidRPr="006A1BFE" w14:paraId="2DD5C9EA" w14:textId="77777777" w:rsidTr="006A1BFE">
        <w:trPr>
          <w:jc w:val="center"/>
        </w:trPr>
        <w:tc>
          <w:tcPr>
            <w:tcW w:w="2442" w:type="dxa"/>
          </w:tcPr>
          <w:p w14:paraId="79E69489" w14:textId="283DB0C9" w:rsidR="009D799C" w:rsidRPr="006A1BFE" w:rsidRDefault="00A772C0"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Πληθωρισμός (%)</w:t>
            </w:r>
          </w:p>
        </w:tc>
        <w:tc>
          <w:tcPr>
            <w:tcW w:w="2443" w:type="dxa"/>
          </w:tcPr>
          <w:p w14:paraId="1DDD3246" w14:textId="53C86D1C" w:rsidR="009D799C" w:rsidRPr="006A1BFE" w:rsidRDefault="00A772C0"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1,7%-1,8%</w:t>
            </w:r>
          </w:p>
        </w:tc>
        <w:tc>
          <w:tcPr>
            <w:tcW w:w="2443" w:type="dxa"/>
          </w:tcPr>
          <w:p w14:paraId="49DE6D7D" w14:textId="608D7C74" w:rsidR="009D799C" w:rsidRPr="006A1BFE" w:rsidRDefault="00A772C0"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2,0%</w:t>
            </w:r>
          </w:p>
        </w:tc>
        <w:tc>
          <w:tcPr>
            <w:tcW w:w="2443" w:type="dxa"/>
          </w:tcPr>
          <w:p w14:paraId="751B27E1" w14:textId="300BC7F5" w:rsidR="009D799C" w:rsidRPr="006A1BFE" w:rsidRDefault="00A772C0"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2,0% - 2,2%</w:t>
            </w:r>
          </w:p>
        </w:tc>
      </w:tr>
      <w:tr w:rsidR="006A1BFE" w:rsidRPr="006A1BFE" w14:paraId="610B96BC" w14:textId="77777777" w:rsidTr="006A1BFE">
        <w:trPr>
          <w:jc w:val="center"/>
        </w:trPr>
        <w:tc>
          <w:tcPr>
            <w:tcW w:w="2442" w:type="dxa"/>
          </w:tcPr>
          <w:p w14:paraId="7DAFF47D" w14:textId="6BC44197" w:rsidR="009D799C" w:rsidRPr="006A1BFE" w:rsidRDefault="00A772C0"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ΑΕΠ ανά Κεφαλή (χιλ.</w:t>
            </w:r>
            <w:r w:rsidR="00075CFA">
              <w:rPr>
                <w:rFonts w:ascii="Arial Narrow" w:hAnsi="Arial Narrow" w:cs="Times New Roman"/>
                <w:color w:val="1F497D" w:themeColor="text2"/>
                <w:sz w:val="24"/>
                <w:szCs w:val="24"/>
              </w:rPr>
              <w:t xml:space="preserve"> $)</w:t>
            </w:r>
          </w:p>
        </w:tc>
        <w:tc>
          <w:tcPr>
            <w:tcW w:w="2443" w:type="dxa"/>
          </w:tcPr>
          <w:p w14:paraId="6243617C" w14:textId="5092B1C7" w:rsidR="009D799C" w:rsidRPr="006A1BFE" w:rsidRDefault="00A772C0"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52,</w:t>
            </w:r>
            <w:r w:rsidR="00075CFA">
              <w:rPr>
                <w:rFonts w:ascii="Arial Narrow" w:hAnsi="Arial Narrow" w:cs="Times New Roman"/>
                <w:color w:val="1F497D" w:themeColor="text2"/>
                <w:sz w:val="24"/>
                <w:szCs w:val="24"/>
              </w:rPr>
              <w:t>5 χιλιάδες $</w:t>
            </w:r>
          </w:p>
        </w:tc>
        <w:tc>
          <w:tcPr>
            <w:tcW w:w="2443" w:type="dxa"/>
          </w:tcPr>
          <w:p w14:paraId="4DFFB879" w14:textId="62C6F0E9" w:rsidR="009D799C" w:rsidRPr="006A1BFE" w:rsidRDefault="00075CFA"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54,8 χιλιάδες $</w:t>
            </w:r>
          </w:p>
        </w:tc>
        <w:tc>
          <w:tcPr>
            <w:tcW w:w="2443" w:type="dxa"/>
          </w:tcPr>
          <w:p w14:paraId="6654DF68" w14:textId="2F840822" w:rsidR="009D799C" w:rsidRPr="006A1BFE" w:rsidRDefault="00075CFA"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57,2 χιλιάδες $</w:t>
            </w:r>
          </w:p>
        </w:tc>
      </w:tr>
      <w:tr w:rsidR="006A1BFE" w:rsidRPr="006A1BFE" w14:paraId="34BDCF1C" w14:textId="77777777" w:rsidTr="006A1BFE">
        <w:trPr>
          <w:jc w:val="center"/>
        </w:trPr>
        <w:tc>
          <w:tcPr>
            <w:tcW w:w="2442" w:type="dxa"/>
          </w:tcPr>
          <w:p w14:paraId="14A2911A" w14:textId="6656A989" w:rsidR="009D799C" w:rsidRPr="006A1BFE" w:rsidRDefault="00075CFA"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Δημόσιο Χρέος (% ΑΕΠ)</w:t>
            </w:r>
          </w:p>
        </w:tc>
        <w:tc>
          <w:tcPr>
            <w:tcW w:w="2443" w:type="dxa"/>
          </w:tcPr>
          <w:p w14:paraId="3BA54E04" w14:textId="5A14986C" w:rsidR="009D799C" w:rsidRPr="006A1BFE" w:rsidRDefault="00075CFA"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31,3-32,1%</w:t>
            </w:r>
          </w:p>
        </w:tc>
        <w:tc>
          <w:tcPr>
            <w:tcW w:w="2443" w:type="dxa"/>
          </w:tcPr>
          <w:p w14:paraId="4FAEB270" w14:textId="286D9218" w:rsidR="009D799C" w:rsidRPr="006A1BFE" w:rsidRDefault="00075CFA"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31,3%</w:t>
            </w:r>
          </w:p>
        </w:tc>
        <w:tc>
          <w:tcPr>
            <w:tcW w:w="2443" w:type="dxa"/>
          </w:tcPr>
          <w:p w14:paraId="7C005B5C" w14:textId="463A87CF" w:rsidR="009D799C" w:rsidRPr="006A1BFE" w:rsidRDefault="00075CFA"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32,0%</w:t>
            </w:r>
          </w:p>
        </w:tc>
      </w:tr>
      <w:tr w:rsidR="006A1BFE" w:rsidRPr="006A1BFE" w14:paraId="6AC783A9" w14:textId="77777777" w:rsidTr="006A1BFE">
        <w:trPr>
          <w:jc w:val="center"/>
        </w:trPr>
        <w:tc>
          <w:tcPr>
            <w:tcW w:w="2442" w:type="dxa"/>
          </w:tcPr>
          <w:p w14:paraId="70BF3438" w14:textId="25A9CFFC" w:rsidR="009D799C" w:rsidRPr="006A1BFE" w:rsidRDefault="00075CFA"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Ισοζύγιο Κρατικού Προϋπολογισμού (% ΑΕΠ)</w:t>
            </w:r>
          </w:p>
        </w:tc>
        <w:tc>
          <w:tcPr>
            <w:tcW w:w="2443" w:type="dxa"/>
          </w:tcPr>
          <w:p w14:paraId="5DA8FD87" w14:textId="77777777" w:rsidR="009D799C" w:rsidRDefault="009D799C" w:rsidP="009D799C">
            <w:pPr>
              <w:jc w:val="both"/>
              <w:rPr>
                <w:rFonts w:ascii="Arial Narrow" w:hAnsi="Arial Narrow" w:cs="Times New Roman"/>
                <w:color w:val="1F497D" w:themeColor="text2"/>
                <w:sz w:val="24"/>
                <w:szCs w:val="24"/>
              </w:rPr>
            </w:pPr>
          </w:p>
          <w:p w14:paraId="714EB9FE" w14:textId="77777777" w:rsidR="00075CFA" w:rsidRDefault="00075CFA" w:rsidP="009D799C">
            <w:pPr>
              <w:jc w:val="both"/>
              <w:rPr>
                <w:rFonts w:ascii="Arial Narrow" w:hAnsi="Arial Narrow" w:cs="Times New Roman"/>
                <w:color w:val="1F497D" w:themeColor="text2"/>
                <w:sz w:val="24"/>
                <w:szCs w:val="24"/>
              </w:rPr>
            </w:pPr>
          </w:p>
          <w:p w14:paraId="72433A62" w14:textId="7B5A74B9" w:rsidR="00075CFA" w:rsidRPr="006A1BFE" w:rsidRDefault="00075CFA"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4,8%</w:t>
            </w:r>
          </w:p>
        </w:tc>
        <w:tc>
          <w:tcPr>
            <w:tcW w:w="2443" w:type="dxa"/>
          </w:tcPr>
          <w:p w14:paraId="3057AA4B" w14:textId="77777777" w:rsidR="009D799C" w:rsidRDefault="009D799C" w:rsidP="009D799C">
            <w:pPr>
              <w:jc w:val="both"/>
              <w:rPr>
                <w:rFonts w:ascii="Arial Narrow" w:hAnsi="Arial Narrow" w:cs="Times New Roman"/>
                <w:color w:val="1F497D" w:themeColor="text2"/>
                <w:sz w:val="24"/>
                <w:szCs w:val="24"/>
              </w:rPr>
            </w:pPr>
          </w:p>
          <w:p w14:paraId="05720221" w14:textId="77777777" w:rsidR="00075CFA" w:rsidRDefault="00075CFA" w:rsidP="009D799C">
            <w:pPr>
              <w:jc w:val="both"/>
              <w:rPr>
                <w:rFonts w:ascii="Arial Narrow" w:hAnsi="Arial Narrow" w:cs="Times New Roman"/>
                <w:color w:val="1F497D" w:themeColor="text2"/>
                <w:sz w:val="24"/>
                <w:szCs w:val="24"/>
              </w:rPr>
            </w:pPr>
          </w:p>
          <w:p w14:paraId="1823AD20" w14:textId="4F2778B5" w:rsidR="00075CFA" w:rsidRPr="006A1BFE" w:rsidRDefault="00075CFA"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Θετικό </w:t>
            </w:r>
          </w:p>
        </w:tc>
        <w:tc>
          <w:tcPr>
            <w:tcW w:w="2443" w:type="dxa"/>
          </w:tcPr>
          <w:p w14:paraId="3B538D73" w14:textId="77777777" w:rsidR="009D799C" w:rsidRDefault="009D799C" w:rsidP="009D799C">
            <w:pPr>
              <w:jc w:val="both"/>
              <w:rPr>
                <w:rFonts w:ascii="Arial Narrow" w:hAnsi="Arial Narrow" w:cs="Times New Roman"/>
                <w:color w:val="1F497D" w:themeColor="text2"/>
                <w:sz w:val="24"/>
                <w:szCs w:val="24"/>
              </w:rPr>
            </w:pPr>
          </w:p>
          <w:p w14:paraId="611409E4" w14:textId="77777777" w:rsidR="00075CFA" w:rsidRDefault="00075CFA" w:rsidP="009D799C">
            <w:pPr>
              <w:jc w:val="both"/>
              <w:rPr>
                <w:rFonts w:ascii="Arial Narrow" w:hAnsi="Arial Narrow" w:cs="Times New Roman"/>
                <w:color w:val="1F497D" w:themeColor="text2"/>
                <w:sz w:val="24"/>
                <w:szCs w:val="24"/>
              </w:rPr>
            </w:pPr>
          </w:p>
          <w:p w14:paraId="2BB57147" w14:textId="14390058" w:rsidR="00075CFA" w:rsidRPr="006A1BFE" w:rsidRDefault="00075CFA"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Θετικό </w:t>
            </w:r>
          </w:p>
        </w:tc>
      </w:tr>
      <w:tr w:rsidR="006A1BFE" w:rsidRPr="006A1BFE" w14:paraId="579A6352" w14:textId="77777777" w:rsidTr="006A1BFE">
        <w:trPr>
          <w:jc w:val="center"/>
        </w:trPr>
        <w:tc>
          <w:tcPr>
            <w:tcW w:w="2442" w:type="dxa"/>
          </w:tcPr>
          <w:p w14:paraId="0312E68E" w14:textId="13F211AD" w:rsidR="009D799C" w:rsidRPr="00075CFA" w:rsidRDefault="00075CFA" w:rsidP="009D799C">
            <w:pPr>
              <w:jc w:val="both"/>
              <w:rPr>
                <w:rFonts w:ascii="Arial Narrow" w:hAnsi="Arial Narrow" w:cs="Times New Roman"/>
                <w:color w:val="1F497D" w:themeColor="text2"/>
                <w:sz w:val="24"/>
                <w:szCs w:val="24"/>
                <w:lang w:val="en-US"/>
              </w:rPr>
            </w:pPr>
            <w:r>
              <w:rPr>
                <w:rFonts w:ascii="Arial Narrow" w:hAnsi="Arial Narrow" w:cs="Times New Roman"/>
                <w:color w:val="1F497D" w:themeColor="text2"/>
                <w:sz w:val="24"/>
                <w:szCs w:val="24"/>
              </w:rPr>
              <w:t>Ετήσιο επιτόκιο (</w:t>
            </w:r>
            <w:r>
              <w:rPr>
                <w:rFonts w:ascii="Arial Narrow" w:hAnsi="Arial Narrow" w:cs="Times New Roman"/>
                <w:color w:val="1F497D" w:themeColor="text2"/>
                <w:sz w:val="24"/>
                <w:szCs w:val="24"/>
                <w:lang w:val="en-US"/>
              </w:rPr>
              <w:t>CBUAE)</w:t>
            </w:r>
            <w:r>
              <w:rPr>
                <w:rFonts w:ascii="Arial Narrow" w:hAnsi="Arial Narrow" w:cs="Times New Roman"/>
                <w:color w:val="1F497D" w:themeColor="text2"/>
                <w:sz w:val="24"/>
                <w:szCs w:val="24"/>
              </w:rPr>
              <w:t xml:space="preserve"> Δεκέμβριος 2025</w:t>
            </w:r>
            <w:r>
              <w:rPr>
                <w:rFonts w:ascii="Arial Narrow" w:hAnsi="Arial Narrow" w:cs="Times New Roman"/>
                <w:color w:val="1F497D" w:themeColor="text2"/>
                <w:sz w:val="24"/>
                <w:szCs w:val="24"/>
                <w:lang w:val="en-US"/>
              </w:rPr>
              <w:t xml:space="preserve"> </w:t>
            </w:r>
          </w:p>
        </w:tc>
        <w:tc>
          <w:tcPr>
            <w:tcW w:w="2443" w:type="dxa"/>
          </w:tcPr>
          <w:p w14:paraId="055CB823" w14:textId="77777777" w:rsidR="009D799C" w:rsidRDefault="009D799C" w:rsidP="009D799C">
            <w:pPr>
              <w:jc w:val="both"/>
              <w:rPr>
                <w:rFonts w:ascii="Arial Narrow" w:hAnsi="Arial Narrow" w:cs="Times New Roman"/>
                <w:color w:val="1F497D" w:themeColor="text2"/>
                <w:sz w:val="24"/>
                <w:szCs w:val="24"/>
              </w:rPr>
            </w:pPr>
          </w:p>
          <w:p w14:paraId="07238851" w14:textId="3E9C2B2F" w:rsidR="00A5768D" w:rsidRPr="006A1BFE" w:rsidRDefault="00A5768D"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4,9%</w:t>
            </w:r>
          </w:p>
        </w:tc>
        <w:tc>
          <w:tcPr>
            <w:tcW w:w="2443" w:type="dxa"/>
          </w:tcPr>
          <w:p w14:paraId="6EC3D7FF" w14:textId="77777777" w:rsidR="009D799C" w:rsidRDefault="009D799C" w:rsidP="009D799C">
            <w:pPr>
              <w:jc w:val="both"/>
              <w:rPr>
                <w:rFonts w:ascii="Arial Narrow" w:hAnsi="Arial Narrow" w:cs="Times New Roman"/>
                <w:color w:val="1F497D" w:themeColor="text2"/>
                <w:sz w:val="24"/>
                <w:szCs w:val="24"/>
              </w:rPr>
            </w:pPr>
          </w:p>
          <w:p w14:paraId="79313DC7" w14:textId="6B3484BC" w:rsidR="00A5768D" w:rsidRPr="006A1BFE" w:rsidRDefault="00A5768D"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4</w:t>
            </w:r>
            <w:r w:rsidR="00DC7B0E">
              <w:rPr>
                <w:rFonts w:ascii="Arial Narrow" w:hAnsi="Arial Narrow" w:cs="Times New Roman"/>
                <w:color w:val="1F497D" w:themeColor="text2"/>
                <w:sz w:val="24"/>
                <w:szCs w:val="24"/>
              </w:rPr>
              <w:t>,15 – 4,40%</w:t>
            </w:r>
          </w:p>
        </w:tc>
        <w:tc>
          <w:tcPr>
            <w:tcW w:w="2443" w:type="dxa"/>
          </w:tcPr>
          <w:p w14:paraId="034CA040" w14:textId="77777777" w:rsidR="009D799C" w:rsidRDefault="009D799C" w:rsidP="009D799C">
            <w:pPr>
              <w:jc w:val="both"/>
              <w:rPr>
                <w:rFonts w:ascii="Arial Narrow" w:hAnsi="Arial Narrow" w:cs="Times New Roman"/>
                <w:color w:val="1F497D" w:themeColor="text2"/>
                <w:sz w:val="24"/>
                <w:szCs w:val="24"/>
              </w:rPr>
            </w:pPr>
          </w:p>
          <w:p w14:paraId="711BEE85" w14:textId="6C627415" w:rsidR="00DC7B0E" w:rsidRPr="006A1BFE" w:rsidRDefault="00DC7B0E"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3,65%</w:t>
            </w:r>
          </w:p>
        </w:tc>
      </w:tr>
      <w:tr w:rsidR="006A1BFE" w:rsidRPr="006A1BFE" w14:paraId="70BF58FF" w14:textId="77777777" w:rsidTr="006A1BFE">
        <w:trPr>
          <w:jc w:val="center"/>
        </w:trPr>
        <w:tc>
          <w:tcPr>
            <w:tcW w:w="2442" w:type="dxa"/>
          </w:tcPr>
          <w:p w14:paraId="58E11622" w14:textId="76F6B2D6" w:rsidR="009D799C" w:rsidRPr="006A1BFE" w:rsidRDefault="00DC7B0E"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Εξαγωγές Αγαθών &amp; Υπηρεσιών (δις $</w:t>
            </w:r>
            <w:r w:rsidR="009E1915">
              <w:rPr>
                <w:rFonts w:ascii="Arial Narrow" w:hAnsi="Arial Narrow" w:cs="Times New Roman"/>
                <w:color w:val="1F497D" w:themeColor="text2"/>
                <w:sz w:val="24"/>
                <w:szCs w:val="24"/>
              </w:rPr>
              <w:t>)</w:t>
            </w:r>
          </w:p>
        </w:tc>
        <w:tc>
          <w:tcPr>
            <w:tcW w:w="2443" w:type="dxa"/>
          </w:tcPr>
          <w:p w14:paraId="7EA88D52" w14:textId="77777777" w:rsidR="009D799C" w:rsidRDefault="009D799C" w:rsidP="009D799C">
            <w:pPr>
              <w:jc w:val="both"/>
              <w:rPr>
                <w:rFonts w:ascii="Arial Narrow" w:hAnsi="Arial Narrow" w:cs="Times New Roman"/>
                <w:color w:val="1F497D" w:themeColor="text2"/>
                <w:sz w:val="24"/>
                <w:szCs w:val="24"/>
              </w:rPr>
            </w:pPr>
          </w:p>
          <w:p w14:paraId="4E1AEBEB" w14:textId="70D424E1" w:rsidR="009E1915" w:rsidRPr="006A1BFE" w:rsidRDefault="009E1915"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620 δις $</w:t>
            </w:r>
          </w:p>
        </w:tc>
        <w:tc>
          <w:tcPr>
            <w:tcW w:w="2443" w:type="dxa"/>
          </w:tcPr>
          <w:p w14:paraId="02B8EFC4" w14:textId="77777777" w:rsidR="009D799C" w:rsidRDefault="009D799C" w:rsidP="009D799C">
            <w:pPr>
              <w:jc w:val="both"/>
              <w:rPr>
                <w:rFonts w:ascii="Arial Narrow" w:hAnsi="Arial Narrow" w:cs="Times New Roman"/>
                <w:color w:val="1F497D" w:themeColor="text2"/>
                <w:sz w:val="24"/>
                <w:szCs w:val="24"/>
              </w:rPr>
            </w:pPr>
          </w:p>
          <w:p w14:paraId="79D980D7" w14:textId="67FA146B" w:rsidR="009E1915" w:rsidRPr="006A1BFE" w:rsidRDefault="009E1915"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650 δις $</w:t>
            </w:r>
          </w:p>
        </w:tc>
        <w:tc>
          <w:tcPr>
            <w:tcW w:w="2443" w:type="dxa"/>
          </w:tcPr>
          <w:p w14:paraId="6F04FDA4" w14:textId="77777777" w:rsidR="009D799C" w:rsidRDefault="009D799C" w:rsidP="009D799C">
            <w:pPr>
              <w:jc w:val="both"/>
              <w:rPr>
                <w:rFonts w:ascii="Arial Narrow" w:hAnsi="Arial Narrow" w:cs="Times New Roman"/>
                <w:color w:val="1F497D" w:themeColor="text2"/>
                <w:sz w:val="24"/>
                <w:szCs w:val="24"/>
              </w:rPr>
            </w:pPr>
          </w:p>
          <w:p w14:paraId="2830BC95" w14:textId="0C1DD943" w:rsidR="009E1915" w:rsidRPr="006A1BFE" w:rsidRDefault="009E1915"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680 δις $</w:t>
            </w:r>
          </w:p>
        </w:tc>
      </w:tr>
      <w:tr w:rsidR="006A1BFE" w:rsidRPr="006A1BFE" w14:paraId="3FDE0B10" w14:textId="77777777" w:rsidTr="006A1BFE">
        <w:trPr>
          <w:jc w:val="center"/>
        </w:trPr>
        <w:tc>
          <w:tcPr>
            <w:tcW w:w="2442" w:type="dxa"/>
          </w:tcPr>
          <w:p w14:paraId="77C629AA" w14:textId="16405B94" w:rsidR="009D799C" w:rsidRPr="006A1BFE" w:rsidRDefault="009E1915"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Εισαγωγές αγαθών &amp; υπηρεσιών (δις </w:t>
            </w:r>
            <w:r w:rsidR="00715CBC">
              <w:rPr>
                <w:rFonts w:ascii="Arial Narrow" w:hAnsi="Arial Narrow" w:cs="Times New Roman"/>
                <w:color w:val="1F497D" w:themeColor="text2"/>
                <w:sz w:val="24"/>
                <w:szCs w:val="24"/>
              </w:rPr>
              <w:t>$)</w:t>
            </w:r>
          </w:p>
        </w:tc>
        <w:tc>
          <w:tcPr>
            <w:tcW w:w="2443" w:type="dxa"/>
          </w:tcPr>
          <w:p w14:paraId="06B5B6FD" w14:textId="77777777" w:rsidR="009D799C" w:rsidRDefault="009D799C" w:rsidP="009D799C">
            <w:pPr>
              <w:jc w:val="both"/>
              <w:rPr>
                <w:rFonts w:ascii="Arial Narrow" w:hAnsi="Arial Narrow" w:cs="Times New Roman"/>
                <w:color w:val="1F497D" w:themeColor="text2"/>
                <w:sz w:val="24"/>
                <w:szCs w:val="24"/>
              </w:rPr>
            </w:pPr>
          </w:p>
          <w:p w14:paraId="083968DB" w14:textId="03D2B347" w:rsidR="00715CBC" w:rsidRPr="006A1BFE" w:rsidRDefault="00715CBC"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480 δις $</w:t>
            </w:r>
          </w:p>
        </w:tc>
        <w:tc>
          <w:tcPr>
            <w:tcW w:w="2443" w:type="dxa"/>
          </w:tcPr>
          <w:p w14:paraId="05142E9D" w14:textId="77777777" w:rsidR="009D799C" w:rsidRDefault="009D799C" w:rsidP="009D799C">
            <w:pPr>
              <w:jc w:val="both"/>
              <w:rPr>
                <w:rFonts w:ascii="Arial Narrow" w:hAnsi="Arial Narrow" w:cs="Times New Roman"/>
                <w:color w:val="1F497D" w:themeColor="text2"/>
                <w:sz w:val="24"/>
                <w:szCs w:val="24"/>
              </w:rPr>
            </w:pPr>
          </w:p>
          <w:p w14:paraId="1D78440C" w14:textId="7A66F9FD" w:rsidR="00715CBC" w:rsidRPr="006A1BFE" w:rsidRDefault="00715CBC"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510 δις $</w:t>
            </w:r>
          </w:p>
        </w:tc>
        <w:tc>
          <w:tcPr>
            <w:tcW w:w="2443" w:type="dxa"/>
          </w:tcPr>
          <w:p w14:paraId="7006AF38" w14:textId="77777777" w:rsidR="009D799C" w:rsidRDefault="009D799C" w:rsidP="009D799C">
            <w:pPr>
              <w:jc w:val="both"/>
              <w:rPr>
                <w:rFonts w:ascii="Arial Narrow" w:hAnsi="Arial Narrow" w:cs="Times New Roman"/>
                <w:color w:val="1F497D" w:themeColor="text2"/>
                <w:sz w:val="24"/>
                <w:szCs w:val="24"/>
              </w:rPr>
            </w:pPr>
          </w:p>
          <w:p w14:paraId="29D73376" w14:textId="6D22BDF6" w:rsidR="00715CBC" w:rsidRPr="006A1BFE" w:rsidRDefault="00715CBC" w:rsidP="009D799C">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550 δις $</w:t>
            </w:r>
          </w:p>
        </w:tc>
      </w:tr>
    </w:tbl>
    <w:p w14:paraId="614845C4" w14:textId="0753FAE1" w:rsidR="00137BD8" w:rsidRDefault="00137BD8" w:rsidP="00137BD8">
      <w:pPr>
        <w:jc w:val="both"/>
        <w:rPr>
          <w:rFonts w:ascii="Arial Narrow" w:hAnsi="Arial Narrow" w:cs="Times New Roman"/>
          <w:sz w:val="24"/>
          <w:szCs w:val="24"/>
          <w:lang w:val="en-US"/>
        </w:rPr>
      </w:pPr>
      <w:r>
        <w:rPr>
          <w:rFonts w:ascii="Arial Narrow" w:hAnsi="Arial Narrow" w:cs="Times New Roman"/>
          <w:sz w:val="24"/>
          <w:szCs w:val="24"/>
        </w:rPr>
        <w:t>Πηγές</w:t>
      </w:r>
      <w:r w:rsidRPr="00137BD8">
        <w:rPr>
          <w:rFonts w:ascii="Arial Narrow" w:hAnsi="Arial Narrow" w:cs="Times New Roman"/>
          <w:sz w:val="24"/>
          <w:szCs w:val="24"/>
          <w:lang w:val="en-AE"/>
        </w:rPr>
        <w:t xml:space="preserve">: </w:t>
      </w:r>
      <w:r>
        <w:rPr>
          <w:rFonts w:ascii="Arial Narrow" w:hAnsi="Arial Narrow" w:cs="Times New Roman"/>
          <w:sz w:val="24"/>
          <w:szCs w:val="24"/>
          <w:lang w:val="en-US"/>
        </w:rPr>
        <w:t>FCSC</w:t>
      </w:r>
      <w:r w:rsidRPr="00137BD8">
        <w:rPr>
          <w:rFonts w:ascii="Arial Narrow" w:hAnsi="Arial Narrow" w:cs="Times New Roman"/>
          <w:sz w:val="24"/>
          <w:szCs w:val="24"/>
          <w:lang w:val="en-AE"/>
        </w:rPr>
        <w:t xml:space="preserve">, </w:t>
      </w:r>
      <w:r>
        <w:rPr>
          <w:rFonts w:ascii="Arial Narrow" w:hAnsi="Arial Narrow" w:cs="Times New Roman"/>
          <w:sz w:val="24"/>
          <w:szCs w:val="24"/>
          <w:lang w:val="en-US"/>
        </w:rPr>
        <w:t>CBUAE</w:t>
      </w:r>
      <w:r w:rsidRPr="00137BD8">
        <w:rPr>
          <w:rFonts w:ascii="Arial Narrow" w:hAnsi="Arial Narrow" w:cs="Times New Roman"/>
          <w:sz w:val="24"/>
          <w:szCs w:val="24"/>
          <w:lang w:val="en-AE"/>
        </w:rPr>
        <w:t xml:space="preserve">, </w:t>
      </w:r>
      <w:r>
        <w:rPr>
          <w:rFonts w:ascii="Arial Narrow" w:hAnsi="Arial Narrow" w:cs="Times New Roman"/>
          <w:sz w:val="24"/>
          <w:szCs w:val="24"/>
          <w:lang w:val="en-US"/>
        </w:rPr>
        <w:t>IMF</w:t>
      </w:r>
      <w:r w:rsidRPr="00137BD8">
        <w:rPr>
          <w:rFonts w:ascii="Arial Narrow" w:hAnsi="Arial Narrow" w:cs="Times New Roman"/>
          <w:sz w:val="24"/>
          <w:szCs w:val="24"/>
          <w:lang w:val="en-AE"/>
        </w:rPr>
        <w:t xml:space="preserve">, </w:t>
      </w:r>
      <w:r>
        <w:rPr>
          <w:rFonts w:ascii="Arial Narrow" w:hAnsi="Arial Narrow" w:cs="Times New Roman"/>
          <w:sz w:val="24"/>
          <w:szCs w:val="24"/>
          <w:lang w:val="en-US"/>
        </w:rPr>
        <w:t xml:space="preserve">WORLD BANKS </w:t>
      </w:r>
    </w:p>
    <w:p w14:paraId="3BCC45C2" w14:textId="2EB0C56E" w:rsidR="00137BD8" w:rsidRPr="002C2272" w:rsidRDefault="008B0631" w:rsidP="00E10259">
      <w:pPr>
        <w:jc w:val="center"/>
        <w:rPr>
          <w:rFonts w:ascii="Arial Narrow" w:hAnsi="Arial Narrow" w:cs="Times New Roman"/>
          <w:b/>
          <w:color w:val="1F497D" w:themeColor="text2"/>
          <w:sz w:val="24"/>
          <w:szCs w:val="24"/>
        </w:rPr>
      </w:pPr>
      <w:r w:rsidRPr="002C2272">
        <w:rPr>
          <w:rFonts w:ascii="Arial Narrow" w:hAnsi="Arial Narrow" w:cs="Times New Roman"/>
          <w:b/>
          <w:color w:val="1F497D" w:themeColor="text2"/>
          <w:sz w:val="24"/>
          <w:szCs w:val="24"/>
        </w:rPr>
        <w:t>ΠΙΝΑΚΑΣ</w:t>
      </w:r>
      <w:r w:rsidR="0072778C">
        <w:rPr>
          <w:rFonts w:ascii="Arial Narrow" w:hAnsi="Arial Narrow" w:cs="Times New Roman"/>
          <w:b/>
          <w:color w:val="1F497D" w:themeColor="text2"/>
          <w:sz w:val="24"/>
          <w:szCs w:val="24"/>
        </w:rPr>
        <w:t xml:space="preserve"> </w:t>
      </w:r>
      <w:r w:rsidR="00E10259">
        <w:rPr>
          <w:rFonts w:ascii="Arial Narrow" w:hAnsi="Arial Narrow" w:cs="Times New Roman"/>
          <w:b/>
          <w:color w:val="1F497D" w:themeColor="text2"/>
          <w:sz w:val="24"/>
          <w:szCs w:val="24"/>
        </w:rPr>
        <w:t xml:space="preserve">2 </w:t>
      </w:r>
      <w:r w:rsidRPr="002C2272">
        <w:rPr>
          <w:rFonts w:ascii="Arial Narrow" w:hAnsi="Arial Narrow" w:cs="Times New Roman"/>
          <w:b/>
          <w:color w:val="1F497D" w:themeColor="text2"/>
          <w:sz w:val="24"/>
          <w:szCs w:val="24"/>
        </w:rPr>
        <w:t>ΑΜΕ</w:t>
      </w:r>
      <w:r w:rsidR="0072778C">
        <w:rPr>
          <w:rFonts w:ascii="Arial Narrow" w:hAnsi="Arial Narrow" w:cs="Times New Roman"/>
          <w:b/>
          <w:color w:val="1F497D" w:themeColor="text2"/>
          <w:sz w:val="24"/>
          <w:szCs w:val="24"/>
        </w:rPr>
        <w:t xml:space="preserve">ΣΕΣ ΞΕΝΕΣ ΕΠΕΝΔΥΣΕΙΣ </w:t>
      </w:r>
      <w:r w:rsidRPr="002C2272">
        <w:rPr>
          <w:rFonts w:ascii="Arial Narrow" w:hAnsi="Arial Narrow" w:cs="Times New Roman"/>
          <w:b/>
          <w:color w:val="1F497D" w:themeColor="text2"/>
          <w:sz w:val="24"/>
          <w:szCs w:val="24"/>
        </w:rPr>
        <w:t xml:space="preserve"> ΣΤΑ ΗΑΕ</w:t>
      </w:r>
    </w:p>
    <w:tbl>
      <w:tblPr>
        <w:tblStyle w:val="TableGrid"/>
        <w:tblW w:w="0" w:type="auto"/>
        <w:tblLook w:val="04A0" w:firstRow="1" w:lastRow="0" w:firstColumn="1" w:lastColumn="0" w:noHBand="0" w:noVBand="1"/>
      </w:tblPr>
      <w:tblGrid>
        <w:gridCol w:w="4885"/>
        <w:gridCol w:w="4886"/>
      </w:tblGrid>
      <w:tr w:rsidR="008B0631" w:rsidRPr="002C2272" w14:paraId="434410F6" w14:textId="77777777" w:rsidTr="008B0631">
        <w:tc>
          <w:tcPr>
            <w:tcW w:w="4885" w:type="dxa"/>
          </w:tcPr>
          <w:p w14:paraId="0651E482" w14:textId="6481D799" w:rsidR="008B0631" w:rsidRPr="002C2272" w:rsidRDefault="008B0631" w:rsidP="008B0631">
            <w:pPr>
              <w:rPr>
                <w:rFonts w:ascii="Arial Narrow" w:hAnsi="Arial Narrow" w:cs="Times New Roman"/>
                <w:b/>
                <w:color w:val="1F497D" w:themeColor="text2"/>
                <w:sz w:val="24"/>
                <w:szCs w:val="24"/>
              </w:rPr>
            </w:pPr>
            <w:r w:rsidRPr="002C2272">
              <w:rPr>
                <w:rFonts w:ascii="Arial Narrow" w:hAnsi="Arial Narrow" w:cs="Times New Roman"/>
                <w:b/>
                <w:color w:val="1F497D" w:themeColor="text2"/>
                <w:sz w:val="24"/>
                <w:szCs w:val="24"/>
              </w:rPr>
              <w:t xml:space="preserve">ΔΕΙΚΤΗΣ </w:t>
            </w:r>
          </w:p>
        </w:tc>
        <w:tc>
          <w:tcPr>
            <w:tcW w:w="4886" w:type="dxa"/>
          </w:tcPr>
          <w:p w14:paraId="0EB7FBD0" w14:textId="1ADE631E" w:rsidR="008B0631" w:rsidRPr="002C2272" w:rsidRDefault="008B0631" w:rsidP="008B0631">
            <w:pPr>
              <w:rPr>
                <w:rFonts w:ascii="Arial Narrow" w:hAnsi="Arial Narrow" w:cs="Times New Roman"/>
                <w:b/>
                <w:color w:val="1F497D" w:themeColor="text2"/>
                <w:sz w:val="24"/>
                <w:szCs w:val="24"/>
              </w:rPr>
            </w:pPr>
            <w:r w:rsidRPr="002C2272">
              <w:rPr>
                <w:rFonts w:ascii="Arial Narrow" w:hAnsi="Arial Narrow" w:cs="Times New Roman"/>
                <w:b/>
                <w:color w:val="1F497D" w:themeColor="text2"/>
                <w:sz w:val="24"/>
                <w:szCs w:val="24"/>
              </w:rPr>
              <w:t>ΤΙΜΗ (2024)</w:t>
            </w:r>
          </w:p>
        </w:tc>
      </w:tr>
      <w:tr w:rsidR="008B0631" w14:paraId="5C5789B4" w14:textId="77777777" w:rsidTr="008B0631">
        <w:tc>
          <w:tcPr>
            <w:tcW w:w="4885" w:type="dxa"/>
          </w:tcPr>
          <w:p w14:paraId="254B8243" w14:textId="7B827A61" w:rsidR="008B0631" w:rsidRDefault="008B0631" w:rsidP="008B0631">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Εισροές από Άμεσες Ξένες Επενδύσεις </w:t>
            </w:r>
          </w:p>
        </w:tc>
        <w:tc>
          <w:tcPr>
            <w:tcW w:w="4886" w:type="dxa"/>
          </w:tcPr>
          <w:p w14:paraId="5CD11676" w14:textId="1D008C65" w:rsidR="008B0631" w:rsidRPr="008B0631" w:rsidRDefault="008B0631" w:rsidP="008B0631">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167,6 δις </w:t>
            </w:r>
            <w:r>
              <w:rPr>
                <w:rFonts w:ascii="Arial Narrow" w:hAnsi="Arial Narrow" w:cs="Times New Roman"/>
                <w:color w:val="1F497D" w:themeColor="text2"/>
                <w:sz w:val="24"/>
                <w:szCs w:val="24"/>
                <w:lang w:val="en-US"/>
              </w:rPr>
              <w:t xml:space="preserve">AED (USD 45,6 </w:t>
            </w:r>
            <w:r>
              <w:rPr>
                <w:rFonts w:ascii="Arial Narrow" w:hAnsi="Arial Narrow" w:cs="Times New Roman"/>
                <w:color w:val="1F497D" w:themeColor="text2"/>
                <w:sz w:val="24"/>
                <w:szCs w:val="24"/>
              </w:rPr>
              <w:t>δις)</w:t>
            </w:r>
          </w:p>
        </w:tc>
      </w:tr>
      <w:tr w:rsidR="008B0631" w14:paraId="0C3BCD40" w14:textId="77777777" w:rsidTr="008B0631">
        <w:tc>
          <w:tcPr>
            <w:tcW w:w="4885" w:type="dxa"/>
          </w:tcPr>
          <w:p w14:paraId="254A9A41" w14:textId="22C0E51F" w:rsidR="008B0631" w:rsidRDefault="008B0631" w:rsidP="008B0631">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Υ-ο-Υ Ανάπτυξη </w:t>
            </w:r>
          </w:p>
        </w:tc>
        <w:tc>
          <w:tcPr>
            <w:tcW w:w="4886" w:type="dxa"/>
          </w:tcPr>
          <w:p w14:paraId="3A0C7D9D" w14:textId="7AE08122" w:rsidR="008B0631" w:rsidRDefault="008B0631" w:rsidP="008B0631">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+48,7% (από 30,7 δις $ το 2023)</w:t>
            </w:r>
          </w:p>
        </w:tc>
      </w:tr>
      <w:tr w:rsidR="008B0631" w14:paraId="41194640" w14:textId="77777777" w:rsidTr="008B0631">
        <w:tc>
          <w:tcPr>
            <w:tcW w:w="4885" w:type="dxa"/>
          </w:tcPr>
          <w:p w14:paraId="6D3DC23A" w14:textId="11BA162F" w:rsidR="008B0631" w:rsidRDefault="008B0631" w:rsidP="008B0631">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Παγκόσμια Κατάταξη </w:t>
            </w:r>
          </w:p>
        </w:tc>
        <w:tc>
          <w:tcPr>
            <w:tcW w:w="4886" w:type="dxa"/>
          </w:tcPr>
          <w:p w14:paraId="75510AD3" w14:textId="2195D453" w:rsidR="008B0631" w:rsidRDefault="008B0631" w:rsidP="008B0631">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10</w:t>
            </w:r>
            <w:r w:rsidRPr="008B0631">
              <w:rPr>
                <w:rFonts w:ascii="Arial Narrow" w:hAnsi="Arial Narrow" w:cs="Times New Roman"/>
                <w:color w:val="1F497D" w:themeColor="text2"/>
                <w:sz w:val="24"/>
                <w:szCs w:val="24"/>
                <w:vertAlign w:val="superscript"/>
              </w:rPr>
              <w:t>η</w:t>
            </w:r>
            <w:r>
              <w:rPr>
                <w:rFonts w:ascii="Arial Narrow" w:hAnsi="Arial Narrow" w:cs="Times New Roman"/>
                <w:color w:val="1F497D" w:themeColor="text2"/>
                <w:sz w:val="24"/>
                <w:szCs w:val="24"/>
              </w:rPr>
              <w:t xml:space="preserve"> Θέση</w:t>
            </w:r>
          </w:p>
        </w:tc>
      </w:tr>
      <w:tr w:rsidR="008B0631" w14:paraId="6A94905E" w14:textId="77777777" w:rsidTr="008B0631">
        <w:tc>
          <w:tcPr>
            <w:tcW w:w="4885" w:type="dxa"/>
          </w:tcPr>
          <w:p w14:paraId="01A8D9FF" w14:textId="4046C89F" w:rsidR="008B0631" w:rsidRDefault="008B0631" w:rsidP="008B0631">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Μερίδιο ΜΕΝΑ</w:t>
            </w:r>
          </w:p>
        </w:tc>
        <w:tc>
          <w:tcPr>
            <w:tcW w:w="4886" w:type="dxa"/>
          </w:tcPr>
          <w:p w14:paraId="45BFCFD2" w14:textId="3BF0CD90" w:rsidR="008B0631" w:rsidRDefault="008B0631" w:rsidP="008B0631">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37% όλων των ΑΞΕ εισροών</w:t>
            </w:r>
          </w:p>
        </w:tc>
      </w:tr>
      <w:tr w:rsidR="008B0631" w14:paraId="1014E4EF" w14:textId="77777777" w:rsidTr="008B0631">
        <w:tc>
          <w:tcPr>
            <w:tcW w:w="4885" w:type="dxa"/>
          </w:tcPr>
          <w:p w14:paraId="60734CB9" w14:textId="11089F98" w:rsidR="008B0631" w:rsidRPr="008B0631" w:rsidRDefault="008B0631" w:rsidP="008B0631">
            <w:pPr>
              <w:rPr>
                <w:rFonts w:ascii="Arial Narrow" w:hAnsi="Arial Narrow" w:cs="Times New Roman"/>
                <w:color w:val="1F497D" w:themeColor="text2"/>
                <w:sz w:val="24"/>
                <w:szCs w:val="24"/>
                <w:lang w:val="en-US"/>
              </w:rPr>
            </w:pPr>
            <w:r>
              <w:rPr>
                <w:rFonts w:ascii="Arial Narrow" w:hAnsi="Arial Narrow" w:cs="Times New Roman"/>
                <w:color w:val="1F497D" w:themeColor="text2"/>
                <w:sz w:val="24"/>
                <w:szCs w:val="24"/>
              </w:rPr>
              <w:t>Απόθεμα ΑΞΕ (cum</w:t>
            </w:r>
            <w:r>
              <w:rPr>
                <w:rFonts w:ascii="Arial Narrow" w:hAnsi="Arial Narrow" w:cs="Times New Roman"/>
                <w:color w:val="1F497D" w:themeColor="text2"/>
                <w:sz w:val="24"/>
                <w:szCs w:val="24"/>
                <w:lang w:val="en-US"/>
              </w:rPr>
              <w:t>ulative)</w:t>
            </w:r>
          </w:p>
        </w:tc>
        <w:tc>
          <w:tcPr>
            <w:tcW w:w="4886" w:type="dxa"/>
          </w:tcPr>
          <w:p w14:paraId="42534899" w14:textId="19E6A642" w:rsidR="008B0631" w:rsidRPr="008B0631" w:rsidRDefault="008B0631" w:rsidP="008B0631">
            <w:pPr>
              <w:rPr>
                <w:rFonts w:ascii="Arial Narrow" w:hAnsi="Arial Narrow" w:cs="Times New Roman"/>
                <w:color w:val="1F497D" w:themeColor="text2"/>
                <w:sz w:val="24"/>
                <w:szCs w:val="24"/>
              </w:rPr>
            </w:pPr>
            <w:proofErr w:type="gramStart"/>
            <w:r>
              <w:rPr>
                <w:rFonts w:ascii="Arial Narrow" w:hAnsi="Arial Narrow" w:cs="Times New Roman"/>
                <w:color w:val="1F497D" w:themeColor="text2"/>
                <w:sz w:val="24"/>
                <w:szCs w:val="24"/>
                <w:lang w:val="en-US"/>
              </w:rPr>
              <w:t>260,</w:t>
            </w:r>
            <w:r>
              <w:rPr>
                <w:rFonts w:ascii="Arial Narrow" w:hAnsi="Arial Narrow" w:cs="Times New Roman"/>
                <w:color w:val="1F497D" w:themeColor="text2"/>
                <w:sz w:val="24"/>
                <w:szCs w:val="24"/>
              </w:rPr>
              <w:t>δις</w:t>
            </w:r>
            <w:proofErr w:type="gramEnd"/>
            <w:r>
              <w:rPr>
                <w:rFonts w:ascii="Arial Narrow" w:hAnsi="Arial Narrow" w:cs="Times New Roman"/>
                <w:color w:val="1F497D" w:themeColor="text2"/>
                <w:sz w:val="24"/>
                <w:szCs w:val="24"/>
              </w:rPr>
              <w:t xml:space="preserve"> $</w:t>
            </w:r>
          </w:p>
        </w:tc>
      </w:tr>
      <w:tr w:rsidR="00FB405B" w14:paraId="2DFD81A3" w14:textId="77777777" w:rsidTr="008B0631">
        <w:tc>
          <w:tcPr>
            <w:tcW w:w="4885" w:type="dxa"/>
          </w:tcPr>
          <w:p w14:paraId="13A32B97" w14:textId="5D289DD3" w:rsidR="00FB405B" w:rsidRPr="00FB405B" w:rsidRDefault="00FB405B" w:rsidP="008B0631">
            <w:pPr>
              <w:rPr>
                <w:rFonts w:ascii="Arial Narrow" w:hAnsi="Arial Narrow" w:cs="Times New Roman"/>
                <w:color w:val="1F497D" w:themeColor="text2"/>
                <w:sz w:val="24"/>
                <w:szCs w:val="24"/>
                <w:lang w:val="en-US"/>
              </w:rPr>
            </w:pPr>
            <w:r>
              <w:rPr>
                <w:rFonts w:ascii="Arial Narrow" w:hAnsi="Arial Narrow" w:cs="Times New Roman"/>
                <w:color w:val="1F497D" w:themeColor="text2"/>
                <w:sz w:val="24"/>
                <w:szCs w:val="24"/>
                <w:lang w:val="en-US"/>
              </w:rPr>
              <w:t>Greenfield Projects (2024)</w:t>
            </w:r>
          </w:p>
        </w:tc>
        <w:tc>
          <w:tcPr>
            <w:tcW w:w="4886" w:type="dxa"/>
          </w:tcPr>
          <w:p w14:paraId="75CBFEDE" w14:textId="2E37CAE0" w:rsidR="00FB405B" w:rsidRPr="00FB405B" w:rsidRDefault="00FB405B" w:rsidP="008B0631">
            <w:pPr>
              <w:rPr>
                <w:rFonts w:ascii="Arial Narrow" w:hAnsi="Arial Narrow" w:cs="Times New Roman"/>
                <w:color w:val="1F497D" w:themeColor="text2"/>
                <w:sz w:val="24"/>
                <w:szCs w:val="24"/>
              </w:rPr>
            </w:pPr>
            <w:r w:rsidRPr="00FB405B">
              <w:rPr>
                <w:rFonts w:ascii="Arial Narrow" w:hAnsi="Arial Narrow" w:cs="Times New Roman"/>
                <w:color w:val="1F497D" w:themeColor="text2"/>
                <w:sz w:val="24"/>
                <w:szCs w:val="24"/>
              </w:rPr>
              <w:t xml:space="preserve">1.389 </w:t>
            </w:r>
            <w:r>
              <w:rPr>
                <w:rFonts w:ascii="Arial Narrow" w:hAnsi="Arial Narrow" w:cs="Times New Roman"/>
                <w:color w:val="1F497D" w:themeColor="text2"/>
                <w:sz w:val="24"/>
                <w:szCs w:val="24"/>
              </w:rPr>
              <w:t>έργα (14,5 δις $) – 2</w:t>
            </w:r>
            <w:r w:rsidRPr="00FB405B">
              <w:rPr>
                <w:rFonts w:ascii="Arial Narrow" w:hAnsi="Arial Narrow" w:cs="Times New Roman"/>
                <w:color w:val="1F497D" w:themeColor="text2"/>
                <w:sz w:val="24"/>
                <w:szCs w:val="24"/>
                <w:vertAlign w:val="superscript"/>
              </w:rPr>
              <w:t>η</w:t>
            </w:r>
            <w:r>
              <w:rPr>
                <w:rFonts w:ascii="Arial Narrow" w:hAnsi="Arial Narrow" w:cs="Times New Roman"/>
                <w:color w:val="1F497D" w:themeColor="text2"/>
                <w:sz w:val="24"/>
                <w:szCs w:val="24"/>
              </w:rPr>
              <w:t xml:space="preserve"> Θέση Παγκοσμίως </w:t>
            </w:r>
          </w:p>
        </w:tc>
      </w:tr>
      <w:tr w:rsidR="00FB405B" w14:paraId="70A4557F" w14:textId="77777777" w:rsidTr="008B0631">
        <w:tc>
          <w:tcPr>
            <w:tcW w:w="4885" w:type="dxa"/>
          </w:tcPr>
          <w:p w14:paraId="649EB911" w14:textId="2F57610F" w:rsidR="00FB405B" w:rsidRDefault="0069491D" w:rsidP="008B0631">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Στόχος έως 2031</w:t>
            </w:r>
          </w:p>
        </w:tc>
        <w:tc>
          <w:tcPr>
            <w:tcW w:w="4886" w:type="dxa"/>
          </w:tcPr>
          <w:p w14:paraId="382EA608" w14:textId="799F62C5" w:rsidR="00FB405B" w:rsidRPr="0069491D" w:rsidRDefault="0069491D" w:rsidP="008B0631">
            <w:pPr>
              <w:rPr>
                <w:rFonts w:ascii="Arial Narrow" w:hAnsi="Arial Narrow" w:cs="Times New Roman"/>
                <w:color w:val="1F497D" w:themeColor="text2"/>
                <w:sz w:val="24"/>
                <w:szCs w:val="24"/>
                <w:lang w:val="en-US"/>
              </w:rPr>
            </w:pPr>
            <w:r>
              <w:rPr>
                <w:rFonts w:ascii="Arial Narrow" w:hAnsi="Arial Narrow" w:cs="Times New Roman"/>
                <w:color w:val="1F497D" w:themeColor="text2"/>
                <w:sz w:val="24"/>
                <w:szCs w:val="24"/>
              </w:rPr>
              <w:t xml:space="preserve">2,2 τρις </w:t>
            </w:r>
            <w:r>
              <w:rPr>
                <w:rFonts w:ascii="Arial Narrow" w:hAnsi="Arial Narrow" w:cs="Times New Roman"/>
                <w:color w:val="1F497D" w:themeColor="text2"/>
                <w:sz w:val="24"/>
                <w:szCs w:val="24"/>
                <w:lang w:val="en-US"/>
              </w:rPr>
              <w:t>AED cumulative FDI</w:t>
            </w:r>
          </w:p>
        </w:tc>
      </w:tr>
    </w:tbl>
    <w:p w14:paraId="7C5CE95D" w14:textId="00D9549C" w:rsidR="008B0631" w:rsidRDefault="005118AA" w:rsidP="0069491D">
      <w:pPr>
        <w:rPr>
          <w:rFonts w:ascii="Arial Narrow" w:hAnsi="Arial Narrow" w:cs="Times New Roman"/>
          <w:sz w:val="24"/>
          <w:szCs w:val="24"/>
          <w:lang w:val="en-US"/>
        </w:rPr>
      </w:pPr>
      <w:r>
        <w:rPr>
          <w:rFonts w:ascii="Arial Narrow" w:hAnsi="Arial Narrow" w:cs="Times New Roman"/>
          <w:sz w:val="24"/>
          <w:szCs w:val="24"/>
        </w:rPr>
        <w:t>Πηγές</w:t>
      </w:r>
      <w:r w:rsidRPr="005118AA">
        <w:rPr>
          <w:rFonts w:ascii="Arial Narrow" w:hAnsi="Arial Narrow" w:cs="Times New Roman"/>
          <w:sz w:val="24"/>
          <w:szCs w:val="24"/>
          <w:lang w:val="en-AE"/>
        </w:rPr>
        <w:t xml:space="preserve">: </w:t>
      </w:r>
      <w:r>
        <w:rPr>
          <w:rFonts w:ascii="Arial Narrow" w:hAnsi="Arial Narrow" w:cs="Times New Roman"/>
          <w:sz w:val="24"/>
          <w:szCs w:val="24"/>
          <w:lang w:val="en-US"/>
        </w:rPr>
        <w:t>UNCTAD World Investment Report 2025 – UAE Ministry of Investment (FDI Report 2025)</w:t>
      </w:r>
    </w:p>
    <w:p w14:paraId="0056657D" w14:textId="77FD3EB5" w:rsidR="00FB0CE7" w:rsidRPr="002C2272" w:rsidRDefault="00F03E9F" w:rsidP="00FB0CE7">
      <w:pPr>
        <w:jc w:val="center"/>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 xml:space="preserve">ΠΙΝΑΚΑΣ </w:t>
      </w:r>
      <w:r w:rsidR="00E10259">
        <w:rPr>
          <w:rFonts w:ascii="Arial Narrow" w:hAnsi="Arial Narrow" w:cs="Times New Roman"/>
          <w:b/>
          <w:color w:val="1F497D" w:themeColor="text2"/>
          <w:sz w:val="24"/>
          <w:szCs w:val="24"/>
        </w:rPr>
        <w:t xml:space="preserve">3 </w:t>
      </w:r>
      <w:r w:rsidRPr="002C2272">
        <w:rPr>
          <w:rFonts w:ascii="Arial Narrow" w:hAnsi="Arial Narrow" w:cs="Times New Roman"/>
          <w:b/>
          <w:color w:val="1F497D" w:themeColor="text2"/>
          <w:sz w:val="24"/>
          <w:szCs w:val="24"/>
        </w:rPr>
        <w:t>ΔΙΑΡΘΡΩΣΗ ΤΟΥ ΑΕΠ ΤΩΝ ΗΑΕ κατά Κλάδο Οικονομικής Δραστηριότητας για τη χρονική</w:t>
      </w:r>
      <w:r>
        <w:rPr>
          <w:rFonts w:ascii="Arial Narrow" w:hAnsi="Arial Narrow" w:cs="Times New Roman"/>
          <w:b/>
          <w:color w:val="1F497D" w:themeColor="text2"/>
          <w:sz w:val="24"/>
          <w:szCs w:val="24"/>
        </w:rPr>
        <w:t xml:space="preserve"> περίοδο 2023-</w:t>
      </w:r>
      <w:r w:rsidRPr="002C2272">
        <w:rPr>
          <w:rFonts w:ascii="Arial Narrow" w:hAnsi="Arial Narrow" w:cs="Times New Roman"/>
          <w:b/>
          <w:color w:val="1F497D" w:themeColor="text2"/>
          <w:sz w:val="24"/>
          <w:szCs w:val="24"/>
        </w:rPr>
        <w:t xml:space="preserve"> </w:t>
      </w:r>
      <w:r w:rsidR="00FB0CE7" w:rsidRPr="002C2272">
        <w:rPr>
          <w:rFonts w:ascii="Arial Narrow" w:hAnsi="Arial Narrow" w:cs="Times New Roman"/>
          <w:b/>
          <w:color w:val="1F497D" w:themeColor="text2"/>
          <w:sz w:val="24"/>
          <w:szCs w:val="24"/>
        </w:rPr>
        <w:t>2025</w:t>
      </w:r>
    </w:p>
    <w:tbl>
      <w:tblPr>
        <w:tblStyle w:val="TableGrid"/>
        <w:tblW w:w="0" w:type="auto"/>
        <w:tblLook w:val="04A0" w:firstRow="1" w:lastRow="0" w:firstColumn="1" w:lastColumn="0" w:noHBand="0" w:noVBand="1"/>
      </w:tblPr>
      <w:tblGrid>
        <w:gridCol w:w="2442"/>
        <w:gridCol w:w="2443"/>
        <w:gridCol w:w="2443"/>
        <w:gridCol w:w="2443"/>
      </w:tblGrid>
      <w:tr w:rsidR="00FB0CE7" w14:paraId="3985B8C3" w14:textId="77777777" w:rsidTr="00FB0CE7">
        <w:tc>
          <w:tcPr>
            <w:tcW w:w="2442" w:type="dxa"/>
          </w:tcPr>
          <w:p w14:paraId="5056F177" w14:textId="4C8D8806" w:rsidR="00FB0CE7" w:rsidRDefault="00FB0CE7"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Κλάδος Οικονομικής Δραστηριότητας</w:t>
            </w:r>
          </w:p>
        </w:tc>
        <w:tc>
          <w:tcPr>
            <w:tcW w:w="2443" w:type="dxa"/>
          </w:tcPr>
          <w:p w14:paraId="094DC26A" w14:textId="77777777" w:rsidR="00FB0CE7" w:rsidRDefault="00FB0CE7" w:rsidP="00FB0CE7">
            <w:pPr>
              <w:jc w:val="both"/>
              <w:rPr>
                <w:rFonts w:ascii="Arial Narrow" w:hAnsi="Arial Narrow" w:cs="Times New Roman"/>
                <w:color w:val="548DD4" w:themeColor="text2" w:themeTint="99"/>
                <w:sz w:val="24"/>
                <w:szCs w:val="24"/>
              </w:rPr>
            </w:pPr>
          </w:p>
          <w:p w14:paraId="327A3C5F" w14:textId="6A8EF54A" w:rsidR="00FB0CE7" w:rsidRDefault="00FB0CE7"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2023</w:t>
            </w:r>
          </w:p>
        </w:tc>
        <w:tc>
          <w:tcPr>
            <w:tcW w:w="2443" w:type="dxa"/>
          </w:tcPr>
          <w:p w14:paraId="04C1A808" w14:textId="77777777" w:rsidR="00FB0CE7" w:rsidRDefault="00FB0CE7" w:rsidP="00FB0CE7">
            <w:pPr>
              <w:jc w:val="both"/>
              <w:rPr>
                <w:rFonts w:ascii="Arial Narrow" w:hAnsi="Arial Narrow" w:cs="Times New Roman"/>
                <w:color w:val="548DD4" w:themeColor="text2" w:themeTint="99"/>
                <w:sz w:val="24"/>
                <w:szCs w:val="24"/>
              </w:rPr>
            </w:pPr>
          </w:p>
          <w:p w14:paraId="166ACFB2" w14:textId="19DE4CA9" w:rsidR="00FB0CE7" w:rsidRDefault="00FB0CE7"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2024</w:t>
            </w:r>
          </w:p>
        </w:tc>
        <w:tc>
          <w:tcPr>
            <w:tcW w:w="2443" w:type="dxa"/>
          </w:tcPr>
          <w:p w14:paraId="3FF80621" w14:textId="77777777" w:rsidR="00FB0CE7" w:rsidRDefault="00FB0CE7" w:rsidP="00FB0CE7">
            <w:pPr>
              <w:jc w:val="both"/>
              <w:rPr>
                <w:rFonts w:ascii="Arial Narrow" w:hAnsi="Arial Narrow" w:cs="Times New Roman"/>
                <w:color w:val="548DD4" w:themeColor="text2" w:themeTint="99"/>
                <w:sz w:val="24"/>
                <w:szCs w:val="24"/>
              </w:rPr>
            </w:pPr>
          </w:p>
          <w:p w14:paraId="1AAEA892" w14:textId="3F94607C" w:rsidR="00FB0CE7" w:rsidRDefault="00FB0CE7"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2025</w:t>
            </w:r>
          </w:p>
        </w:tc>
      </w:tr>
      <w:tr w:rsidR="00FB0CE7" w14:paraId="414F52F0" w14:textId="77777777" w:rsidTr="00FB0CE7">
        <w:tc>
          <w:tcPr>
            <w:tcW w:w="2442" w:type="dxa"/>
          </w:tcPr>
          <w:p w14:paraId="5A0DF4DE" w14:textId="5E1A6732" w:rsidR="00FB0CE7" w:rsidRDefault="00FB0CE7"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Εξόρυξη πετρελαίου &amp; Φ/Α</w:t>
            </w:r>
          </w:p>
        </w:tc>
        <w:tc>
          <w:tcPr>
            <w:tcW w:w="2443" w:type="dxa"/>
          </w:tcPr>
          <w:p w14:paraId="34689F72" w14:textId="77777777" w:rsidR="00FB0CE7" w:rsidRDefault="00FB0CE7" w:rsidP="00FB0CE7">
            <w:pPr>
              <w:jc w:val="both"/>
              <w:rPr>
                <w:rFonts w:ascii="Arial Narrow" w:hAnsi="Arial Narrow" w:cs="Times New Roman"/>
                <w:color w:val="548DD4" w:themeColor="text2" w:themeTint="99"/>
                <w:sz w:val="24"/>
                <w:szCs w:val="24"/>
              </w:rPr>
            </w:pPr>
          </w:p>
          <w:p w14:paraId="6477D54B" w14:textId="289D1C2F" w:rsidR="00FB0CE7" w:rsidRDefault="00FB0CE7"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24,5%</w:t>
            </w:r>
          </w:p>
        </w:tc>
        <w:tc>
          <w:tcPr>
            <w:tcW w:w="2443" w:type="dxa"/>
          </w:tcPr>
          <w:p w14:paraId="2A0695A8" w14:textId="77777777" w:rsidR="00FB0CE7" w:rsidRDefault="00FB0CE7" w:rsidP="00FB0CE7">
            <w:pPr>
              <w:jc w:val="both"/>
              <w:rPr>
                <w:rFonts w:ascii="Arial Narrow" w:hAnsi="Arial Narrow" w:cs="Times New Roman"/>
                <w:color w:val="548DD4" w:themeColor="text2" w:themeTint="99"/>
                <w:sz w:val="24"/>
                <w:szCs w:val="24"/>
              </w:rPr>
            </w:pPr>
          </w:p>
          <w:p w14:paraId="643E869F" w14:textId="21FE8B8C" w:rsidR="00FB0CE7" w:rsidRDefault="00FB0CE7"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24,8%</w:t>
            </w:r>
          </w:p>
        </w:tc>
        <w:tc>
          <w:tcPr>
            <w:tcW w:w="2443" w:type="dxa"/>
          </w:tcPr>
          <w:p w14:paraId="4B0B323D" w14:textId="77777777" w:rsidR="00FB0CE7" w:rsidRDefault="00FB0CE7" w:rsidP="00FB0CE7">
            <w:pPr>
              <w:jc w:val="both"/>
              <w:rPr>
                <w:rFonts w:ascii="Arial Narrow" w:hAnsi="Arial Narrow" w:cs="Times New Roman"/>
                <w:color w:val="548DD4" w:themeColor="text2" w:themeTint="99"/>
                <w:sz w:val="24"/>
                <w:szCs w:val="24"/>
              </w:rPr>
            </w:pPr>
          </w:p>
          <w:p w14:paraId="4DBF5C93" w14:textId="048FF6B4" w:rsidR="00FB0CE7" w:rsidRDefault="00FB0CE7"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23,8%</w:t>
            </w:r>
          </w:p>
        </w:tc>
      </w:tr>
      <w:tr w:rsidR="00FB0CE7" w14:paraId="4CFFDC4B" w14:textId="77777777" w:rsidTr="00FB0CE7">
        <w:tc>
          <w:tcPr>
            <w:tcW w:w="2442" w:type="dxa"/>
          </w:tcPr>
          <w:p w14:paraId="1B2D8B5E" w14:textId="43DA2F80" w:rsidR="00FB0CE7" w:rsidRDefault="00FB0CE7"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 xml:space="preserve">Μεταποίηση </w:t>
            </w:r>
          </w:p>
        </w:tc>
        <w:tc>
          <w:tcPr>
            <w:tcW w:w="2443" w:type="dxa"/>
          </w:tcPr>
          <w:p w14:paraId="3D48683F" w14:textId="17B89108" w:rsidR="00FB0CE7" w:rsidRDefault="00FB0CE7"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10,3%</w:t>
            </w:r>
          </w:p>
        </w:tc>
        <w:tc>
          <w:tcPr>
            <w:tcW w:w="2443" w:type="dxa"/>
          </w:tcPr>
          <w:p w14:paraId="1DD3FD39" w14:textId="7E09C32B" w:rsidR="00FB0CE7" w:rsidRDefault="00FB0CE7"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10,6%</w:t>
            </w:r>
          </w:p>
        </w:tc>
        <w:tc>
          <w:tcPr>
            <w:tcW w:w="2443" w:type="dxa"/>
          </w:tcPr>
          <w:p w14:paraId="68A6405B" w14:textId="490A3D72" w:rsidR="00FB0CE7" w:rsidRDefault="00FB0CE7"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10,9%</w:t>
            </w:r>
          </w:p>
        </w:tc>
      </w:tr>
      <w:tr w:rsidR="00FB0CE7" w14:paraId="3E8A3FBC" w14:textId="77777777" w:rsidTr="00FB0CE7">
        <w:tc>
          <w:tcPr>
            <w:tcW w:w="2442" w:type="dxa"/>
          </w:tcPr>
          <w:p w14:paraId="0EB2FF0B" w14:textId="5C9E785D" w:rsidR="00FB0CE7" w:rsidRDefault="00FB0CE7"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 xml:space="preserve">Κατασκευές </w:t>
            </w:r>
          </w:p>
        </w:tc>
        <w:tc>
          <w:tcPr>
            <w:tcW w:w="2443" w:type="dxa"/>
          </w:tcPr>
          <w:p w14:paraId="03EEFBA7" w14:textId="4770EF1B" w:rsidR="00FB0CE7" w:rsidRDefault="00FB0CE7"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8,2%</w:t>
            </w:r>
          </w:p>
        </w:tc>
        <w:tc>
          <w:tcPr>
            <w:tcW w:w="2443" w:type="dxa"/>
          </w:tcPr>
          <w:p w14:paraId="0238E10E" w14:textId="3E4C5702" w:rsidR="00FB0CE7" w:rsidRDefault="00FB0CE7"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8,5%</w:t>
            </w:r>
          </w:p>
        </w:tc>
        <w:tc>
          <w:tcPr>
            <w:tcW w:w="2443" w:type="dxa"/>
          </w:tcPr>
          <w:p w14:paraId="5B1E9014" w14:textId="0250FE27" w:rsidR="00FB0CE7" w:rsidRDefault="00FB0CE7"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8,8%</w:t>
            </w:r>
          </w:p>
        </w:tc>
      </w:tr>
      <w:tr w:rsidR="00FB0CE7" w14:paraId="60530B07" w14:textId="77777777" w:rsidTr="00FB0CE7">
        <w:tc>
          <w:tcPr>
            <w:tcW w:w="2442" w:type="dxa"/>
          </w:tcPr>
          <w:p w14:paraId="58BBF26D" w14:textId="625CA9B6" w:rsidR="00FB0CE7" w:rsidRDefault="0084680F"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Χονδρικό &amp; Λιανικό Εμπόριο</w:t>
            </w:r>
          </w:p>
        </w:tc>
        <w:tc>
          <w:tcPr>
            <w:tcW w:w="2443" w:type="dxa"/>
          </w:tcPr>
          <w:p w14:paraId="29010FE0" w14:textId="77777777" w:rsidR="00FB0CE7" w:rsidRDefault="00FB0CE7" w:rsidP="00FB0CE7">
            <w:pPr>
              <w:jc w:val="both"/>
              <w:rPr>
                <w:rFonts w:ascii="Arial Narrow" w:hAnsi="Arial Narrow" w:cs="Times New Roman"/>
                <w:color w:val="548DD4" w:themeColor="text2" w:themeTint="99"/>
                <w:sz w:val="24"/>
                <w:szCs w:val="24"/>
              </w:rPr>
            </w:pPr>
          </w:p>
          <w:p w14:paraId="3D50255A" w14:textId="468D89B1" w:rsidR="0084680F"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12,4%</w:t>
            </w:r>
          </w:p>
        </w:tc>
        <w:tc>
          <w:tcPr>
            <w:tcW w:w="2443" w:type="dxa"/>
          </w:tcPr>
          <w:p w14:paraId="6D2D2D7F" w14:textId="77777777" w:rsidR="00FB0CE7" w:rsidRDefault="00FB0CE7" w:rsidP="00FB0CE7">
            <w:pPr>
              <w:jc w:val="both"/>
              <w:rPr>
                <w:rFonts w:ascii="Arial Narrow" w:hAnsi="Arial Narrow" w:cs="Times New Roman"/>
                <w:color w:val="548DD4" w:themeColor="text2" w:themeTint="99"/>
                <w:sz w:val="24"/>
                <w:szCs w:val="24"/>
              </w:rPr>
            </w:pPr>
          </w:p>
          <w:p w14:paraId="46B5BACC" w14:textId="721AB201"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12,6%</w:t>
            </w:r>
          </w:p>
        </w:tc>
        <w:tc>
          <w:tcPr>
            <w:tcW w:w="2443" w:type="dxa"/>
          </w:tcPr>
          <w:p w14:paraId="7B2F9064" w14:textId="77777777" w:rsidR="00FB0CE7" w:rsidRDefault="00FB0CE7" w:rsidP="00FB0CE7">
            <w:pPr>
              <w:jc w:val="both"/>
              <w:rPr>
                <w:rFonts w:ascii="Arial Narrow" w:hAnsi="Arial Narrow" w:cs="Times New Roman"/>
                <w:color w:val="548DD4" w:themeColor="text2" w:themeTint="99"/>
                <w:sz w:val="24"/>
                <w:szCs w:val="24"/>
              </w:rPr>
            </w:pPr>
          </w:p>
          <w:p w14:paraId="44CBFA6D" w14:textId="0889AAC5"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12,8%</w:t>
            </w:r>
          </w:p>
        </w:tc>
      </w:tr>
      <w:tr w:rsidR="00FB0CE7" w14:paraId="0ACA679C" w14:textId="77777777" w:rsidTr="00FB0CE7">
        <w:tc>
          <w:tcPr>
            <w:tcW w:w="2442" w:type="dxa"/>
          </w:tcPr>
          <w:p w14:paraId="6CDAE6CE" w14:textId="0860213D" w:rsidR="00FB0CE7"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Μεταφορές-Αποθήκευση</w:t>
            </w:r>
          </w:p>
        </w:tc>
        <w:tc>
          <w:tcPr>
            <w:tcW w:w="2443" w:type="dxa"/>
          </w:tcPr>
          <w:p w14:paraId="24D54FD1" w14:textId="53F8A7F2"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5,7%</w:t>
            </w:r>
          </w:p>
        </w:tc>
        <w:tc>
          <w:tcPr>
            <w:tcW w:w="2443" w:type="dxa"/>
          </w:tcPr>
          <w:p w14:paraId="2663DCD2" w14:textId="5496C05D" w:rsidR="00FB0CE7"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6,0%</w:t>
            </w:r>
          </w:p>
        </w:tc>
        <w:tc>
          <w:tcPr>
            <w:tcW w:w="2443" w:type="dxa"/>
          </w:tcPr>
          <w:p w14:paraId="601B1A3C" w14:textId="7F6737ED" w:rsidR="00FB0CE7"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6,3%</w:t>
            </w:r>
          </w:p>
        </w:tc>
      </w:tr>
      <w:tr w:rsidR="00FB0CE7" w14:paraId="78485F7B" w14:textId="77777777" w:rsidTr="00FB0CE7">
        <w:tc>
          <w:tcPr>
            <w:tcW w:w="2442" w:type="dxa"/>
          </w:tcPr>
          <w:p w14:paraId="11F59029" w14:textId="0D4142BD" w:rsidR="00FB0CE7"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Χρηματοπιστωτικές – Ασφαλιστικές Υπηρεσίες</w:t>
            </w:r>
          </w:p>
        </w:tc>
        <w:tc>
          <w:tcPr>
            <w:tcW w:w="2443" w:type="dxa"/>
          </w:tcPr>
          <w:p w14:paraId="66077709" w14:textId="77777777" w:rsidR="00FB0CE7" w:rsidRDefault="00FB0CE7" w:rsidP="00FB0CE7">
            <w:pPr>
              <w:jc w:val="both"/>
              <w:rPr>
                <w:rFonts w:ascii="Arial Narrow" w:hAnsi="Arial Narrow" w:cs="Times New Roman"/>
                <w:color w:val="548DD4" w:themeColor="text2" w:themeTint="99"/>
                <w:sz w:val="24"/>
                <w:szCs w:val="24"/>
              </w:rPr>
            </w:pPr>
          </w:p>
          <w:p w14:paraId="14A8291F" w14:textId="3AED0325"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9,4%</w:t>
            </w:r>
          </w:p>
        </w:tc>
        <w:tc>
          <w:tcPr>
            <w:tcW w:w="2443" w:type="dxa"/>
          </w:tcPr>
          <w:p w14:paraId="27B3CC19" w14:textId="77777777" w:rsidR="00FB0CE7" w:rsidRDefault="00FB0CE7" w:rsidP="00FB0CE7">
            <w:pPr>
              <w:jc w:val="both"/>
              <w:rPr>
                <w:rFonts w:ascii="Arial Narrow" w:hAnsi="Arial Narrow" w:cs="Times New Roman"/>
                <w:color w:val="548DD4" w:themeColor="text2" w:themeTint="99"/>
                <w:sz w:val="24"/>
                <w:szCs w:val="24"/>
              </w:rPr>
            </w:pPr>
          </w:p>
          <w:p w14:paraId="123E54E5" w14:textId="1C1B43C1"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9,8%</w:t>
            </w:r>
          </w:p>
        </w:tc>
        <w:tc>
          <w:tcPr>
            <w:tcW w:w="2443" w:type="dxa"/>
          </w:tcPr>
          <w:p w14:paraId="56B7C525" w14:textId="77777777" w:rsidR="00FB0CE7" w:rsidRDefault="00FB0CE7" w:rsidP="00FB0CE7">
            <w:pPr>
              <w:jc w:val="both"/>
              <w:rPr>
                <w:rFonts w:ascii="Arial Narrow" w:hAnsi="Arial Narrow" w:cs="Times New Roman"/>
                <w:color w:val="548DD4" w:themeColor="text2" w:themeTint="99"/>
                <w:sz w:val="24"/>
                <w:szCs w:val="24"/>
              </w:rPr>
            </w:pPr>
          </w:p>
          <w:p w14:paraId="7C4B855E" w14:textId="690FBA74"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10,1%</w:t>
            </w:r>
          </w:p>
        </w:tc>
      </w:tr>
      <w:tr w:rsidR="00FB0CE7" w14:paraId="5C124917" w14:textId="77777777" w:rsidTr="00FB0CE7">
        <w:tc>
          <w:tcPr>
            <w:tcW w:w="2442" w:type="dxa"/>
          </w:tcPr>
          <w:p w14:paraId="0B83E71A" w14:textId="4E6F186E" w:rsidR="00FB0CE7"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 xml:space="preserve">Ακίνητη Περιουσία </w:t>
            </w:r>
          </w:p>
        </w:tc>
        <w:tc>
          <w:tcPr>
            <w:tcW w:w="2443" w:type="dxa"/>
          </w:tcPr>
          <w:p w14:paraId="5E4575D5" w14:textId="7A1F07EA" w:rsidR="00FB0CE7"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7,6%</w:t>
            </w:r>
          </w:p>
        </w:tc>
        <w:tc>
          <w:tcPr>
            <w:tcW w:w="2443" w:type="dxa"/>
          </w:tcPr>
          <w:p w14:paraId="29C65EB9" w14:textId="457E6C1B" w:rsidR="00FB0CE7"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7,8%</w:t>
            </w:r>
          </w:p>
        </w:tc>
        <w:tc>
          <w:tcPr>
            <w:tcW w:w="2443" w:type="dxa"/>
          </w:tcPr>
          <w:p w14:paraId="3A2C99BA" w14:textId="7BECC441" w:rsidR="00FB0CE7"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8,0%</w:t>
            </w:r>
          </w:p>
        </w:tc>
      </w:tr>
      <w:tr w:rsidR="00FB0CE7" w14:paraId="6BE519DA" w14:textId="77777777" w:rsidTr="00FB0CE7">
        <w:tc>
          <w:tcPr>
            <w:tcW w:w="2442" w:type="dxa"/>
          </w:tcPr>
          <w:p w14:paraId="448ACD00" w14:textId="05F5641B" w:rsidR="00FB0CE7"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Πληροφορική-Επικοινωνίες</w:t>
            </w:r>
          </w:p>
        </w:tc>
        <w:tc>
          <w:tcPr>
            <w:tcW w:w="2443" w:type="dxa"/>
          </w:tcPr>
          <w:p w14:paraId="1BE74415" w14:textId="0C76CA97" w:rsidR="00FB0CE7"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br/>
              <w:t>3,8%</w:t>
            </w:r>
          </w:p>
        </w:tc>
        <w:tc>
          <w:tcPr>
            <w:tcW w:w="2443" w:type="dxa"/>
          </w:tcPr>
          <w:p w14:paraId="68B68213" w14:textId="77777777" w:rsidR="00FB0CE7" w:rsidRDefault="00FB0CE7" w:rsidP="00FB0CE7">
            <w:pPr>
              <w:jc w:val="both"/>
              <w:rPr>
                <w:rFonts w:ascii="Arial Narrow" w:hAnsi="Arial Narrow" w:cs="Times New Roman"/>
                <w:color w:val="548DD4" w:themeColor="text2" w:themeTint="99"/>
                <w:sz w:val="24"/>
                <w:szCs w:val="24"/>
              </w:rPr>
            </w:pPr>
          </w:p>
          <w:p w14:paraId="122B8D42" w14:textId="6BDA591E"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4,0%</w:t>
            </w:r>
          </w:p>
        </w:tc>
        <w:tc>
          <w:tcPr>
            <w:tcW w:w="2443" w:type="dxa"/>
          </w:tcPr>
          <w:p w14:paraId="4D77144D" w14:textId="77777777" w:rsidR="00FB0CE7" w:rsidRDefault="00FB0CE7" w:rsidP="00FB0CE7">
            <w:pPr>
              <w:jc w:val="both"/>
              <w:rPr>
                <w:rFonts w:ascii="Arial Narrow" w:hAnsi="Arial Narrow" w:cs="Times New Roman"/>
                <w:color w:val="548DD4" w:themeColor="text2" w:themeTint="99"/>
                <w:sz w:val="24"/>
                <w:szCs w:val="24"/>
              </w:rPr>
            </w:pPr>
          </w:p>
          <w:p w14:paraId="2BD6D639" w14:textId="464FB5F1"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4,2%</w:t>
            </w:r>
          </w:p>
        </w:tc>
      </w:tr>
      <w:tr w:rsidR="00FB0CE7" w14:paraId="45460FF3" w14:textId="77777777" w:rsidTr="00FB0CE7">
        <w:tc>
          <w:tcPr>
            <w:tcW w:w="2442" w:type="dxa"/>
          </w:tcPr>
          <w:p w14:paraId="4F1DB588" w14:textId="67738A19" w:rsidR="00FB0CE7"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Τουρισμός, Ξενοδοχεία και Εστίαση</w:t>
            </w:r>
          </w:p>
        </w:tc>
        <w:tc>
          <w:tcPr>
            <w:tcW w:w="2443" w:type="dxa"/>
          </w:tcPr>
          <w:p w14:paraId="657D2917" w14:textId="77777777" w:rsidR="00FB0CE7" w:rsidRDefault="00FB0CE7" w:rsidP="00FB0CE7">
            <w:pPr>
              <w:jc w:val="both"/>
              <w:rPr>
                <w:rFonts w:ascii="Arial Narrow" w:hAnsi="Arial Narrow" w:cs="Times New Roman"/>
                <w:color w:val="548DD4" w:themeColor="text2" w:themeTint="99"/>
                <w:sz w:val="24"/>
                <w:szCs w:val="24"/>
              </w:rPr>
            </w:pPr>
          </w:p>
          <w:p w14:paraId="41CA0DA1" w14:textId="4FF073E6"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3,5%</w:t>
            </w:r>
          </w:p>
        </w:tc>
        <w:tc>
          <w:tcPr>
            <w:tcW w:w="2443" w:type="dxa"/>
          </w:tcPr>
          <w:p w14:paraId="191A5450" w14:textId="77777777" w:rsidR="00FB0CE7" w:rsidRDefault="00FB0CE7" w:rsidP="00FB0CE7">
            <w:pPr>
              <w:jc w:val="both"/>
              <w:rPr>
                <w:rFonts w:ascii="Arial Narrow" w:hAnsi="Arial Narrow" w:cs="Times New Roman"/>
                <w:color w:val="548DD4" w:themeColor="text2" w:themeTint="99"/>
                <w:sz w:val="24"/>
                <w:szCs w:val="24"/>
              </w:rPr>
            </w:pPr>
          </w:p>
          <w:p w14:paraId="7F79B08D" w14:textId="44CE532E"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3,8%</w:t>
            </w:r>
          </w:p>
        </w:tc>
        <w:tc>
          <w:tcPr>
            <w:tcW w:w="2443" w:type="dxa"/>
          </w:tcPr>
          <w:p w14:paraId="285A6648" w14:textId="77777777" w:rsidR="00FB0CE7" w:rsidRDefault="00FB0CE7" w:rsidP="00FB0CE7">
            <w:pPr>
              <w:jc w:val="both"/>
              <w:rPr>
                <w:rFonts w:ascii="Arial Narrow" w:hAnsi="Arial Narrow" w:cs="Times New Roman"/>
                <w:color w:val="548DD4" w:themeColor="text2" w:themeTint="99"/>
                <w:sz w:val="24"/>
                <w:szCs w:val="24"/>
              </w:rPr>
            </w:pPr>
          </w:p>
          <w:p w14:paraId="7A7713F8" w14:textId="7D78DE1C"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4,0%</w:t>
            </w:r>
          </w:p>
        </w:tc>
      </w:tr>
      <w:tr w:rsidR="00FB0CE7" w14:paraId="7105EB90" w14:textId="77777777" w:rsidTr="00FB0CE7">
        <w:tc>
          <w:tcPr>
            <w:tcW w:w="2442" w:type="dxa"/>
          </w:tcPr>
          <w:p w14:paraId="2BDEA4B0" w14:textId="27731485" w:rsidR="00FB0CE7"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Ηλεκτρισμός, Ύδρευση &amp; Αποχέτευση</w:t>
            </w:r>
          </w:p>
        </w:tc>
        <w:tc>
          <w:tcPr>
            <w:tcW w:w="2443" w:type="dxa"/>
          </w:tcPr>
          <w:p w14:paraId="2BF5CCCB" w14:textId="77777777" w:rsidR="00FB0CE7" w:rsidRDefault="00FB0CE7" w:rsidP="00FB0CE7">
            <w:pPr>
              <w:jc w:val="both"/>
              <w:rPr>
                <w:rFonts w:ascii="Arial Narrow" w:hAnsi="Arial Narrow" w:cs="Times New Roman"/>
                <w:color w:val="548DD4" w:themeColor="text2" w:themeTint="99"/>
                <w:sz w:val="24"/>
                <w:szCs w:val="24"/>
              </w:rPr>
            </w:pPr>
          </w:p>
          <w:p w14:paraId="1760AB63" w14:textId="3AB5B99D"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2,4%</w:t>
            </w:r>
          </w:p>
        </w:tc>
        <w:tc>
          <w:tcPr>
            <w:tcW w:w="2443" w:type="dxa"/>
          </w:tcPr>
          <w:p w14:paraId="26364C11" w14:textId="77777777" w:rsidR="00FB0CE7" w:rsidRDefault="00FB0CE7" w:rsidP="00FB0CE7">
            <w:pPr>
              <w:jc w:val="both"/>
              <w:rPr>
                <w:rFonts w:ascii="Arial Narrow" w:hAnsi="Arial Narrow" w:cs="Times New Roman"/>
                <w:color w:val="548DD4" w:themeColor="text2" w:themeTint="99"/>
                <w:sz w:val="24"/>
                <w:szCs w:val="24"/>
              </w:rPr>
            </w:pPr>
          </w:p>
          <w:p w14:paraId="729BB853" w14:textId="63B9012E"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2,4%</w:t>
            </w:r>
          </w:p>
        </w:tc>
        <w:tc>
          <w:tcPr>
            <w:tcW w:w="2443" w:type="dxa"/>
          </w:tcPr>
          <w:p w14:paraId="031E83C4" w14:textId="77777777" w:rsidR="00FB0CE7" w:rsidRDefault="00FB0CE7" w:rsidP="00FB0CE7">
            <w:pPr>
              <w:jc w:val="both"/>
              <w:rPr>
                <w:rFonts w:ascii="Arial Narrow" w:hAnsi="Arial Narrow" w:cs="Times New Roman"/>
                <w:color w:val="548DD4" w:themeColor="text2" w:themeTint="99"/>
                <w:sz w:val="24"/>
                <w:szCs w:val="24"/>
              </w:rPr>
            </w:pPr>
          </w:p>
          <w:p w14:paraId="5AFB2D4E" w14:textId="3ACF601D"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2,4%</w:t>
            </w:r>
          </w:p>
        </w:tc>
      </w:tr>
      <w:tr w:rsidR="00FB0CE7" w14:paraId="5B9037AA" w14:textId="77777777" w:rsidTr="00FB0CE7">
        <w:tc>
          <w:tcPr>
            <w:tcW w:w="2442" w:type="dxa"/>
          </w:tcPr>
          <w:p w14:paraId="0B2AF88A" w14:textId="40EA7E56" w:rsidR="00FB0CE7"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 xml:space="preserve">Δημόσια Διοίκηση, Άμυνα και Κοινωνικές Υπηρεσίες </w:t>
            </w:r>
          </w:p>
        </w:tc>
        <w:tc>
          <w:tcPr>
            <w:tcW w:w="2443" w:type="dxa"/>
          </w:tcPr>
          <w:p w14:paraId="67D4951F" w14:textId="77777777" w:rsidR="00FB0CE7" w:rsidRDefault="00FB0CE7" w:rsidP="00FB0CE7">
            <w:pPr>
              <w:jc w:val="both"/>
              <w:rPr>
                <w:rFonts w:ascii="Arial Narrow" w:hAnsi="Arial Narrow" w:cs="Times New Roman"/>
                <w:color w:val="548DD4" w:themeColor="text2" w:themeTint="99"/>
                <w:sz w:val="24"/>
                <w:szCs w:val="24"/>
              </w:rPr>
            </w:pPr>
          </w:p>
          <w:p w14:paraId="304EC7A8" w14:textId="77777777" w:rsidR="00333E1D" w:rsidRDefault="00333E1D" w:rsidP="00FB0CE7">
            <w:pPr>
              <w:jc w:val="both"/>
              <w:rPr>
                <w:rFonts w:ascii="Arial Narrow" w:hAnsi="Arial Narrow" w:cs="Times New Roman"/>
                <w:color w:val="548DD4" w:themeColor="text2" w:themeTint="99"/>
                <w:sz w:val="24"/>
                <w:szCs w:val="24"/>
              </w:rPr>
            </w:pPr>
          </w:p>
          <w:p w14:paraId="0A8D781D" w14:textId="53FE2FBD"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5,3%</w:t>
            </w:r>
          </w:p>
        </w:tc>
        <w:tc>
          <w:tcPr>
            <w:tcW w:w="2443" w:type="dxa"/>
          </w:tcPr>
          <w:p w14:paraId="427B3C51" w14:textId="77777777" w:rsidR="00FB0CE7" w:rsidRDefault="00FB0CE7" w:rsidP="00FB0CE7">
            <w:pPr>
              <w:jc w:val="both"/>
              <w:rPr>
                <w:rFonts w:ascii="Arial Narrow" w:hAnsi="Arial Narrow" w:cs="Times New Roman"/>
                <w:color w:val="548DD4" w:themeColor="text2" w:themeTint="99"/>
                <w:sz w:val="24"/>
                <w:szCs w:val="24"/>
              </w:rPr>
            </w:pPr>
          </w:p>
          <w:p w14:paraId="1C7913D9" w14:textId="77777777" w:rsidR="00333E1D" w:rsidRDefault="00333E1D" w:rsidP="00FB0CE7">
            <w:pPr>
              <w:jc w:val="both"/>
              <w:rPr>
                <w:rFonts w:ascii="Arial Narrow" w:hAnsi="Arial Narrow" w:cs="Times New Roman"/>
                <w:color w:val="548DD4" w:themeColor="text2" w:themeTint="99"/>
                <w:sz w:val="24"/>
                <w:szCs w:val="24"/>
              </w:rPr>
            </w:pPr>
          </w:p>
          <w:p w14:paraId="7045A9ED" w14:textId="34D18FB4"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5,2%</w:t>
            </w:r>
          </w:p>
        </w:tc>
        <w:tc>
          <w:tcPr>
            <w:tcW w:w="2443" w:type="dxa"/>
          </w:tcPr>
          <w:p w14:paraId="3ED0FB93" w14:textId="77777777" w:rsidR="00FB0CE7" w:rsidRDefault="00FB0CE7" w:rsidP="00FB0CE7">
            <w:pPr>
              <w:jc w:val="both"/>
              <w:rPr>
                <w:rFonts w:ascii="Arial Narrow" w:hAnsi="Arial Narrow" w:cs="Times New Roman"/>
                <w:color w:val="548DD4" w:themeColor="text2" w:themeTint="99"/>
                <w:sz w:val="24"/>
                <w:szCs w:val="24"/>
              </w:rPr>
            </w:pPr>
          </w:p>
          <w:p w14:paraId="0629D994" w14:textId="77777777" w:rsidR="00333E1D" w:rsidRDefault="00333E1D" w:rsidP="00FB0CE7">
            <w:pPr>
              <w:jc w:val="both"/>
              <w:rPr>
                <w:rFonts w:ascii="Arial Narrow" w:hAnsi="Arial Narrow" w:cs="Times New Roman"/>
                <w:color w:val="548DD4" w:themeColor="text2" w:themeTint="99"/>
                <w:sz w:val="24"/>
                <w:szCs w:val="24"/>
              </w:rPr>
            </w:pPr>
          </w:p>
          <w:p w14:paraId="3B94EE8C" w14:textId="05AAC957"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5,2%</w:t>
            </w:r>
          </w:p>
        </w:tc>
      </w:tr>
      <w:tr w:rsidR="00FB0CE7" w14:paraId="7C002E7B" w14:textId="77777777" w:rsidTr="00FB0CE7">
        <w:tc>
          <w:tcPr>
            <w:tcW w:w="2442" w:type="dxa"/>
          </w:tcPr>
          <w:p w14:paraId="46B4678C" w14:textId="6B90EEC3" w:rsidR="00FB0CE7"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Εκπαίδευση</w:t>
            </w:r>
          </w:p>
        </w:tc>
        <w:tc>
          <w:tcPr>
            <w:tcW w:w="2443" w:type="dxa"/>
          </w:tcPr>
          <w:p w14:paraId="11F54A31" w14:textId="3F845AD8" w:rsidR="00FB0CE7"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2,1%</w:t>
            </w:r>
          </w:p>
        </w:tc>
        <w:tc>
          <w:tcPr>
            <w:tcW w:w="2443" w:type="dxa"/>
          </w:tcPr>
          <w:p w14:paraId="0A2BF599" w14:textId="75084C23" w:rsidR="00FB0CE7"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2,1%</w:t>
            </w:r>
          </w:p>
        </w:tc>
        <w:tc>
          <w:tcPr>
            <w:tcW w:w="2443" w:type="dxa"/>
          </w:tcPr>
          <w:p w14:paraId="5379A01C" w14:textId="092322A3" w:rsidR="00FB0CE7"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2,2%</w:t>
            </w:r>
          </w:p>
        </w:tc>
      </w:tr>
      <w:tr w:rsidR="00FB0CE7" w14:paraId="4F6197A3" w14:textId="77777777" w:rsidTr="00FB0CE7">
        <w:tc>
          <w:tcPr>
            <w:tcW w:w="2442" w:type="dxa"/>
          </w:tcPr>
          <w:p w14:paraId="2E041C7F" w14:textId="4382E52D" w:rsidR="00FB0CE7"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Υγεία &amp; Κοινωνική Μέριμνα</w:t>
            </w:r>
          </w:p>
        </w:tc>
        <w:tc>
          <w:tcPr>
            <w:tcW w:w="2443" w:type="dxa"/>
          </w:tcPr>
          <w:p w14:paraId="5C2E2A5D" w14:textId="77777777" w:rsidR="00FB0CE7" w:rsidRDefault="00FB0CE7" w:rsidP="00FB0CE7">
            <w:pPr>
              <w:jc w:val="both"/>
              <w:rPr>
                <w:rFonts w:ascii="Arial Narrow" w:hAnsi="Arial Narrow" w:cs="Times New Roman"/>
                <w:color w:val="548DD4" w:themeColor="text2" w:themeTint="99"/>
                <w:sz w:val="24"/>
                <w:szCs w:val="24"/>
              </w:rPr>
            </w:pPr>
          </w:p>
          <w:p w14:paraId="6EC5F8B2" w14:textId="69A152AA"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2,2%</w:t>
            </w:r>
          </w:p>
        </w:tc>
        <w:tc>
          <w:tcPr>
            <w:tcW w:w="2443" w:type="dxa"/>
          </w:tcPr>
          <w:p w14:paraId="3BE2A639" w14:textId="5A5659C3" w:rsidR="00FB0CE7"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br/>
              <w:t>2,3%</w:t>
            </w:r>
          </w:p>
        </w:tc>
        <w:tc>
          <w:tcPr>
            <w:tcW w:w="2443" w:type="dxa"/>
          </w:tcPr>
          <w:p w14:paraId="5133FAFD" w14:textId="77777777" w:rsidR="00FB0CE7" w:rsidRDefault="00FB0CE7" w:rsidP="00FB0CE7">
            <w:pPr>
              <w:jc w:val="both"/>
              <w:rPr>
                <w:rFonts w:ascii="Arial Narrow" w:hAnsi="Arial Narrow" w:cs="Times New Roman"/>
                <w:color w:val="548DD4" w:themeColor="text2" w:themeTint="99"/>
                <w:sz w:val="24"/>
                <w:szCs w:val="24"/>
              </w:rPr>
            </w:pPr>
          </w:p>
          <w:p w14:paraId="010F9F5E" w14:textId="2C6A9DD4"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2,4%</w:t>
            </w:r>
          </w:p>
        </w:tc>
      </w:tr>
      <w:tr w:rsidR="00FB0CE7" w14:paraId="2C4B694B" w14:textId="77777777" w:rsidTr="00FB0CE7">
        <w:tc>
          <w:tcPr>
            <w:tcW w:w="2442" w:type="dxa"/>
          </w:tcPr>
          <w:p w14:paraId="6E0334C9" w14:textId="145B1B96" w:rsidR="00FB0CE7"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 xml:space="preserve">Γεωργία, Δασοκομεία &amp; Αλιεία </w:t>
            </w:r>
          </w:p>
        </w:tc>
        <w:tc>
          <w:tcPr>
            <w:tcW w:w="2443" w:type="dxa"/>
          </w:tcPr>
          <w:p w14:paraId="15B3AA06" w14:textId="77777777" w:rsidR="00FB0CE7" w:rsidRDefault="00FB0CE7" w:rsidP="00FB0CE7">
            <w:pPr>
              <w:jc w:val="both"/>
              <w:rPr>
                <w:rFonts w:ascii="Arial Narrow" w:hAnsi="Arial Narrow" w:cs="Times New Roman"/>
                <w:color w:val="548DD4" w:themeColor="text2" w:themeTint="99"/>
                <w:sz w:val="24"/>
                <w:szCs w:val="24"/>
              </w:rPr>
            </w:pPr>
          </w:p>
          <w:p w14:paraId="0C0CEFE5" w14:textId="1EF56328"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0,8%</w:t>
            </w:r>
          </w:p>
        </w:tc>
        <w:tc>
          <w:tcPr>
            <w:tcW w:w="2443" w:type="dxa"/>
          </w:tcPr>
          <w:p w14:paraId="10751BD4" w14:textId="77777777" w:rsidR="00FB0CE7" w:rsidRDefault="00FB0CE7" w:rsidP="00FB0CE7">
            <w:pPr>
              <w:jc w:val="both"/>
              <w:rPr>
                <w:rFonts w:ascii="Arial Narrow" w:hAnsi="Arial Narrow" w:cs="Times New Roman"/>
                <w:color w:val="548DD4" w:themeColor="text2" w:themeTint="99"/>
                <w:sz w:val="24"/>
                <w:szCs w:val="24"/>
              </w:rPr>
            </w:pPr>
          </w:p>
          <w:p w14:paraId="675BD4D1" w14:textId="07689CF9"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0,8%</w:t>
            </w:r>
          </w:p>
        </w:tc>
        <w:tc>
          <w:tcPr>
            <w:tcW w:w="2443" w:type="dxa"/>
          </w:tcPr>
          <w:p w14:paraId="5897FB72" w14:textId="77777777" w:rsidR="00FB0CE7" w:rsidRDefault="00FB0CE7" w:rsidP="00FB0CE7">
            <w:pPr>
              <w:jc w:val="both"/>
              <w:rPr>
                <w:rFonts w:ascii="Arial Narrow" w:hAnsi="Arial Narrow" w:cs="Times New Roman"/>
                <w:color w:val="548DD4" w:themeColor="text2" w:themeTint="99"/>
                <w:sz w:val="24"/>
                <w:szCs w:val="24"/>
              </w:rPr>
            </w:pPr>
          </w:p>
          <w:p w14:paraId="490051B5" w14:textId="629653A5"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0,8%</w:t>
            </w:r>
          </w:p>
        </w:tc>
      </w:tr>
      <w:tr w:rsidR="00333E1D" w14:paraId="5A2050DE" w14:textId="77777777" w:rsidTr="00FB0CE7">
        <w:tc>
          <w:tcPr>
            <w:tcW w:w="2442" w:type="dxa"/>
          </w:tcPr>
          <w:p w14:paraId="7C7E551D" w14:textId="60DB7684"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 xml:space="preserve">Λοιπές Υπηρεσίες </w:t>
            </w:r>
          </w:p>
        </w:tc>
        <w:tc>
          <w:tcPr>
            <w:tcW w:w="2443" w:type="dxa"/>
          </w:tcPr>
          <w:p w14:paraId="15942549" w14:textId="480FCBBF"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2,8%</w:t>
            </w:r>
          </w:p>
        </w:tc>
        <w:tc>
          <w:tcPr>
            <w:tcW w:w="2443" w:type="dxa"/>
          </w:tcPr>
          <w:p w14:paraId="6F671CC9" w14:textId="484509FC"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2,3%</w:t>
            </w:r>
          </w:p>
        </w:tc>
        <w:tc>
          <w:tcPr>
            <w:tcW w:w="2443" w:type="dxa"/>
          </w:tcPr>
          <w:p w14:paraId="61C83EDB" w14:textId="4400E3F3" w:rsidR="00333E1D" w:rsidRDefault="00333E1D" w:rsidP="00FB0CE7">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2,1%</w:t>
            </w:r>
          </w:p>
        </w:tc>
      </w:tr>
      <w:tr w:rsidR="00333E1D" w:rsidRPr="00693EE2" w14:paraId="328A5D24" w14:textId="77777777" w:rsidTr="00FB0CE7">
        <w:tc>
          <w:tcPr>
            <w:tcW w:w="2442" w:type="dxa"/>
          </w:tcPr>
          <w:p w14:paraId="24CB3169" w14:textId="5BACBA4C" w:rsidR="00333E1D" w:rsidRPr="00693EE2" w:rsidRDefault="00333E1D" w:rsidP="00FB0CE7">
            <w:pPr>
              <w:jc w:val="both"/>
              <w:rPr>
                <w:rFonts w:ascii="Arial Narrow" w:hAnsi="Arial Narrow" w:cs="Times New Roman"/>
                <w:color w:val="C00000"/>
                <w:sz w:val="24"/>
                <w:szCs w:val="24"/>
              </w:rPr>
            </w:pPr>
            <w:r w:rsidRPr="00693EE2">
              <w:rPr>
                <w:rFonts w:ascii="Arial Narrow" w:hAnsi="Arial Narrow" w:cs="Times New Roman"/>
                <w:color w:val="C00000"/>
                <w:sz w:val="24"/>
                <w:szCs w:val="24"/>
              </w:rPr>
              <w:t>ΣΥΝΟΛΟ</w:t>
            </w:r>
          </w:p>
        </w:tc>
        <w:tc>
          <w:tcPr>
            <w:tcW w:w="2443" w:type="dxa"/>
          </w:tcPr>
          <w:p w14:paraId="22335E0A" w14:textId="2AE6F569" w:rsidR="00333E1D" w:rsidRPr="00693EE2" w:rsidRDefault="00333E1D" w:rsidP="00FB0CE7">
            <w:pPr>
              <w:jc w:val="both"/>
              <w:rPr>
                <w:rFonts w:ascii="Arial Narrow" w:hAnsi="Arial Narrow" w:cs="Times New Roman"/>
                <w:color w:val="C00000"/>
                <w:sz w:val="24"/>
                <w:szCs w:val="24"/>
              </w:rPr>
            </w:pPr>
            <w:r w:rsidRPr="00693EE2">
              <w:rPr>
                <w:rFonts w:ascii="Arial Narrow" w:hAnsi="Arial Narrow" w:cs="Times New Roman"/>
                <w:color w:val="C00000"/>
                <w:sz w:val="24"/>
                <w:szCs w:val="24"/>
              </w:rPr>
              <w:t>100%</w:t>
            </w:r>
          </w:p>
        </w:tc>
        <w:tc>
          <w:tcPr>
            <w:tcW w:w="2443" w:type="dxa"/>
          </w:tcPr>
          <w:p w14:paraId="27AB77C2" w14:textId="7C1242E8" w:rsidR="00333E1D" w:rsidRPr="00693EE2" w:rsidRDefault="00333E1D" w:rsidP="00FB0CE7">
            <w:pPr>
              <w:jc w:val="both"/>
              <w:rPr>
                <w:rFonts w:ascii="Arial Narrow" w:hAnsi="Arial Narrow" w:cs="Times New Roman"/>
                <w:color w:val="C00000"/>
                <w:sz w:val="24"/>
                <w:szCs w:val="24"/>
              </w:rPr>
            </w:pPr>
            <w:r w:rsidRPr="00693EE2">
              <w:rPr>
                <w:rFonts w:ascii="Arial Narrow" w:hAnsi="Arial Narrow" w:cs="Times New Roman"/>
                <w:color w:val="C00000"/>
                <w:sz w:val="24"/>
                <w:szCs w:val="24"/>
              </w:rPr>
              <w:t>100%</w:t>
            </w:r>
          </w:p>
        </w:tc>
        <w:tc>
          <w:tcPr>
            <w:tcW w:w="2443" w:type="dxa"/>
          </w:tcPr>
          <w:p w14:paraId="781E03F2" w14:textId="5A2E7016" w:rsidR="00333E1D" w:rsidRPr="00693EE2" w:rsidRDefault="00333E1D" w:rsidP="00FB0CE7">
            <w:pPr>
              <w:jc w:val="both"/>
              <w:rPr>
                <w:rFonts w:ascii="Arial Narrow" w:hAnsi="Arial Narrow" w:cs="Times New Roman"/>
                <w:color w:val="C00000"/>
                <w:sz w:val="24"/>
                <w:szCs w:val="24"/>
              </w:rPr>
            </w:pPr>
            <w:r w:rsidRPr="00693EE2">
              <w:rPr>
                <w:rFonts w:ascii="Arial Narrow" w:hAnsi="Arial Narrow" w:cs="Times New Roman"/>
                <w:color w:val="C00000"/>
                <w:sz w:val="24"/>
                <w:szCs w:val="24"/>
              </w:rPr>
              <w:t>100%</w:t>
            </w:r>
          </w:p>
        </w:tc>
      </w:tr>
    </w:tbl>
    <w:p w14:paraId="2F6D74A0" w14:textId="457544E4" w:rsidR="00FB0CE7" w:rsidRDefault="00FB0CE7" w:rsidP="00FB0CE7">
      <w:pPr>
        <w:jc w:val="both"/>
        <w:rPr>
          <w:rFonts w:ascii="Arial Narrow" w:hAnsi="Arial Narrow" w:cs="Times New Roman"/>
          <w:color w:val="548DD4" w:themeColor="text2" w:themeTint="99"/>
          <w:sz w:val="24"/>
          <w:szCs w:val="24"/>
        </w:rPr>
      </w:pPr>
    </w:p>
    <w:p w14:paraId="3EE0AFAD" w14:textId="357B8599" w:rsidR="00693EE2" w:rsidRPr="003004D1" w:rsidRDefault="004A19E0" w:rsidP="003004D1">
      <w:pPr>
        <w:jc w:val="center"/>
        <w:rPr>
          <w:rFonts w:ascii="Arial Narrow" w:hAnsi="Arial Narrow" w:cs="Times New Roman"/>
          <w:b/>
          <w:color w:val="1F497D" w:themeColor="text2"/>
          <w:sz w:val="24"/>
          <w:szCs w:val="24"/>
        </w:rPr>
      </w:pPr>
      <w:r w:rsidRPr="003004D1">
        <w:rPr>
          <w:rFonts w:ascii="Arial Narrow" w:hAnsi="Arial Narrow" w:cs="Times New Roman"/>
          <w:b/>
          <w:color w:val="1F497D" w:themeColor="text2"/>
          <w:sz w:val="24"/>
          <w:szCs w:val="24"/>
        </w:rPr>
        <w:t>ΠΙΝΑΚΑΣ</w:t>
      </w:r>
      <w:r w:rsidR="001458A6" w:rsidRPr="001458A6">
        <w:rPr>
          <w:rFonts w:ascii="Arial Narrow" w:hAnsi="Arial Narrow" w:cs="Times New Roman"/>
          <w:b/>
          <w:color w:val="1F497D" w:themeColor="text2"/>
          <w:sz w:val="24"/>
          <w:szCs w:val="24"/>
        </w:rPr>
        <w:t xml:space="preserve"> </w:t>
      </w:r>
      <w:r w:rsidR="00E10259">
        <w:rPr>
          <w:rFonts w:ascii="Arial Narrow" w:hAnsi="Arial Narrow" w:cs="Times New Roman"/>
          <w:b/>
          <w:color w:val="1F497D" w:themeColor="text2"/>
          <w:sz w:val="24"/>
          <w:szCs w:val="24"/>
        </w:rPr>
        <w:t xml:space="preserve">4 </w:t>
      </w:r>
      <w:r w:rsidR="00693EE2" w:rsidRPr="003004D1">
        <w:rPr>
          <w:rFonts w:ascii="Arial Narrow" w:hAnsi="Arial Narrow" w:cs="Times New Roman"/>
          <w:b/>
          <w:color w:val="1F497D" w:themeColor="text2"/>
          <w:sz w:val="24"/>
          <w:szCs w:val="24"/>
        </w:rPr>
        <w:t>ΔΙΑΡΘΡΩΣΗ ΤΗΣ ΟΙΚΟΝΟΜΙΑΣ ΤΩΝ ΗΑΕ ΑΝΑ ΒΑΣΙΚΟ ΤΟΜΕΑ</w:t>
      </w:r>
    </w:p>
    <w:tbl>
      <w:tblPr>
        <w:tblStyle w:val="TableGrid"/>
        <w:tblW w:w="0" w:type="auto"/>
        <w:tblLook w:val="04A0" w:firstRow="1" w:lastRow="0" w:firstColumn="1" w:lastColumn="0" w:noHBand="0" w:noVBand="1"/>
      </w:tblPr>
      <w:tblGrid>
        <w:gridCol w:w="2442"/>
        <w:gridCol w:w="2443"/>
        <w:gridCol w:w="2443"/>
        <w:gridCol w:w="2443"/>
      </w:tblGrid>
      <w:tr w:rsidR="00693EE2" w14:paraId="4B84458F" w14:textId="77777777" w:rsidTr="00693EE2">
        <w:tc>
          <w:tcPr>
            <w:tcW w:w="2442" w:type="dxa"/>
          </w:tcPr>
          <w:p w14:paraId="5C9A4519" w14:textId="5A7505D8" w:rsidR="00693EE2" w:rsidRPr="00693EE2" w:rsidRDefault="00693EE2" w:rsidP="0069491D">
            <w:pPr>
              <w:rPr>
                <w:rFonts w:ascii="Arial Narrow" w:hAnsi="Arial Narrow" w:cs="Times New Roman"/>
                <w:color w:val="1F497D" w:themeColor="text2"/>
                <w:sz w:val="24"/>
                <w:szCs w:val="24"/>
              </w:rPr>
            </w:pPr>
            <w:r w:rsidRPr="00693EE2">
              <w:rPr>
                <w:rFonts w:ascii="Arial Narrow" w:hAnsi="Arial Narrow" w:cs="Times New Roman"/>
                <w:color w:val="1F497D" w:themeColor="text2"/>
                <w:sz w:val="24"/>
                <w:szCs w:val="24"/>
              </w:rPr>
              <w:t>ΤΟΜΕΑΣ</w:t>
            </w:r>
          </w:p>
        </w:tc>
        <w:tc>
          <w:tcPr>
            <w:tcW w:w="2443" w:type="dxa"/>
          </w:tcPr>
          <w:p w14:paraId="2559B8D5" w14:textId="3F3290AB" w:rsidR="00693EE2" w:rsidRPr="00693EE2" w:rsidRDefault="00693EE2" w:rsidP="0069491D">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2023</w:t>
            </w:r>
          </w:p>
        </w:tc>
        <w:tc>
          <w:tcPr>
            <w:tcW w:w="2443" w:type="dxa"/>
          </w:tcPr>
          <w:p w14:paraId="7E149AAB" w14:textId="69E5D8D9" w:rsidR="00693EE2" w:rsidRPr="00693EE2" w:rsidRDefault="00693EE2" w:rsidP="0069491D">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2024</w:t>
            </w:r>
          </w:p>
        </w:tc>
        <w:tc>
          <w:tcPr>
            <w:tcW w:w="2443" w:type="dxa"/>
          </w:tcPr>
          <w:p w14:paraId="777E8369" w14:textId="1BE427CD" w:rsidR="00693EE2" w:rsidRPr="00693EE2" w:rsidRDefault="00693EE2" w:rsidP="0069491D">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2025</w:t>
            </w:r>
          </w:p>
        </w:tc>
      </w:tr>
      <w:tr w:rsidR="00693EE2" w14:paraId="671E2131" w14:textId="77777777" w:rsidTr="00693EE2">
        <w:tc>
          <w:tcPr>
            <w:tcW w:w="2442" w:type="dxa"/>
          </w:tcPr>
          <w:p w14:paraId="0318B0E6" w14:textId="0AA712FB" w:rsidR="00693EE2" w:rsidRPr="00693EE2" w:rsidRDefault="00693EE2" w:rsidP="0069491D">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Πρωτογενής </w:t>
            </w:r>
          </w:p>
        </w:tc>
        <w:tc>
          <w:tcPr>
            <w:tcW w:w="2443" w:type="dxa"/>
          </w:tcPr>
          <w:p w14:paraId="6547175B" w14:textId="503951D2" w:rsidR="00693EE2" w:rsidRPr="00693EE2" w:rsidRDefault="00693EE2" w:rsidP="0069491D">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0,8%</w:t>
            </w:r>
          </w:p>
        </w:tc>
        <w:tc>
          <w:tcPr>
            <w:tcW w:w="2443" w:type="dxa"/>
          </w:tcPr>
          <w:p w14:paraId="7357F9EA" w14:textId="7EF463AA" w:rsidR="00693EE2" w:rsidRPr="00693EE2" w:rsidRDefault="00693EE2" w:rsidP="0069491D">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0,8%</w:t>
            </w:r>
          </w:p>
        </w:tc>
        <w:tc>
          <w:tcPr>
            <w:tcW w:w="2443" w:type="dxa"/>
          </w:tcPr>
          <w:p w14:paraId="111B8085" w14:textId="429C8084" w:rsidR="00693EE2" w:rsidRPr="00693EE2" w:rsidRDefault="00693EE2" w:rsidP="0069491D">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0,8%</w:t>
            </w:r>
          </w:p>
        </w:tc>
      </w:tr>
      <w:tr w:rsidR="00693EE2" w14:paraId="30B41ADB" w14:textId="77777777" w:rsidTr="00693EE2">
        <w:tc>
          <w:tcPr>
            <w:tcW w:w="2442" w:type="dxa"/>
          </w:tcPr>
          <w:p w14:paraId="2C6D66E0" w14:textId="644288BA" w:rsidR="00693EE2" w:rsidRPr="00693EE2" w:rsidRDefault="00693EE2" w:rsidP="0069491D">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Δευτερογενής (Πετρέλαιο, Βιομηχανικές Κατασκευές και Ενέργεια</w:t>
            </w:r>
          </w:p>
        </w:tc>
        <w:tc>
          <w:tcPr>
            <w:tcW w:w="2443" w:type="dxa"/>
          </w:tcPr>
          <w:p w14:paraId="54E57517" w14:textId="77777777" w:rsidR="00693EE2" w:rsidRDefault="00693EE2" w:rsidP="0069491D">
            <w:pPr>
              <w:rPr>
                <w:rFonts w:ascii="Arial Narrow" w:hAnsi="Arial Narrow" w:cs="Times New Roman"/>
                <w:color w:val="1F497D" w:themeColor="text2"/>
                <w:sz w:val="24"/>
                <w:szCs w:val="24"/>
              </w:rPr>
            </w:pPr>
          </w:p>
          <w:p w14:paraId="357B8CB7" w14:textId="77777777" w:rsidR="00693EE2" w:rsidRDefault="00693EE2" w:rsidP="0069491D">
            <w:pPr>
              <w:rPr>
                <w:rFonts w:ascii="Arial Narrow" w:hAnsi="Arial Narrow" w:cs="Times New Roman"/>
                <w:color w:val="1F497D" w:themeColor="text2"/>
                <w:sz w:val="24"/>
                <w:szCs w:val="24"/>
              </w:rPr>
            </w:pPr>
          </w:p>
          <w:p w14:paraId="7C1076BD" w14:textId="4A505BD2" w:rsidR="00693EE2" w:rsidRPr="00693EE2" w:rsidRDefault="00693EE2" w:rsidP="0069491D">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43,0%</w:t>
            </w:r>
          </w:p>
        </w:tc>
        <w:tc>
          <w:tcPr>
            <w:tcW w:w="2443" w:type="dxa"/>
          </w:tcPr>
          <w:p w14:paraId="1D7EB91B" w14:textId="77777777" w:rsidR="00693EE2" w:rsidRDefault="00693EE2" w:rsidP="0069491D">
            <w:pPr>
              <w:rPr>
                <w:rFonts w:ascii="Arial Narrow" w:hAnsi="Arial Narrow" w:cs="Times New Roman"/>
                <w:color w:val="1F497D" w:themeColor="text2"/>
                <w:sz w:val="24"/>
                <w:szCs w:val="24"/>
              </w:rPr>
            </w:pPr>
          </w:p>
          <w:p w14:paraId="2C47B2EC" w14:textId="77777777" w:rsidR="00693EE2" w:rsidRDefault="00693EE2" w:rsidP="0069491D">
            <w:pPr>
              <w:rPr>
                <w:rFonts w:ascii="Arial Narrow" w:hAnsi="Arial Narrow" w:cs="Times New Roman"/>
                <w:color w:val="1F497D" w:themeColor="text2"/>
                <w:sz w:val="24"/>
                <w:szCs w:val="24"/>
              </w:rPr>
            </w:pPr>
          </w:p>
          <w:p w14:paraId="1EA828EC" w14:textId="225E0A64" w:rsidR="00693EE2" w:rsidRPr="00693EE2" w:rsidRDefault="00693EE2" w:rsidP="0069491D">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43,9%</w:t>
            </w:r>
          </w:p>
        </w:tc>
        <w:tc>
          <w:tcPr>
            <w:tcW w:w="2443" w:type="dxa"/>
          </w:tcPr>
          <w:p w14:paraId="7223BE35" w14:textId="77777777" w:rsidR="00693EE2" w:rsidRDefault="00693EE2" w:rsidP="0069491D">
            <w:pPr>
              <w:rPr>
                <w:rFonts w:ascii="Arial Narrow" w:hAnsi="Arial Narrow" w:cs="Times New Roman"/>
                <w:color w:val="1F497D" w:themeColor="text2"/>
                <w:sz w:val="24"/>
                <w:szCs w:val="24"/>
              </w:rPr>
            </w:pPr>
          </w:p>
          <w:p w14:paraId="50CA95C4" w14:textId="77777777" w:rsidR="00693EE2" w:rsidRDefault="00693EE2" w:rsidP="0069491D">
            <w:pPr>
              <w:rPr>
                <w:rFonts w:ascii="Arial Narrow" w:hAnsi="Arial Narrow" w:cs="Times New Roman"/>
                <w:color w:val="1F497D" w:themeColor="text2"/>
                <w:sz w:val="24"/>
                <w:szCs w:val="24"/>
              </w:rPr>
            </w:pPr>
          </w:p>
          <w:p w14:paraId="3436ADBE" w14:textId="437A84F6" w:rsidR="00693EE2" w:rsidRPr="00693EE2" w:rsidRDefault="00693EE2" w:rsidP="0069491D">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43,5%</w:t>
            </w:r>
          </w:p>
        </w:tc>
      </w:tr>
      <w:tr w:rsidR="00693EE2" w14:paraId="7EE788D6" w14:textId="77777777" w:rsidTr="00693EE2">
        <w:tc>
          <w:tcPr>
            <w:tcW w:w="2442" w:type="dxa"/>
          </w:tcPr>
          <w:p w14:paraId="08770C51" w14:textId="54D367D6" w:rsidR="00693EE2" w:rsidRPr="00693EE2" w:rsidRDefault="00693EE2" w:rsidP="0069491D">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Τριτογενής (Υπηρεσίες)</w:t>
            </w:r>
          </w:p>
        </w:tc>
        <w:tc>
          <w:tcPr>
            <w:tcW w:w="2443" w:type="dxa"/>
          </w:tcPr>
          <w:p w14:paraId="5A204136" w14:textId="64F32DEB" w:rsidR="00693EE2" w:rsidRPr="00693EE2" w:rsidRDefault="00693EE2" w:rsidP="0069491D">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56,2%</w:t>
            </w:r>
          </w:p>
        </w:tc>
        <w:tc>
          <w:tcPr>
            <w:tcW w:w="2443" w:type="dxa"/>
          </w:tcPr>
          <w:p w14:paraId="2272A0E4" w14:textId="462265DD" w:rsidR="00693EE2" w:rsidRPr="00693EE2" w:rsidRDefault="00693EE2" w:rsidP="0069491D">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55,3%</w:t>
            </w:r>
          </w:p>
        </w:tc>
        <w:tc>
          <w:tcPr>
            <w:tcW w:w="2443" w:type="dxa"/>
          </w:tcPr>
          <w:p w14:paraId="2293105D" w14:textId="53EAC8EA" w:rsidR="00693EE2" w:rsidRPr="00693EE2" w:rsidRDefault="00693EE2" w:rsidP="0069491D">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55,7%</w:t>
            </w:r>
          </w:p>
        </w:tc>
      </w:tr>
      <w:tr w:rsidR="00693EE2" w14:paraId="2674C392" w14:textId="77777777" w:rsidTr="00693EE2">
        <w:tc>
          <w:tcPr>
            <w:tcW w:w="2442" w:type="dxa"/>
          </w:tcPr>
          <w:p w14:paraId="13797DC5" w14:textId="77777777" w:rsidR="00693EE2" w:rsidRPr="00693EE2" w:rsidRDefault="00693EE2" w:rsidP="0069491D">
            <w:pPr>
              <w:rPr>
                <w:rFonts w:ascii="Arial Narrow" w:hAnsi="Arial Narrow" w:cs="Times New Roman"/>
                <w:color w:val="1F497D" w:themeColor="text2"/>
                <w:sz w:val="24"/>
                <w:szCs w:val="24"/>
              </w:rPr>
            </w:pPr>
          </w:p>
        </w:tc>
        <w:tc>
          <w:tcPr>
            <w:tcW w:w="2443" w:type="dxa"/>
          </w:tcPr>
          <w:p w14:paraId="36DAA424" w14:textId="77777777" w:rsidR="00693EE2" w:rsidRPr="00693EE2" w:rsidRDefault="00693EE2" w:rsidP="0069491D">
            <w:pPr>
              <w:rPr>
                <w:rFonts w:ascii="Arial Narrow" w:hAnsi="Arial Narrow" w:cs="Times New Roman"/>
                <w:color w:val="1F497D" w:themeColor="text2"/>
                <w:sz w:val="24"/>
                <w:szCs w:val="24"/>
              </w:rPr>
            </w:pPr>
          </w:p>
        </w:tc>
        <w:tc>
          <w:tcPr>
            <w:tcW w:w="2443" w:type="dxa"/>
          </w:tcPr>
          <w:p w14:paraId="7CD7CE0B" w14:textId="77777777" w:rsidR="00693EE2" w:rsidRPr="00693EE2" w:rsidRDefault="00693EE2" w:rsidP="0069491D">
            <w:pPr>
              <w:rPr>
                <w:rFonts w:ascii="Arial Narrow" w:hAnsi="Arial Narrow" w:cs="Times New Roman"/>
                <w:color w:val="1F497D" w:themeColor="text2"/>
                <w:sz w:val="24"/>
                <w:szCs w:val="24"/>
              </w:rPr>
            </w:pPr>
          </w:p>
        </w:tc>
        <w:tc>
          <w:tcPr>
            <w:tcW w:w="2443" w:type="dxa"/>
          </w:tcPr>
          <w:p w14:paraId="7E087B72" w14:textId="77777777" w:rsidR="00693EE2" w:rsidRPr="00693EE2" w:rsidRDefault="00693EE2" w:rsidP="0069491D">
            <w:pPr>
              <w:rPr>
                <w:rFonts w:ascii="Arial Narrow" w:hAnsi="Arial Narrow" w:cs="Times New Roman"/>
                <w:color w:val="1F497D" w:themeColor="text2"/>
                <w:sz w:val="24"/>
                <w:szCs w:val="24"/>
              </w:rPr>
            </w:pPr>
          </w:p>
        </w:tc>
      </w:tr>
    </w:tbl>
    <w:p w14:paraId="56D1F705" w14:textId="1103BB6B" w:rsidR="00693EE2" w:rsidRDefault="00693EE2" w:rsidP="0069491D">
      <w:pPr>
        <w:rPr>
          <w:rFonts w:ascii="Arial Narrow" w:hAnsi="Arial Narrow" w:cs="Times New Roman"/>
          <w:sz w:val="24"/>
          <w:szCs w:val="24"/>
        </w:rPr>
      </w:pPr>
      <w:r>
        <w:rPr>
          <w:rFonts w:ascii="Arial Narrow" w:hAnsi="Arial Narrow" w:cs="Times New Roman"/>
          <w:sz w:val="24"/>
          <w:szCs w:val="24"/>
        </w:rPr>
        <w:t>Η τριτογενής οικονομία εξακολουθεί να αποτελεί τον σημαντικότερο πυλώνα για την οικονομία των ΗΑΕ, ενώ το μη πετρελαϊκό ΑΕΠ αντιπροσωπεύει πλέον περίπου τα ¾ της συνολικής οικονομικής δραστηριότητας.</w:t>
      </w:r>
    </w:p>
    <w:p w14:paraId="03863F13" w14:textId="62C86617" w:rsidR="00693EE2" w:rsidRPr="00E01305" w:rsidRDefault="003004D1" w:rsidP="00F867E4">
      <w:pPr>
        <w:jc w:val="center"/>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 xml:space="preserve">ΠΙΝΑΚΑΣ </w:t>
      </w:r>
      <w:r w:rsidR="00E10259">
        <w:rPr>
          <w:rFonts w:ascii="Arial Narrow" w:hAnsi="Arial Narrow" w:cs="Times New Roman"/>
          <w:b/>
          <w:color w:val="1F497D" w:themeColor="text2"/>
          <w:sz w:val="24"/>
          <w:szCs w:val="24"/>
        </w:rPr>
        <w:t xml:space="preserve">5 </w:t>
      </w:r>
      <w:r w:rsidR="00693EE2" w:rsidRPr="00E01305">
        <w:rPr>
          <w:rFonts w:ascii="Arial Narrow" w:hAnsi="Arial Narrow" w:cs="Times New Roman"/>
          <w:b/>
          <w:color w:val="1F497D" w:themeColor="text2"/>
          <w:sz w:val="24"/>
          <w:szCs w:val="24"/>
        </w:rPr>
        <w:t>ΟΙ ΔΕΚΑ ΜΕΓΑΛΥΤΕΡΟΙ ΚΛΑΔΟΙ ΤΗΣ ΟΙΚΟΝΟΜΙΑΣ ΤΩΝ ΗΑΕ (2025)</w:t>
      </w:r>
    </w:p>
    <w:tbl>
      <w:tblPr>
        <w:tblStyle w:val="TableGrid"/>
        <w:tblW w:w="0" w:type="auto"/>
        <w:tblLook w:val="04A0" w:firstRow="1" w:lastRow="0" w:firstColumn="1" w:lastColumn="0" w:noHBand="0" w:noVBand="1"/>
      </w:tblPr>
      <w:tblGrid>
        <w:gridCol w:w="3257"/>
        <w:gridCol w:w="3257"/>
        <w:gridCol w:w="3257"/>
      </w:tblGrid>
      <w:tr w:rsidR="00F867E4" w14:paraId="7B75C609" w14:textId="77777777" w:rsidTr="00F867E4">
        <w:tc>
          <w:tcPr>
            <w:tcW w:w="3257" w:type="dxa"/>
          </w:tcPr>
          <w:p w14:paraId="45A30782" w14:textId="70EEE5EA"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ΚΑΤΑΤΑΞΗ </w:t>
            </w:r>
          </w:p>
        </w:tc>
        <w:tc>
          <w:tcPr>
            <w:tcW w:w="3257" w:type="dxa"/>
          </w:tcPr>
          <w:p w14:paraId="1A63E65D" w14:textId="728DC428"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ΚΛΑΔΟΣ </w:t>
            </w:r>
          </w:p>
        </w:tc>
        <w:tc>
          <w:tcPr>
            <w:tcW w:w="3257" w:type="dxa"/>
          </w:tcPr>
          <w:p w14:paraId="058932FD" w14:textId="29282C68"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2025</w:t>
            </w:r>
          </w:p>
        </w:tc>
      </w:tr>
      <w:tr w:rsidR="00F867E4" w14:paraId="3D48A6C0" w14:textId="77777777" w:rsidTr="00F867E4">
        <w:tc>
          <w:tcPr>
            <w:tcW w:w="3257" w:type="dxa"/>
          </w:tcPr>
          <w:p w14:paraId="703B34F6" w14:textId="7C883846"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1.</w:t>
            </w:r>
          </w:p>
        </w:tc>
        <w:tc>
          <w:tcPr>
            <w:tcW w:w="3257" w:type="dxa"/>
          </w:tcPr>
          <w:p w14:paraId="2A6BBE93" w14:textId="4E26A194"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Πετρέλαιο &amp; Φ/Α</w:t>
            </w:r>
          </w:p>
        </w:tc>
        <w:tc>
          <w:tcPr>
            <w:tcW w:w="3257" w:type="dxa"/>
          </w:tcPr>
          <w:p w14:paraId="027AD4F7" w14:textId="7501C1DD"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23,8%</w:t>
            </w:r>
          </w:p>
        </w:tc>
      </w:tr>
      <w:tr w:rsidR="00F867E4" w14:paraId="1212C8AB" w14:textId="77777777" w:rsidTr="00F867E4">
        <w:tc>
          <w:tcPr>
            <w:tcW w:w="3257" w:type="dxa"/>
          </w:tcPr>
          <w:p w14:paraId="2731F53C" w14:textId="0F39DD05"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2.</w:t>
            </w:r>
          </w:p>
        </w:tc>
        <w:tc>
          <w:tcPr>
            <w:tcW w:w="3257" w:type="dxa"/>
          </w:tcPr>
          <w:p w14:paraId="4299D557" w14:textId="293E25C6"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Χονδρικό &amp; Λιανικό Εμπόριο</w:t>
            </w:r>
          </w:p>
        </w:tc>
        <w:tc>
          <w:tcPr>
            <w:tcW w:w="3257" w:type="dxa"/>
          </w:tcPr>
          <w:p w14:paraId="229A3C94" w14:textId="0F356602"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12,8%</w:t>
            </w:r>
          </w:p>
        </w:tc>
      </w:tr>
      <w:tr w:rsidR="00F867E4" w14:paraId="75FE794F" w14:textId="77777777" w:rsidTr="00F867E4">
        <w:tc>
          <w:tcPr>
            <w:tcW w:w="3257" w:type="dxa"/>
          </w:tcPr>
          <w:p w14:paraId="75A905DC" w14:textId="56DD11F9"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3.</w:t>
            </w:r>
          </w:p>
        </w:tc>
        <w:tc>
          <w:tcPr>
            <w:tcW w:w="3257" w:type="dxa"/>
          </w:tcPr>
          <w:p w14:paraId="7052BC89" w14:textId="57E6D7AC"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Μεταποίηση </w:t>
            </w:r>
          </w:p>
        </w:tc>
        <w:tc>
          <w:tcPr>
            <w:tcW w:w="3257" w:type="dxa"/>
          </w:tcPr>
          <w:p w14:paraId="3117B81A" w14:textId="6973EE9B"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10,9%</w:t>
            </w:r>
          </w:p>
        </w:tc>
      </w:tr>
      <w:tr w:rsidR="00F867E4" w14:paraId="4AE880A1" w14:textId="77777777" w:rsidTr="00F867E4">
        <w:tc>
          <w:tcPr>
            <w:tcW w:w="3257" w:type="dxa"/>
          </w:tcPr>
          <w:p w14:paraId="3E80D0EC" w14:textId="3061E431"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4.</w:t>
            </w:r>
          </w:p>
        </w:tc>
        <w:tc>
          <w:tcPr>
            <w:tcW w:w="3257" w:type="dxa"/>
          </w:tcPr>
          <w:p w14:paraId="6EDBC613" w14:textId="33935C10"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Χρηματοπιστωτικές Υπηρεσίες</w:t>
            </w:r>
          </w:p>
        </w:tc>
        <w:tc>
          <w:tcPr>
            <w:tcW w:w="3257" w:type="dxa"/>
          </w:tcPr>
          <w:p w14:paraId="004AA6AA" w14:textId="73008F36"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10,1%</w:t>
            </w:r>
          </w:p>
        </w:tc>
      </w:tr>
      <w:tr w:rsidR="00F867E4" w14:paraId="09420C43" w14:textId="77777777" w:rsidTr="00F867E4">
        <w:tc>
          <w:tcPr>
            <w:tcW w:w="3257" w:type="dxa"/>
          </w:tcPr>
          <w:p w14:paraId="549B7528" w14:textId="79D8654F"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5.</w:t>
            </w:r>
          </w:p>
        </w:tc>
        <w:tc>
          <w:tcPr>
            <w:tcW w:w="3257" w:type="dxa"/>
          </w:tcPr>
          <w:p w14:paraId="6AEA717F" w14:textId="6D214A8D"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Κατασκευές </w:t>
            </w:r>
          </w:p>
        </w:tc>
        <w:tc>
          <w:tcPr>
            <w:tcW w:w="3257" w:type="dxa"/>
          </w:tcPr>
          <w:p w14:paraId="3F10F98A" w14:textId="559CE1BF"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8,8%</w:t>
            </w:r>
          </w:p>
        </w:tc>
      </w:tr>
      <w:tr w:rsidR="00F867E4" w14:paraId="77C7A441" w14:textId="77777777" w:rsidTr="00F867E4">
        <w:tc>
          <w:tcPr>
            <w:tcW w:w="3257" w:type="dxa"/>
          </w:tcPr>
          <w:p w14:paraId="45DD13BF" w14:textId="0CA22703"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6.</w:t>
            </w:r>
          </w:p>
        </w:tc>
        <w:tc>
          <w:tcPr>
            <w:tcW w:w="3257" w:type="dxa"/>
          </w:tcPr>
          <w:p w14:paraId="4D4B6313" w14:textId="1A44EB6B"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Ακίνητη Περιουσία </w:t>
            </w:r>
          </w:p>
        </w:tc>
        <w:tc>
          <w:tcPr>
            <w:tcW w:w="3257" w:type="dxa"/>
          </w:tcPr>
          <w:p w14:paraId="60249DD3" w14:textId="56EBA571"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8,0%</w:t>
            </w:r>
          </w:p>
        </w:tc>
      </w:tr>
      <w:tr w:rsidR="00F867E4" w14:paraId="4E21E78F" w14:textId="77777777" w:rsidTr="00F867E4">
        <w:tc>
          <w:tcPr>
            <w:tcW w:w="3257" w:type="dxa"/>
          </w:tcPr>
          <w:p w14:paraId="40F55470" w14:textId="06094AE7"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7. </w:t>
            </w:r>
          </w:p>
        </w:tc>
        <w:tc>
          <w:tcPr>
            <w:tcW w:w="3257" w:type="dxa"/>
          </w:tcPr>
          <w:p w14:paraId="1EB52C39" w14:textId="2BAB7EC4" w:rsidR="00F867E4" w:rsidRPr="00F867E4" w:rsidRDefault="00F867E4" w:rsidP="00F867E4">
            <w:pPr>
              <w:rPr>
                <w:rFonts w:ascii="Arial Narrow" w:hAnsi="Arial Narrow" w:cs="Times New Roman"/>
                <w:color w:val="1F497D" w:themeColor="text2"/>
                <w:sz w:val="24"/>
                <w:szCs w:val="24"/>
                <w:lang w:val="en-US"/>
              </w:rPr>
            </w:pPr>
            <w:r>
              <w:rPr>
                <w:rFonts w:ascii="Arial Narrow" w:hAnsi="Arial Narrow" w:cs="Times New Roman"/>
                <w:color w:val="1F497D" w:themeColor="text2"/>
                <w:sz w:val="24"/>
                <w:szCs w:val="24"/>
              </w:rPr>
              <w:t xml:space="preserve">Μεταφορές &amp; </w:t>
            </w:r>
            <w:r>
              <w:rPr>
                <w:rFonts w:ascii="Arial Narrow" w:hAnsi="Arial Narrow" w:cs="Times New Roman"/>
                <w:color w:val="1F497D" w:themeColor="text2"/>
                <w:sz w:val="24"/>
                <w:szCs w:val="24"/>
                <w:lang w:val="en-US"/>
              </w:rPr>
              <w:t>Logistics</w:t>
            </w:r>
          </w:p>
        </w:tc>
        <w:tc>
          <w:tcPr>
            <w:tcW w:w="3257" w:type="dxa"/>
          </w:tcPr>
          <w:p w14:paraId="276E50E3" w14:textId="0581C2E9"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6,3%</w:t>
            </w:r>
          </w:p>
        </w:tc>
      </w:tr>
      <w:tr w:rsidR="00F867E4" w14:paraId="7D1D872A" w14:textId="77777777" w:rsidTr="00F867E4">
        <w:tc>
          <w:tcPr>
            <w:tcW w:w="3257" w:type="dxa"/>
          </w:tcPr>
          <w:p w14:paraId="05BD43A7" w14:textId="1A993817"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8.</w:t>
            </w:r>
          </w:p>
        </w:tc>
        <w:tc>
          <w:tcPr>
            <w:tcW w:w="3257" w:type="dxa"/>
          </w:tcPr>
          <w:p w14:paraId="48D903F5" w14:textId="000ADD5F"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Δημόσια Διοίκηση</w:t>
            </w:r>
          </w:p>
        </w:tc>
        <w:tc>
          <w:tcPr>
            <w:tcW w:w="3257" w:type="dxa"/>
          </w:tcPr>
          <w:p w14:paraId="4879A0E0" w14:textId="71D84F07"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5,2%</w:t>
            </w:r>
          </w:p>
        </w:tc>
      </w:tr>
      <w:tr w:rsidR="00F867E4" w14:paraId="6DE6C743" w14:textId="77777777" w:rsidTr="00F867E4">
        <w:tc>
          <w:tcPr>
            <w:tcW w:w="3257" w:type="dxa"/>
          </w:tcPr>
          <w:p w14:paraId="74B73DA1" w14:textId="78D52FE5"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9. </w:t>
            </w:r>
          </w:p>
        </w:tc>
        <w:tc>
          <w:tcPr>
            <w:tcW w:w="3257" w:type="dxa"/>
          </w:tcPr>
          <w:p w14:paraId="34C42D38" w14:textId="063B92C4"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Πληροφορική &amp; Επικοινωνίε </w:t>
            </w:r>
          </w:p>
        </w:tc>
        <w:tc>
          <w:tcPr>
            <w:tcW w:w="3257" w:type="dxa"/>
          </w:tcPr>
          <w:p w14:paraId="65078E30" w14:textId="5780AE18"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4,2%</w:t>
            </w:r>
          </w:p>
        </w:tc>
      </w:tr>
      <w:tr w:rsidR="00F867E4" w14:paraId="41342934" w14:textId="77777777" w:rsidTr="00F867E4">
        <w:tc>
          <w:tcPr>
            <w:tcW w:w="3257" w:type="dxa"/>
          </w:tcPr>
          <w:p w14:paraId="01E4CE70" w14:textId="77777777" w:rsidR="00F867E4" w:rsidRDefault="00F867E4" w:rsidP="00F867E4">
            <w:pPr>
              <w:rPr>
                <w:rFonts w:ascii="Arial Narrow" w:hAnsi="Arial Narrow" w:cs="Times New Roman"/>
                <w:color w:val="1F497D" w:themeColor="text2"/>
                <w:sz w:val="24"/>
                <w:szCs w:val="24"/>
              </w:rPr>
            </w:pPr>
          </w:p>
          <w:p w14:paraId="27B27CA3" w14:textId="643289FE"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10.</w:t>
            </w:r>
          </w:p>
        </w:tc>
        <w:tc>
          <w:tcPr>
            <w:tcW w:w="3257" w:type="dxa"/>
          </w:tcPr>
          <w:p w14:paraId="0564451F" w14:textId="64C13C48" w:rsidR="00F867E4" w:rsidRDefault="00F867E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Τουρισμός, Ξενοδοχεία &amp; Εστίαση</w:t>
            </w:r>
          </w:p>
        </w:tc>
        <w:tc>
          <w:tcPr>
            <w:tcW w:w="3257" w:type="dxa"/>
          </w:tcPr>
          <w:p w14:paraId="6E4659F1" w14:textId="77777777" w:rsidR="00F867E4" w:rsidRDefault="00F867E4" w:rsidP="00F867E4">
            <w:pPr>
              <w:rPr>
                <w:rFonts w:ascii="Arial Narrow" w:hAnsi="Arial Narrow" w:cs="Times New Roman"/>
                <w:color w:val="1F497D" w:themeColor="text2"/>
                <w:sz w:val="24"/>
                <w:szCs w:val="24"/>
              </w:rPr>
            </w:pPr>
          </w:p>
          <w:p w14:paraId="72BC69CF" w14:textId="537EC52C" w:rsidR="00F867E4" w:rsidRDefault="00FD7014" w:rsidP="00F867E4">
            <w:pPr>
              <w:rPr>
                <w:rFonts w:ascii="Arial Narrow" w:hAnsi="Arial Narrow" w:cs="Times New Roman"/>
                <w:color w:val="1F497D" w:themeColor="text2"/>
                <w:sz w:val="24"/>
                <w:szCs w:val="24"/>
              </w:rPr>
            </w:pPr>
            <w:r>
              <w:rPr>
                <w:rFonts w:ascii="Arial Narrow" w:hAnsi="Arial Narrow" w:cs="Times New Roman"/>
                <w:color w:val="1F497D" w:themeColor="text2"/>
                <w:sz w:val="24"/>
                <w:szCs w:val="24"/>
              </w:rPr>
              <w:t>4,0%</w:t>
            </w:r>
          </w:p>
        </w:tc>
      </w:tr>
      <w:tr w:rsidR="00F867E4" w14:paraId="75E5159B" w14:textId="77777777" w:rsidTr="00F867E4">
        <w:tc>
          <w:tcPr>
            <w:tcW w:w="3257" w:type="dxa"/>
          </w:tcPr>
          <w:p w14:paraId="4EB3A4EA" w14:textId="77777777" w:rsidR="00F867E4" w:rsidRDefault="00F867E4" w:rsidP="00F867E4">
            <w:pPr>
              <w:rPr>
                <w:rFonts w:ascii="Arial Narrow" w:hAnsi="Arial Narrow" w:cs="Times New Roman"/>
                <w:color w:val="1F497D" w:themeColor="text2"/>
                <w:sz w:val="24"/>
                <w:szCs w:val="24"/>
              </w:rPr>
            </w:pPr>
          </w:p>
        </w:tc>
        <w:tc>
          <w:tcPr>
            <w:tcW w:w="3257" w:type="dxa"/>
          </w:tcPr>
          <w:p w14:paraId="5CCA7B2D" w14:textId="77777777" w:rsidR="00F867E4" w:rsidRDefault="00F867E4" w:rsidP="00F867E4">
            <w:pPr>
              <w:rPr>
                <w:rFonts w:ascii="Arial Narrow" w:hAnsi="Arial Narrow" w:cs="Times New Roman"/>
                <w:color w:val="1F497D" w:themeColor="text2"/>
                <w:sz w:val="24"/>
                <w:szCs w:val="24"/>
              </w:rPr>
            </w:pPr>
          </w:p>
        </w:tc>
        <w:tc>
          <w:tcPr>
            <w:tcW w:w="3257" w:type="dxa"/>
          </w:tcPr>
          <w:p w14:paraId="5EE442D7" w14:textId="77777777" w:rsidR="00F867E4" w:rsidRDefault="00F867E4" w:rsidP="00F867E4">
            <w:pPr>
              <w:rPr>
                <w:rFonts w:ascii="Arial Narrow" w:hAnsi="Arial Narrow" w:cs="Times New Roman"/>
                <w:color w:val="1F497D" w:themeColor="text2"/>
                <w:sz w:val="24"/>
                <w:szCs w:val="24"/>
              </w:rPr>
            </w:pPr>
          </w:p>
        </w:tc>
      </w:tr>
    </w:tbl>
    <w:p w14:paraId="656EA745" w14:textId="51BF60EC" w:rsidR="002E6A3D" w:rsidRDefault="002E6A3D" w:rsidP="00F867E4">
      <w:pPr>
        <w:rPr>
          <w:rFonts w:ascii="Arial Narrow" w:hAnsi="Arial Narrow" w:cs="Times New Roman"/>
          <w:sz w:val="24"/>
          <w:szCs w:val="24"/>
        </w:rPr>
      </w:pPr>
      <w:r>
        <w:rPr>
          <w:rFonts w:ascii="Arial Narrow" w:hAnsi="Arial Narrow" w:cs="Times New Roman"/>
          <w:sz w:val="24"/>
          <w:szCs w:val="24"/>
        </w:rPr>
        <w:t>Με βάση τα ανωτέρω στοιχεία εκτιμάται ότι οι κύριες τάσεις της περιόδου για το χρονικό διάστημα 2023-2025 συνοψίζονται στα ακόλουθα:</w:t>
      </w:r>
    </w:p>
    <w:p w14:paraId="35F62450" w14:textId="19C9D50A" w:rsidR="002E6A3D" w:rsidRDefault="002E6A3D" w:rsidP="00F867E4">
      <w:pPr>
        <w:rPr>
          <w:rFonts w:ascii="Arial Narrow" w:hAnsi="Arial Narrow" w:cs="Times New Roman"/>
          <w:sz w:val="24"/>
          <w:szCs w:val="24"/>
        </w:rPr>
      </w:pPr>
      <w:r>
        <w:rPr>
          <w:rFonts w:ascii="Arial Narrow" w:hAnsi="Arial Narrow" w:cs="Times New Roman"/>
          <w:sz w:val="24"/>
          <w:szCs w:val="24"/>
        </w:rPr>
        <w:t>1. Η συμμετοχή του πετρελαϊκού τομέα μειώνεται σταδιακά ως ποσοστό του ΑΕΠ, παρά τη διατήρηση υψηλής αξίας παραγωγής,</w:t>
      </w:r>
    </w:p>
    <w:p w14:paraId="5489E4D3" w14:textId="0F8E408F" w:rsidR="00E532F8" w:rsidRDefault="002E6A3D" w:rsidP="00E532F8">
      <w:pPr>
        <w:jc w:val="both"/>
        <w:rPr>
          <w:rFonts w:ascii="Arial Narrow" w:hAnsi="Arial Narrow" w:cs="Times New Roman"/>
          <w:sz w:val="24"/>
          <w:szCs w:val="24"/>
        </w:rPr>
      </w:pPr>
      <w:r>
        <w:rPr>
          <w:rFonts w:ascii="Arial Narrow" w:hAnsi="Arial Narrow" w:cs="Times New Roman"/>
          <w:sz w:val="24"/>
          <w:szCs w:val="24"/>
        </w:rPr>
        <w:t xml:space="preserve">2. Οι ταχύτερα αναπτυσσόμενοι κλάδοι είναι </w:t>
      </w:r>
      <w:r>
        <w:rPr>
          <w:rFonts w:ascii="Arial Narrow" w:hAnsi="Arial Narrow" w:cs="Times New Roman"/>
          <w:b/>
          <w:sz w:val="24"/>
          <w:szCs w:val="24"/>
        </w:rPr>
        <w:t>οι μεταφορές και αποθήκευση, οι χρηματοπιστωτικές υπηρεσίες, οι κατασκευές, η πληροφορική και οι επικοινωνίε</w:t>
      </w:r>
      <w:r w:rsidR="00AD3664">
        <w:rPr>
          <w:rFonts w:ascii="Arial Narrow" w:hAnsi="Arial Narrow" w:cs="Times New Roman"/>
          <w:b/>
          <w:sz w:val="24"/>
          <w:szCs w:val="24"/>
        </w:rPr>
        <w:t xml:space="preserve">ς, </w:t>
      </w:r>
      <w:r>
        <w:rPr>
          <w:rFonts w:ascii="Arial Narrow" w:hAnsi="Arial Narrow" w:cs="Times New Roman"/>
          <w:b/>
          <w:sz w:val="24"/>
          <w:szCs w:val="24"/>
        </w:rPr>
        <w:t xml:space="preserve">καθώς και ο τουρισμός, </w:t>
      </w:r>
      <w:r w:rsidR="00E532F8">
        <w:rPr>
          <w:rFonts w:ascii="Arial Narrow" w:hAnsi="Arial Narrow" w:cs="Times New Roman"/>
          <w:sz w:val="24"/>
          <w:szCs w:val="24"/>
        </w:rPr>
        <w:t xml:space="preserve">αντανακλώντας τη στρατηγική διαφοροποίησης της οικονομίας των ΗΑΕ. </w:t>
      </w:r>
    </w:p>
    <w:p w14:paraId="5833921A" w14:textId="4FD5B4E7" w:rsidR="005118AA" w:rsidRDefault="005118AA" w:rsidP="00E532F8">
      <w:pPr>
        <w:jc w:val="both"/>
        <w:rPr>
          <w:rFonts w:ascii="Arial Narrow" w:hAnsi="Arial Narrow" w:cs="Times New Roman"/>
          <w:sz w:val="24"/>
          <w:szCs w:val="24"/>
        </w:rPr>
      </w:pPr>
      <w:r>
        <w:rPr>
          <w:rFonts w:ascii="Arial Narrow" w:hAnsi="Arial Narrow" w:cs="Times New Roman"/>
          <w:sz w:val="24"/>
          <w:szCs w:val="24"/>
        </w:rPr>
        <w:t xml:space="preserve">Άλλοι τομείς της Οικονομίας των ΗΑΕ που παρουσιάζουν ιδιαίτερο ενδιαφέρον είναι: </w:t>
      </w:r>
    </w:p>
    <w:p w14:paraId="34790200" w14:textId="040C8183" w:rsidR="005118AA" w:rsidRDefault="005118AA" w:rsidP="005118AA">
      <w:pPr>
        <w:pStyle w:val="ListParagraph"/>
        <w:numPr>
          <w:ilvl w:val="0"/>
          <w:numId w:val="21"/>
        </w:numPr>
        <w:rPr>
          <w:rFonts w:ascii="Arial Narrow" w:hAnsi="Arial Narrow" w:cs="Times New Roman"/>
          <w:sz w:val="24"/>
          <w:szCs w:val="24"/>
        </w:rPr>
      </w:pPr>
      <w:r>
        <w:rPr>
          <w:rFonts w:ascii="Arial Narrow" w:hAnsi="Arial Narrow" w:cs="Times New Roman"/>
          <w:sz w:val="24"/>
          <w:szCs w:val="24"/>
        </w:rPr>
        <w:t>Ενέργεια: η τρέχουσα ανανεώσιμη ενέργεια έχει χωρητικότητα έως και 6</w:t>
      </w:r>
      <w:r>
        <w:rPr>
          <w:rFonts w:ascii="Arial Narrow" w:hAnsi="Arial Narrow" w:cs="Times New Roman"/>
          <w:sz w:val="24"/>
          <w:szCs w:val="24"/>
          <w:lang w:val="en-US"/>
        </w:rPr>
        <w:t>GW</w:t>
      </w:r>
      <w:r w:rsidRPr="005118AA">
        <w:rPr>
          <w:rFonts w:ascii="Arial Narrow" w:hAnsi="Arial Narrow" w:cs="Times New Roman"/>
          <w:sz w:val="24"/>
          <w:szCs w:val="24"/>
        </w:rPr>
        <w:t xml:space="preserve">. </w:t>
      </w:r>
      <w:r>
        <w:rPr>
          <w:rFonts w:ascii="Arial Narrow" w:hAnsi="Arial Narrow" w:cs="Times New Roman"/>
          <w:sz w:val="24"/>
          <w:szCs w:val="24"/>
        </w:rPr>
        <w:t xml:space="preserve">Στόχος για το 2030 είναι η αύξηση της καθαρής ενέργειας φθάνοντας στα 15 </w:t>
      </w:r>
      <w:r>
        <w:rPr>
          <w:rFonts w:ascii="Arial Narrow" w:hAnsi="Arial Narrow" w:cs="Times New Roman"/>
          <w:sz w:val="24"/>
          <w:szCs w:val="24"/>
          <w:lang w:val="en-US"/>
        </w:rPr>
        <w:t>GW</w:t>
      </w:r>
      <w:r w:rsidRPr="005118AA">
        <w:rPr>
          <w:rFonts w:ascii="Arial Narrow" w:hAnsi="Arial Narrow" w:cs="Times New Roman"/>
          <w:sz w:val="24"/>
          <w:szCs w:val="24"/>
        </w:rPr>
        <w:t xml:space="preserve"> (</w:t>
      </w:r>
      <w:r>
        <w:rPr>
          <w:rFonts w:ascii="Arial Narrow" w:hAnsi="Arial Narrow" w:cs="Times New Roman"/>
          <w:sz w:val="24"/>
          <w:szCs w:val="24"/>
        </w:rPr>
        <w:t xml:space="preserve">30% καθαρή ενέργεια), ενώ για το 2031 η πρόβλεψη είναι ότι η καθαρή ενέργεια θα ανέλθει στα 22 </w:t>
      </w:r>
      <w:r>
        <w:rPr>
          <w:rFonts w:ascii="Arial Narrow" w:hAnsi="Arial Narrow" w:cs="Times New Roman"/>
          <w:sz w:val="24"/>
          <w:szCs w:val="24"/>
          <w:lang w:val="en-US"/>
        </w:rPr>
        <w:t>GW</w:t>
      </w:r>
      <w:r w:rsidRPr="005118AA">
        <w:rPr>
          <w:rFonts w:ascii="Arial Narrow" w:hAnsi="Arial Narrow" w:cs="Times New Roman"/>
          <w:sz w:val="24"/>
          <w:szCs w:val="24"/>
        </w:rPr>
        <w:t xml:space="preserve">. </w:t>
      </w:r>
      <w:r w:rsidR="00A97E22">
        <w:rPr>
          <w:rFonts w:ascii="Arial Narrow" w:hAnsi="Arial Narrow" w:cs="Times New Roman"/>
          <w:sz w:val="24"/>
          <w:szCs w:val="24"/>
        </w:rPr>
        <w:t xml:space="preserve">Τα σημαντικότερα </w:t>
      </w:r>
      <w:r w:rsidR="00367FB9">
        <w:rPr>
          <w:rFonts w:ascii="Arial Narrow" w:hAnsi="Arial Narrow" w:cs="Times New Roman"/>
          <w:sz w:val="24"/>
          <w:szCs w:val="24"/>
        </w:rPr>
        <w:t xml:space="preserve">ενεργειακά πάρκα στην επικράτεια των ΗΑΕ είναι το </w:t>
      </w:r>
      <w:r w:rsidR="00367FB9">
        <w:rPr>
          <w:rFonts w:ascii="Arial Narrow" w:hAnsi="Arial Narrow" w:cs="Times New Roman"/>
          <w:sz w:val="24"/>
          <w:szCs w:val="24"/>
          <w:lang w:val="en-US"/>
        </w:rPr>
        <w:t>Noor</w:t>
      </w:r>
      <w:r w:rsidR="00367FB9" w:rsidRPr="00367FB9">
        <w:rPr>
          <w:rFonts w:ascii="Arial Narrow" w:hAnsi="Arial Narrow" w:cs="Times New Roman"/>
          <w:sz w:val="24"/>
          <w:szCs w:val="24"/>
        </w:rPr>
        <w:t xml:space="preserve"> </w:t>
      </w:r>
      <w:r w:rsidR="00367FB9">
        <w:rPr>
          <w:rFonts w:ascii="Arial Narrow" w:hAnsi="Arial Narrow" w:cs="Times New Roman"/>
          <w:sz w:val="24"/>
          <w:szCs w:val="24"/>
          <w:lang w:val="en-US"/>
        </w:rPr>
        <w:t>Abu</w:t>
      </w:r>
      <w:r w:rsidR="00367FB9" w:rsidRPr="00367FB9">
        <w:rPr>
          <w:rFonts w:ascii="Arial Narrow" w:hAnsi="Arial Narrow" w:cs="Times New Roman"/>
          <w:sz w:val="24"/>
          <w:szCs w:val="24"/>
        </w:rPr>
        <w:t xml:space="preserve"> </w:t>
      </w:r>
      <w:r w:rsidR="00367FB9">
        <w:rPr>
          <w:rFonts w:ascii="Arial Narrow" w:hAnsi="Arial Narrow" w:cs="Times New Roman"/>
          <w:sz w:val="24"/>
          <w:szCs w:val="24"/>
          <w:lang w:val="en-US"/>
        </w:rPr>
        <w:t>Dhabi</w:t>
      </w:r>
      <w:r w:rsidR="00367FB9" w:rsidRPr="00367FB9">
        <w:rPr>
          <w:rFonts w:ascii="Arial Narrow" w:hAnsi="Arial Narrow" w:cs="Times New Roman"/>
          <w:sz w:val="24"/>
          <w:szCs w:val="24"/>
        </w:rPr>
        <w:t xml:space="preserve"> </w:t>
      </w:r>
      <w:r w:rsidR="00367FB9">
        <w:rPr>
          <w:rFonts w:ascii="Arial Narrow" w:hAnsi="Arial Narrow" w:cs="Times New Roman"/>
          <w:sz w:val="24"/>
          <w:szCs w:val="24"/>
          <w:lang w:val="en-US"/>
        </w:rPr>
        <w:t>Solar</w:t>
      </w:r>
      <w:r w:rsidR="00367FB9" w:rsidRPr="00367FB9">
        <w:rPr>
          <w:rFonts w:ascii="Arial Narrow" w:hAnsi="Arial Narrow" w:cs="Times New Roman"/>
          <w:sz w:val="24"/>
          <w:szCs w:val="24"/>
        </w:rPr>
        <w:t xml:space="preserve"> </w:t>
      </w:r>
      <w:r w:rsidR="00367FB9">
        <w:rPr>
          <w:rFonts w:ascii="Arial Narrow" w:hAnsi="Arial Narrow" w:cs="Times New Roman"/>
          <w:sz w:val="24"/>
          <w:szCs w:val="24"/>
          <w:lang w:val="en-US"/>
        </w:rPr>
        <w:t>Park</w:t>
      </w:r>
      <w:r w:rsidR="00367FB9" w:rsidRPr="00367FB9">
        <w:rPr>
          <w:rFonts w:ascii="Arial Narrow" w:hAnsi="Arial Narrow" w:cs="Times New Roman"/>
          <w:sz w:val="24"/>
          <w:szCs w:val="24"/>
        </w:rPr>
        <w:t xml:space="preserve"> </w:t>
      </w:r>
      <w:r w:rsidR="00367FB9">
        <w:rPr>
          <w:rFonts w:ascii="Arial Narrow" w:hAnsi="Arial Narrow" w:cs="Times New Roman"/>
          <w:sz w:val="24"/>
          <w:szCs w:val="24"/>
        </w:rPr>
        <w:t xml:space="preserve">με λειτουργία στα 1,2 </w:t>
      </w:r>
      <w:r w:rsidR="00367FB9">
        <w:rPr>
          <w:rFonts w:ascii="Arial Narrow" w:hAnsi="Arial Narrow" w:cs="Times New Roman"/>
          <w:sz w:val="24"/>
          <w:szCs w:val="24"/>
          <w:lang w:val="en-US"/>
        </w:rPr>
        <w:t>GW</w:t>
      </w:r>
      <w:r w:rsidR="00367FB9" w:rsidRPr="00367FB9">
        <w:rPr>
          <w:rFonts w:ascii="Arial Narrow" w:hAnsi="Arial Narrow" w:cs="Times New Roman"/>
          <w:sz w:val="24"/>
          <w:szCs w:val="24"/>
        </w:rPr>
        <w:t xml:space="preserve"> </w:t>
      </w:r>
      <w:r w:rsidR="00367FB9">
        <w:rPr>
          <w:rFonts w:ascii="Arial Narrow" w:hAnsi="Arial Narrow" w:cs="Times New Roman"/>
          <w:sz w:val="24"/>
          <w:szCs w:val="24"/>
        </w:rPr>
        <w:t xml:space="preserve">και το </w:t>
      </w:r>
      <w:r w:rsidR="00367FB9">
        <w:rPr>
          <w:rFonts w:ascii="Arial Narrow" w:hAnsi="Arial Narrow" w:cs="Times New Roman"/>
          <w:sz w:val="24"/>
          <w:szCs w:val="24"/>
          <w:lang w:val="en-US"/>
        </w:rPr>
        <w:t>Masdar</w:t>
      </w:r>
      <w:r w:rsidR="00367FB9" w:rsidRPr="00367FB9">
        <w:rPr>
          <w:rFonts w:ascii="Arial Narrow" w:hAnsi="Arial Narrow" w:cs="Times New Roman"/>
          <w:sz w:val="24"/>
          <w:szCs w:val="24"/>
        </w:rPr>
        <w:t xml:space="preserve"> </w:t>
      </w:r>
      <w:r w:rsidR="00367FB9">
        <w:rPr>
          <w:rFonts w:ascii="Arial Narrow" w:hAnsi="Arial Narrow" w:cs="Times New Roman"/>
          <w:sz w:val="24"/>
          <w:szCs w:val="24"/>
          <w:lang w:val="en-US"/>
        </w:rPr>
        <w:t>Solar</w:t>
      </w:r>
      <w:r w:rsidR="00367FB9" w:rsidRPr="00367FB9">
        <w:rPr>
          <w:rFonts w:ascii="Arial Narrow" w:hAnsi="Arial Narrow" w:cs="Times New Roman"/>
          <w:sz w:val="24"/>
          <w:szCs w:val="24"/>
        </w:rPr>
        <w:t>+</w:t>
      </w:r>
      <w:r w:rsidR="00367FB9">
        <w:rPr>
          <w:rFonts w:ascii="Arial Narrow" w:hAnsi="Arial Narrow" w:cs="Times New Roman"/>
          <w:sz w:val="24"/>
          <w:szCs w:val="24"/>
          <w:lang w:val="en-US"/>
        </w:rPr>
        <w:t>Battery</w:t>
      </w:r>
      <w:r w:rsidR="00367FB9" w:rsidRPr="00367FB9">
        <w:rPr>
          <w:rFonts w:ascii="Arial Narrow" w:hAnsi="Arial Narrow" w:cs="Times New Roman"/>
          <w:sz w:val="24"/>
          <w:szCs w:val="24"/>
        </w:rPr>
        <w:t xml:space="preserve"> (</w:t>
      </w:r>
      <w:r w:rsidR="00367FB9">
        <w:rPr>
          <w:rFonts w:ascii="Arial Narrow" w:hAnsi="Arial Narrow" w:cs="Times New Roman"/>
          <w:sz w:val="24"/>
          <w:szCs w:val="24"/>
          <w:lang w:val="en-US"/>
        </w:rPr>
        <w:t>Abu</w:t>
      </w:r>
      <w:r w:rsidR="00367FB9" w:rsidRPr="00367FB9">
        <w:rPr>
          <w:rFonts w:ascii="Arial Narrow" w:hAnsi="Arial Narrow" w:cs="Times New Roman"/>
          <w:sz w:val="24"/>
          <w:szCs w:val="24"/>
        </w:rPr>
        <w:t xml:space="preserve"> </w:t>
      </w:r>
      <w:r w:rsidR="00367FB9">
        <w:rPr>
          <w:rFonts w:ascii="Arial Narrow" w:hAnsi="Arial Narrow" w:cs="Times New Roman"/>
          <w:sz w:val="24"/>
          <w:szCs w:val="24"/>
          <w:lang w:val="en-US"/>
        </w:rPr>
        <w:t>Dhabi</w:t>
      </w:r>
      <w:r w:rsidR="00367FB9">
        <w:rPr>
          <w:rFonts w:ascii="Arial Narrow" w:hAnsi="Arial Narrow" w:cs="Times New Roman"/>
          <w:sz w:val="24"/>
          <w:szCs w:val="24"/>
        </w:rPr>
        <w:t xml:space="preserve">) με ηλιακή ενέργεια </w:t>
      </w:r>
      <w:r w:rsidR="00367FB9" w:rsidRPr="00367FB9">
        <w:rPr>
          <w:rFonts w:ascii="Arial Narrow" w:hAnsi="Arial Narrow" w:cs="Times New Roman"/>
          <w:sz w:val="24"/>
          <w:szCs w:val="24"/>
        </w:rPr>
        <w:t xml:space="preserve">5,2 </w:t>
      </w:r>
      <w:r w:rsidR="00367FB9">
        <w:rPr>
          <w:rFonts w:ascii="Arial Narrow" w:hAnsi="Arial Narrow" w:cs="Times New Roman"/>
          <w:sz w:val="24"/>
          <w:szCs w:val="24"/>
          <w:lang w:val="en-US"/>
        </w:rPr>
        <w:t>GW</w:t>
      </w:r>
      <w:r w:rsidR="00367FB9" w:rsidRPr="00367FB9">
        <w:rPr>
          <w:rFonts w:ascii="Arial Narrow" w:hAnsi="Arial Narrow" w:cs="Times New Roman"/>
          <w:sz w:val="24"/>
          <w:szCs w:val="24"/>
        </w:rPr>
        <w:t xml:space="preserve"> + 19 </w:t>
      </w:r>
      <w:r w:rsidR="00367FB9">
        <w:rPr>
          <w:rFonts w:ascii="Arial Narrow" w:hAnsi="Arial Narrow" w:cs="Times New Roman"/>
          <w:sz w:val="24"/>
          <w:szCs w:val="24"/>
          <w:lang w:val="en-US"/>
        </w:rPr>
        <w:t>GWh</w:t>
      </w:r>
      <w:r w:rsidR="00367FB9" w:rsidRPr="00367FB9">
        <w:rPr>
          <w:rFonts w:ascii="Arial Narrow" w:hAnsi="Arial Narrow" w:cs="Times New Roman"/>
          <w:sz w:val="24"/>
          <w:szCs w:val="24"/>
        </w:rPr>
        <w:t xml:space="preserve"> </w:t>
      </w:r>
      <w:r w:rsidR="00367FB9">
        <w:rPr>
          <w:rFonts w:ascii="Arial Narrow" w:hAnsi="Arial Narrow" w:cs="Times New Roman"/>
          <w:sz w:val="24"/>
          <w:szCs w:val="24"/>
        </w:rPr>
        <w:t>αποθήκευση</w:t>
      </w:r>
    </w:p>
    <w:p w14:paraId="6ED1264D" w14:textId="74DEB2C8" w:rsidR="00367FB9" w:rsidRDefault="00367FB9" w:rsidP="004525C4">
      <w:pPr>
        <w:pStyle w:val="ListParagraph"/>
        <w:numPr>
          <w:ilvl w:val="0"/>
          <w:numId w:val="21"/>
        </w:numPr>
        <w:jc w:val="both"/>
        <w:rPr>
          <w:rFonts w:ascii="Arial Narrow" w:hAnsi="Arial Narrow" w:cs="Times New Roman"/>
          <w:sz w:val="24"/>
          <w:szCs w:val="24"/>
        </w:rPr>
      </w:pPr>
      <w:r>
        <w:rPr>
          <w:rFonts w:ascii="Arial Narrow" w:hAnsi="Arial Narrow" w:cs="Times New Roman"/>
          <w:sz w:val="24"/>
          <w:szCs w:val="24"/>
        </w:rPr>
        <w:t>Τεχνητή</w:t>
      </w:r>
      <w:r w:rsidRPr="00367FB9">
        <w:rPr>
          <w:rFonts w:ascii="Arial Narrow" w:hAnsi="Arial Narrow" w:cs="Times New Roman"/>
          <w:sz w:val="24"/>
          <w:szCs w:val="24"/>
          <w:lang w:val="en-AE"/>
        </w:rPr>
        <w:t xml:space="preserve"> </w:t>
      </w:r>
      <w:r>
        <w:rPr>
          <w:rFonts w:ascii="Arial Narrow" w:hAnsi="Arial Narrow" w:cs="Times New Roman"/>
          <w:sz w:val="24"/>
          <w:szCs w:val="24"/>
        </w:rPr>
        <w:t>Νοημοσύνη</w:t>
      </w:r>
      <w:r w:rsidRPr="00367FB9">
        <w:rPr>
          <w:rFonts w:ascii="Arial Narrow" w:hAnsi="Arial Narrow" w:cs="Times New Roman"/>
          <w:sz w:val="24"/>
          <w:szCs w:val="24"/>
          <w:lang w:val="en-AE"/>
        </w:rPr>
        <w:t xml:space="preserve"> (</w:t>
      </w:r>
      <w:r>
        <w:rPr>
          <w:rFonts w:ascii="Arial Narrow" w:hAnsi="Arial Narrow" w:cs="Times New Roman"/>
          <w:sz w:val="24"/>
          <w:szCs w:val="24"/>
          <w:lang w:val="en-US"/>
        </w:rPr>
        <w:t xml:space="preserve">Artificial Intelligence – AI): </w:t>
      </w:r>
      <w:r>
        <w:rPr>
          <w:rFonts w:ascii="Arial Narrow" w:hAnsi="Arial Narrow" w:cs="Times New Roman"/>
          <w:sz w:val="24"/>
          <w:szCs w:val="24"/>
        </w:rPr>
        <w:t>Στρατηγική</w:t>
      </w:r>
      <w:r w:rsidRPr="00367FB9">
        <w:rPr>
          <w:rFonts w:ascii="Arial Narrow" w:hAnsi="Arial Narrow" w:cs="Times New Roman"/>
          <w:sz w:val="24"/>
          <w:szCs w:val="24"/>
          <w:lang w:val="en-AE"/>
        </w:rPr>
        <w:t xml:space="preserve"> 2031. </w:t>
      </w:r>
      <w:r>
        <w:rPr>
          <w:rFonts w:ascii="Arial Narrow" w:hAnsi="Arial Narrow" w:cs="Times New Roman"/>
          <w:sz w:val="24"/>
          <w:szCs w:val="24"/>
        </w:rPr>
        <w:t xml:space="preserve">Ενσωμάτωση </w:t>
      </w:r>
      <w:r>
        <w:rPr>
          <w:rFonts w:ascii="Arial Narrow" w:hAnsi="Arial Narrow" w:cs="Times New Roman"/>
          <w:sz w:val="24"/>
          <w:szCs w:val="24"/>
          <w:lang w:val="en-US"/>
        </w:rPr>
        <w:t>AI</w:t>
      </w:r>
      <w:r w:rsidRPr="00367FB9">
        <w:rPr>
          <w:rFonts w:ascii="Arial Narrow" w:hAnsi="Arial Narrow" w:cs="Times New Roman"/>
          <w:sz w:val="24"/>
          <w:szCs w:val="24"/>
        </w:rPr>
        <w:t xml:space="preserve"> </w:t>
      </w:r>
      <w:r>
        <w:rPr>
          <w:rFonts w:ascii="Arial Narrow" w:hAnsi="Arial Narrow" w:cs="Times New Roman"/>
          <w:sz w:val="24"/>
          <w:szCs w:val="24"/>
        </w:rPr>
        <w:t xml:space="preserve">σε υγειονομική περίθαλψη, εκπαίδευση, μεταφορές και δημόσιες υπηρεσίες. Προβολή έως 335 δις </w:t>
      </w:r>
      <w:r>
        <w:rPr>
          <w:rFonts w:ascii="Arial Narrow" w:hAnsi="Arial Narrow" w:cs="Times New Roman"/>
          <w:sz w:val="24"/>
          <w:szCs w:val="24"/>
          <w:lang w:val="en-US"/>
        </w:rPr>
        <w:t>AED</w:t>
      </w:r>
      <w:r w:rsidRPr="00367FB9">
        <w:rPr>
          <w:rFonts w:ascii="Arial Narrow" w:hAnsi="Arial Narrow" w:cs="Times New Roman"/>
          <w:sz w:val="24"/>
          <w:szCs w:val="24"/>
        </w:rPr>
        <w:t xml:space="preserve"> (</w:t>
      </w:r>
      <w:r>
        <w:rPr>
          <w:rFonts w:ascii="Arial Narrow" w:hAnsi="Arial Narrow" w:cs="Times New Roman"/>
          <w:sz w:val="24"/>
          <w:szCs w:val="24"/>
          <w:lang w:val="en-US"/>
        </w:rPr>
        <w:t>USD</w:t>
      </w:r>
      <w:r w:rsidRPr="00367FB9">
        <w:rPr>
          <w:rFonts w:ascii="Arial Narrow" w:hAnsi="Arial Narrow" w:cs="Times New Roman"/>
          <w:sz w:val="24"/>
          <w:szCs w:val="24"/>
        </w:rPr>
        <w:t xml:space="preserve"> 91 </w:t>
      </w:r>
      <w:r>
        <w:rPr>
          <w:rFonts w:ascii="Arial Narrow" w:hAnsi="Arial Narrow" w:cs="Times New Roman"/>
          <w:sz w:val="24"/>
          <w:szCs w:val="24"/>
        </w:rPr>
        <w:t xml:space="preserve">δις), Συμβολή στο μη-πετρελαϊκό ΑΕΠ έως το 2031. Επενδύσεις </w:t>
      </w:r>
      <w:r>
        <w:rPr>
          <w:rFonts w:ascii="Arial Narrow" w:hAnsi="Arial Narrow" w:cs="Times New Roman"/>
          <w:sz w:val="24"/>
          <w:szCs w:val="24"/>
          <w:lang w:val="en-US"/>
        </w:rPr>
        <w:t>AI</w:t>
      </w:r>
      <w:r w:rsidRPr="004525C4">
        <w:rPr>
          <w:rFonts w:ascii="Arial Narrow" w:hAnsi="Arial Narrow" w:cs="Times New Roman"/>
          <w:sz w:val="24"/>
          <w:szCs w:val="24"/>
        </w:rPr>
        <w:t xml:space="preserve"> </w:t>
      </w:r>
      <w:r>
        <w:rPr>
          <w:rFonts w:ascii="Arial Narrow" w:hAnsi="Arial Narrow" w:cs="Times New Roman"/>
          <w:sz w:val="24"/>
          <w:szCs w:val="24"/>
        </w:rPr>
        <w:t xml:space="preserve">(2024-2025): </w:t>
      </w:r>
      <w:r w:rsidR="004525C4">
        <w:rPr>
          <w:rFonts w:ascii="Arial Narrow" w:hAnsi="Arial Narrow" w:cs="Times New Roman"/>
          <w:sz w:val="24"/>
          <w:szCs w:val="24"/>
          <w:lang w:val="en-US"/>
        </w:rPr>
        <w:t>USD</w:t>
      </w:r>
      <w:r w:rsidR="004525C4" w:rsidRPr="004525C4">
        <w:rPr>
          <w:rFonts w:ascii="Arial Narrow" w:hAnsi="Arial Narrow" w:cs="Times New Roman"/>
          <w:sz w:val="24"/>
          <w:szCs w:val="24"/>
        </w:rPr>
        <w:t xml:space="preserve"> 148 </w:t>
      </w:r>
      <w:r w:rsidR="004525C4">
        <w:rPr>
          <w:rFonts w:ascii="Arial Narrow" w:hAnsi="Arial Narrow" w:cs="Times New Roman"/>
          <w:sz w:val="24"/>
          <w:szCs w:val="24"/>
        </w:rPr>
        <w:t xml:space="preserve">δις (κέντρα δεδομένων, ημιαγωγοί, υπολογιστική υποδομή), Απόδοση κυβέρνησης: 97% χρήση </w:t>
      </w:r>
      <w:r w:rsidR="004525C4">
        <w:rPr>
          <w:rFonts w:ascii="Arial Narrow" w:hAnsi="Arial Narrow" w:cs="Times New Roman"/>
          <w:sz w:val="24"/>
          <w:szCs w:val="24"/>
          <w:lang w:val="en-US"/>
        </w:rPr>
        <w:t>AI</w:t>
      </w:r>
      <w:r w:rsidR="004525C4" w:rsidRPr="004525C4">
        <w:rPr>
          <w:rFonts w:ascii="Arial Narrow" w:hAnsi="Arial Narrow" w:cs="Times New Roman"/>
          <w:sz w:val="24"/>
          <w:szCs w:val="24"/>
        </w:rPr>
        <w:t xml:space="preserve"> </w:t>
      </w:r>
      <w:r w:rsidR="004525C4">
        <w:rPr>
          <w:rFonts w:ascii="Arial Narrow" w:hAnsi="Arial Narrow" w:cs="Times New Roman"/>
          <w:sz w:val="24"/>
          <w:szCs w:val="24"/>
        </w:rPr>
        <w:t xml:space="preserve">σε ομοσπονδιακές υπηρεσίες (έως τέλος του 2025). Πρόγραμμα εκπαίδευσης: 1 εκατ. ταλέντα </w:t>
      </w:r>
      <w:r w:rsidR="004525C4">
        <w:rPr>
          <w:rFonts w:ascii="Arial Narrow" w:hAnsi="Arial Narrow" w:cs="Times New Roman"/>
          <w:sz w:val="24"/>
          <w:szCs w:val="24"/>
          <w:lang w:val="en-US"/>
        </w:rPr>
        <w:t xml:space="preserve">AI </w:t>
      </w:r>
      <w:r w:rsidR="004525C4">
        <w:rPr>
          <w:rFonts w:ascii="Arial Narrow" w:hAnsi="Arial Narrow" w:cs="Times New Roman"/>
          <w:sz w:val="24"/>
          <w:szCs w:val="24"/>
        </w:rPr>
        <w:t>έως το 2027.</w:t>
      </w:r>
    </w:p>
    <w:p w14:paraId="1E7D8E55" w14:textId="527B4A3A" w:rsidR="004525C4" w:rsidRDefault="004525C4" w:rsidP="004525C4">
      <w:pPr>
        <w:pStyle w:val="ListParagraph"/>
        <w:numPr>
          <w:ilvl w:val="0"/>
          <w:numId w:val="21"/>
        </w:numPr>
        <w:jc w:val="both"/>
        <w:rPr>
          <w:rFonts w:ascii="Arial Narrow" w:hAnsi="Arial Narrow" w:cs="Times New Roman"/>
          <w:sz w:val="24"/>
          <w:szCs w:val="24"/>
        </w:rPr>
      </w:pPr>
      <w:r>
        <w:rPr>
          <w:rFonts w:ascii="Arial Narrow" w:hAnsi="Arial Narrow" w:cs="Times New Roman"/>
          <w:sz w:val="24"/>
          <w:szCs w:val="24"/>
        </w:rPr>
        <w:t xml:space="preserve">Πλαίσιο Επενδύσεων – Φορολογία Εταιρειών: Ενιαίος Φόρος Εισοδήματος εταιρειών </w:t>
      </w:r>
      <w:r w:rsidR="00BB48FE">
        <w:rPr>
          <w:rFonts w:ascii="Arial Narrow" w:hAnsi="Arial Narrow" w:cs="Times New Roman"/>
          <w:sz w:val="24"/>
          <w:szCs w:val="24"/>
        </w:rPr>
        <w:t>(</w:t>
      </w:r>
      <w:r w:rsidR="00BB48FE">
        <w:rPr>
          <w:rFonts w:ascii="Arial Narrow" w:hAnsi="Arial Narrow" w:cs="Times New Roman"/>
          <w:sz w:val="24"/>
          <w:szCs w:val="24"/>
          <w:lang w:val="en-US"/>
        </w:rPr>
        <w:t>CIT</w:t>
      </w:r>
      <w:r w:rsidR="00BB48FE" w:rsidRPr="00BB48FE">
        <w:rPr>
          <w:rFonts w:ascii="Arial Narrow" w:hAnsi="Arial Narrow" w:cs="Times New Roman"/>
          <w:sz w:val="24"/>
          <w:szCs w:val="24"/>
        </w:rPr>
        <w:t xml:space="preserve">). </w:t>
      </w:r>
      <w:r w:rsidR="00BB48FE">
        <w:rPr>
          <w:rFonts w:ascii="Arial Narrow" w:hAnsi="Arial Narrow" w:cs="Times New Roman"/>
          <w:sz w:val="24"/>
          <w:szCs w:val="24"/>
        </w:rPr>
        <w:t xml:space="preserve">Ισχύει από το 2023 – Τυπικό Ποσοστό 0% στα κέρδη έως </w:t>
      </w:r>
      <w:r w:rsidR="00BB48FE">
        <w:rPr>
          <w:rFonts w:ascii="Arial Narrow" w:hAnsi="Arial Narrow" w:cs="Times New Roman"/>
          <w:sz w:val="24"/>
          <w:szCs w:val="24"/>
          <w:lang w:val="en-US"/>
        </w:rPr>
        <w:t>AED</w:t>
      </w:r>
      <w:r w:rsidR="00BB48FE" w:rsidRPr="00BB48FE">
        <w:rPr>
          <w:rFonts w:ascii="Arial Narrow" w:hAnsi="Arial Narrow" w:cs="Times New Roman"/>
          <w:sz w:val="24"/>
          <w:szCs w:val="24"/>
        </w:rPr>
        <w:t xml:space="preserve"> 375.000 </w:t>
      </w:r>
      <w:r w:rsidR="00BB48FE">
        <w:rPr>
          <w:rFonts w:ascii="Arial Narrow" w:hAnsi="Arial Narrow" w:cs="Times New Roman"/>
          <w:sz w:val="24"/>
          <w:szCs w:val="24"/>
        </w:rPr>
        <w:t xml:space="preserve">και 9% για ποσά πάνω από αυτά – </w:t>
      </w:r>
      <w:r w:rsidR="00BB48FE">
        <w:rPr>
          <w:rFonts w:ascii="Arial Narrow" w:hAnsi="Arial Narrow" w:cs="Times New Roman"/>
          <w:sz w:val="24"/>
          <w:szCs w:val="24"/>
          <w:lang w:val="en-US"/>
        </w:rPr>
        <w:t>QFZP</w:t>
      </w:r>
      <w:r w:rsidR="00BB48FE" w:rsidRPr="00BB48FE">
        <w:rPr>
          <w:rFonts w:ascii="Arial Narrow" w:hAnsi="Arial Narrow" w:cs="Times New Roman"/>
          <w:sz w:val="24"/>
          <w:szCs w:val="24"/>
        </w:rPr>
        <w:t xml:space="preserve"> </w:t>
      </w:r>
      <w:r w:rsidR="00BB48FE">
        <w:rPr>
          <w:rFonts w:ascii="Arial Narrow" w:hAnsi="Arial Narrow" w:cs="Times New Roman"/>
          <w:sz w:val="24"/>
          <w:szCs w:val="24"/>
        </w:rPr>
        <w:t xml:space="preserve">εξαίρεση: 0% για </w:t>
      </w:r>
      <w:r w:rsidR="00BB48FE">
        <w:rPr>
          <w:rFonts w:ascii="Arial Narrow" w:hAnsi="Arial Narrow" w:cs="Times New Roman"/>
          <w:sz w:val="24"/>
          <w:szCs w:val="24"/>
          <w:lang w:val="en-US"/>
        </w:rPr>
        <w:t>Qualified</w:t>
      </w:r>
      <w:r w:rsidR="00BB48FE" w:rsidRPr="00BB48FE">
        <w:rPr>
          <w:rFonts w:ascii="Arial Narrow" w:hAnsi="Arial Narrow" w:cs="Times New Roman"/>
          <w:sz w:val="24"/>
          <w:szCs w:val="24"/>
        </w:rPr>
        <w:t xml:space="preserve"> </w:t>
      </w:r>
      <w:r w:rsidR="00BB48FE">
        <w:rPr>
          <w:rFonts w:ascii="Arial Narrow" w:hAnsi="Arial Narrow" w:cs="Times New Roman"/>
          <w:sz w:val="24"/>
          <w:szCs w:val="24"/>
          <w:lang w:val="en-US"/>
        </w:rPr>
        <w:t>Free</w:t>
      </w:r>
      <w:r w:rsidR="00BB48FE" w:rsidRPr="00BB48FE">
        <w:rPr>
          <w:rFonts w:ascii="Arial Narrow" w:hAnsi="Arial Narrow" w:cs="Times New Roman"/>
          <w:sz w:val="24"/>
          <w:szCs w:val="24"/>
        </w:rPr>
        <w:t xml:space="preserve"> </w:t>
      </w:r>
      <w:r w:rsidR="00BB48FE">
        <w:rPr>
          <w:rFonts w:ascii="Arial Narrow" w:hAnsi="Arial Narrow" w:cs="Times New Roman"/>
          <w:sz w:val="24"/>
          <w:szCs w:val="24"/>
          <w:lang w:val="en-US"/>
        </w:rPr>
        <w:t>Zone</w:t>
      </w:r>
      <w:r w:rsidR="00BB48FE" w:rsidRPr="00BB48FE">
        <w:rPr>
          <w:rFonts w:ascii="Arial Narrow" w:hAnsi="Arial Narrow" w:cs="Times New Roman"/>
          <w:sz w:val="24"/>
          <w:szCs w:val="24"/>
        </w:rPr>
        <w:t xml:space="preserve"> </w:t>
      </w:r>
      <w:r w:rsidR="00BB48FE">
        <w:rPr>
          <w:rFonts w:ascii="Arial Narrow" w:hAnsi="Arial Narrow" w:cs="Times New Roman"/>
          <w:sz w:val="24"/>
          <w:szCs w:val="24"/>
          <w:lang w:val="en-US"/>
        </w:rPr>
        <w:t>Persons</w:t>
      </w:r>
      <w:r w:rsidR="00BB48FE" w:rsidRPr="00BB48FE">
        <w:rPr>
          <w:rFonts w:ascii="Arial Narrow" w:hAnsi="Arial Narrow" w:cs="Times New Roman"/>
          <w:sz w:val="24"/>
          <w:szCs w:val="24"/>
        </w:rPr>
        <w:t xml:space="preserve"> (</w:t>
      </w:r>
      <w:r w:rsidR="00BB48FE">
        <w:rPr>
          <w:rFonts w:ascii="Arial Narrow" w:hAnsi="Arial Narrow" w:cs="Times New Roman"/>
          <w:sz w:val="24"/>
          <w:szCs w:val="24"/>
        </w:rPr>
        <w:t xml:space="preserve">με προϋποθέσεις) – Ελάχιστος Φόρος (από 2025): 15% </w:t>
      </w:r>
      <w:r w:rsidR="00BB48FE">
        <w:rPr>
          <w:rFonts w:ascii="Arial Narrow" w:hAnsi="Arial Narrow" w:cs="Times New Roman"/>
          <w:sz w:val="24"/>
          <w:szCs w:val="24"/>
          <w:lang w:val="en-US"/>
        </w:rPr>
        <w:t>OECD</w:t>
      </w:r>
      <w:r w:rsidR="00BB48FE" w:rsidRPr="00BB48FE">
        <w:rPr>
          <w:rFonts w:ascii="Arial Narrow" w:hAnsi="Arial Narrow" w:cs="Times New Roman"/>
          <w:sz w:val="24"/>
          <w:szCs w:val="24"/>
        </w:rPr>
        <w:t xml:space="preserve"> </w:t>
      </w:r>
      <w:r w:rsidR="00BB48FE">
        <w:rPr>
          <w:rFonts w:ascii="Arial Narrow" w:hAnsi="Arial Narrow" w:cs="Times New Roman"/>
          <w:sz w:val="24"/>
          <w:szCs w:val="24"/>
          <w:lang w:val="en-US"/>
        </w:rPr>
        <w:t>BEPS</w:t>
      </w:r>
      <w:r w:rsidR="00BB48FE" w:rsidRPr="00BB48FE">
        <w:rPr>
          <w:rFonts w:ascii="Arial Narrow" w:hAnsi="Arial Narrow" w:cs="Times New Roman"/>
          <w:sz w:val="24"/>
          <w:szCs w:val="24"/>
        </w:rPr>
        <w:t xml:space="preserve"> </w:t>
      </w:r>
      <w:r w:rsidR="00BB48FE">
        <w:rPr>
          <w:rFonts w:ascii="Arial Narrow" w:hAnsi="Arial Narrow" w:cs="Times New Roman"/>
          <w:sz w:val="24"/>
          <w:szCs w:val="24"/>
        </w:rPr>
        <w:t>για πολυεθνικές εταιρείες (</w:t>
      </w:r>
      <w:r w:rsidR="00BB48FE">
        <w:rPr>
          <w:rFonts w:ascii="Arial Narrow" w:hAnsi="Arial Narrow" w:cs="Times New Roman"/>
          <w:sz w:val="24"/>
          <w:szCs w:val="24"/>
          <w:lang w:val="en-US"/>
        </w:rPr>
        <w:t>revenue</w:t>
      </w:r>
      <w:r w:rsidR="00BB48FE" w:rsidRPr="00BB48FE">
        <w:rPr>
          <w:rFonts w:ascii="Arial Narrow" w:hAnsi="Arial Narrow" w:cs="Times New Roman"/>
          <w:sz w:val="24"/>
          <w:szCs w:val="24"/>
        </w:rPr>
        <w:t xml:space="preserve"> </w:t>
      </w:r>
      <w:r w:rsidR="00BB48FE">
        <w:rPr>
          <w:rFonts w:ascii="Arial Narrow" w:hAnsi="Arial Narrow" w:cs="Times New Roman"/>
          <w:sz w:val="24"/>
          <w:szCs w:val="24"/>
          <w:lang w:val="en-US"/>
        </w:rPr>
        <w:t>AED</w:t>
      </w:r>
      <w:r w:rsidR="00BB48FE" w:rsidRPr="00BB48FE">
        <w:rPr>
          <w:rFonts w:ascii="Arial Narrow" w:hAnsi="Arial Narrow" w:cs="Times New Roman"/>
          <w:sz w:val="24"/>
          <w:szCs w:val="24"/>
        </w:rPr>
        <w:t xml:space="preserve"> 3,15 </w:t>
      </w:r>
      <w:r w:rsidR="00BB48FE">
        <w:rPr>
          <w:rFonts w:ascii="Arial Narrow" w:hAnsi="Arial Narrow" w:cs="Times New Roman"/>
          <w:sz w:val="24"/>
          <w:szCs w:val="24"/>
        </w:rPr>
        <w:t xml:space="preserve">δις) – </w:t>
      </w:r>
      <w:r w:rsidR="00BB48FE">
        <w:rPr>
          <w:rFonts w:ascii="Arial Narrow" w:hAnsi="Arial Narrow" w:cs="Times New Roman"/>
          <w:sz w:val="24"/>
          <w:szCs w:val="24"/>
          <w:lang w:val="en-US"/>
        </w:rPr>
        <w:t>Free</w:t>
      </w:r>
      <w:r w:rsidR="00BB48FE" w:rsidRPr="00BB48FE">
        <w:rPr>
          <w:rFonts w:ascii="Arial Narrow" w:hAnsi="Arial Narrow" w:cs="Times New Roman"/>
          <w:sz w:val="24"/>
          <w:szCs w:val="24"/>
        </w:rPr>
        <w:t xml:space="preserve"> </w:t>
      </w:r>
      <w:r w:rsidR="00BB48FE">
        <w:rPr>
          <w:rFonts w:ascii="Arial Narrow" w:hAnsi="Arial Narrow" w:cs="Times New Roman"/>
          <w:sz w:val="24"/>
          <w:szCs w:val="24"/>
          <w:lang w:val="en-US"/>
        </w:rPr>
        <w:t>Zones</w:t>
      </w:r>
      <w:r w:rsidR="00BB48FE" w:rsidRPr="00BB48FE">
        <w:rPr>
          <w:rFonts w:ascii="Arial Narrow" w:hAnsi="Arial Narrow" w:cs="Times New Roman"/>
          <w:sz w:val="24"/>
          <w:szCs w:val="24"/>
        </w:rPr>
        <w:t xml:space="preserve"> 0% </w:t>
      </w:r>
      <w:r w:rsidR="00BB48FE">
        <w:rPr>
          <w:rFonts w:ascii="Arial Narrow" w:hAnsi="Arial Narrow" w:cs="Times New Roman"/>
          <w:sz w:val="24"/>
          <w:szCs w:val="24"/>
        </w:rPr>
        <w:t>δασμούς εισαγωγής/εξαγωγής</w:t>
      </w:r>
      <w:r w:rsidR="002B157E">
        <w:rPr>
          <w:rFonts w:ascii="Arial Narrow" w:hAnsi="Arial Narrow" w:cs="Times New Roman"/>
          <w:sz w:val="24"/>
          <w:szCs w:val="24"/>
        </w:rPr>
        <w:t>, 100% ξένη ιδιοκτησία.</w:t>
      </w:r>
    </w:p>
    <w:p w14:paraId="5EDB73BA" w14:textId="6D178771" w:rsidR="002B157E" w:rsidRDefault="002B157E" w:rsidP="004525C4">
      <w:pPr>
        <w:pStyle w:val="ListParagraph"/>
        <w:numPr>
          <w:ilvl w:val="0"/>
          <w:numId w:val="21"/>
        </w:numPr>
        <w:jc w:val="both"/>
        <w:rPr>
          <w:rFonts w:ascii="Arial Narrow" w:hAnsi="Arial Narrow" w:cs="Times New Roman"/>
          <w:sz w:val="24"/>
          <w:szCs w:val="24"/>
        </w:rPr>
      </w:pPr>
      <w:r>
        <w:rPr>
          <w:rFonts w:ascii="Arial Narrow" w:hAnsi="Arial Narrow" w:cs="Times New Roman"/>
          <w:sz w:val="24"/>
          <w:szCs w:val="24"/>
        </w:rPr>
        <w:t>Συμφωνίες Ολοκληρωμένης Οικονομικής Εταιρικής Σχέσης (</w:t>
      </w:r>
      <w:r>
        <w:rPr>
          <w:rFonts w:ascii="Arial Narrow" w:hAnsi="Arial Narrow" w:cs="Times New Roman"/>
          <w:sz w:val="24"/>
          <w:szCs w:val="24"/>
          <w:lang w:val="en-US"/>
        </w:rPr>
        <w:t>CEPA</w:t>
      </w:r>
      <w:r w:rsidRPr="002B157E">
        <w:rPr>
          <w:rFonts w:ascii="Arial Narrow" w:hAnsi="Arial Narrow" w:cs="Times New Roman"/>
          <w:sz w:val="24"/>
          <w:szCs w:val="24"/>
        </w:rPr>
        <w:t xml:space="preserve">) </w:t>
      </w:r>
      <w:r>
        <w:rPr>
          <w:rFonts w:ascii="Arial Narrow" w:hAnsi="Arial Narrow" w:cs="Times New Roman"/>
          <w:sz w:val="24"/>
          <w:szCs w:val="24"/>
        </w:rPr>
        <w:t>–</w:t>
      </w:r>
      <w:r w:rsidRPr="002B157E">
        <w:rPr>
          <w:rFonts w:ascii="Arial Narrow" w:hAnsi="Arial Narrow" w:cs="Times New Roman"/>
          <w:sz w:val="24"/>
          <w:szCs w:val="24"/>
        </w:rPr>
        <w:t xml:space="preserve"> </w:t>
      </w:r>
      <w:r>
        <w:rPr>
          <w:rFonts w:ascii="Arial Narrow" w:hAnsi="Arial Narrow" w:cs="Times New Roman"/>
          <w:sz w:val="24"/>
          <w:szCs w:val="24"/>
        </w:rPr>
        <w:t xml:space="preserve">Ενεργές Συμφωνίες </w:t>
      </w:r>
      <w:r>
        <w:rPr>
          <w:rFonts w:ascii="Arial Narrow" w:hAnsi="Arial Narrow" w:cs="Times New Roman"/>
          <w:sz w:val="24"/>
          <w:szCs w:val="24"/>
          <w:lang w:val="en-US"/>
        </w:rPr>
        <w:t>CEPA</w:t>
      </w:r>
      <w:r w:rsidRPr="002B157E">
        <w:rPr>
          <w:rFonts w:ascii="Arial Narrow" w:hAnsi="Arial Narrow" w:cs="Times New Roman"/>
          <w:sz w:val="24"/>
          <w:szCs w:val="24"/>
        </w:rPr>
        <w:t xml:space="preserve"> (2024-2025). </w:t>
      </w:r>
    </w:p>
    <w:p w14:paraId="3AB3E7BF" w14:textId="17F04D10" w:rsidR="002B157E" w:rsidRDefault="002B157E" w:rsidP="004525C4">
      <w:pPr>
        <w:pStyle w:val="ListParagraph"/>
        <w:numPr>
          <w:ilvl w:val="0"/>
          <w:numId w:val="21"/>
        </w:numPr>
        <w:jc w:val="both"/>
        <w:rPr>
          <w:rFonts w:ascii="Arial Narrow" w:hAnsi="Arial Narrow" w:cs="Times New Roman"/>
          <w:sz w:val="24"/>
          <w:szCs w:val="24"/>
        </w:rPr>
      </w:pPr>
      <w:r>
        <w:rPr>
          <w:rFonts w:ascii="Arial Narrow" w:hAnsi="Arial Narrow" w:cs="Times New Roman"/>
          <w:sz w:val="24"/>
          <w:szCs w:val="24"/>
        </w:rPr>
        <w:t>Ινδία: μη-πετρελαϊκό εμπόριο: +42,3% (2024)</w:t>
      </w:r>
    </w:p>
    <w:p w14:paraId="78C91894" w14:textId="5E97DE9F" w:rsidR="002B157E" w:rsidRDefault="002B157E" w:rsidP="004525C4">
      <w:pPr>
        <w:pStyle w:val="ListParagraph"/>
        <w:numPr>
          <w:ilvl w:val="0"/>
          <w:numId w:val="21"/>
        </w:numPr>
        <w:jc w:val="both"/>
        <w:rPr>
          <w:rFonts w:ascii="Arial Narrow" w:hAnsi="Arial Narrow" w:cs="Times New Roman"/>
          <w:sz w:val="24"/>
          <w:szCs w:val="24"/>
        </w:rPr>
      </w:pPr>
      <w:r>
        <w:rPr>
          <w:rFonts w:ascii="Arial Narrow" w:hAnsi="Arial Narrow" w:cs="Times New Roman"/>
          <w:sz w:val="24"/>
          <w:szCs w:val="24"/>
        </w:rPr>
        <w:t xml:space="preserve">Ισραήλ, Ινδονησία, Τουρκία : Ενεργοί </w:t>
      </w:r>
    </w:p>
    <w:p w14:paraId="62357355" w14:textId="06A485B3" w:rsidR="002B157E" w:rsidRDefault="002B157E" w:rsidP="002B157E">
      <w:pPr>
        <w:pStyle w:val="ListParagraph"/>
        <w:numPr>
          <w:ilvl w:val="0"/>
          <w:numId w:val="21"/>
        </w:numPr>
        <w:jc w:val="both"/>
        <w:rPr>
          <w:rFonts w:ascii="Arial Narrow" w:hAnsi="Arial Narrow" w:cs="Times New Roman"/>
          <w:sz w:val="24"/>
          <w:szCs w:val="24"/>
        </w:rPr>
      </w:pPr>
      <w:r>
        <w:rPr>
          <w:rFonts w:ascii="Arial Narrow" w:hAnsi="Arial Narrow" w:cs="Times New Roman"/>
          <w:sz w:val="24"/>
          <w:szCs w:val="24"/>
        </w:rPr>
        <w:t xml:space="preserve">Ιορδανία: ισχύει από Μάϊο 2025 (0% δασμοί σε εμπόρευμα καταγωγής, προβολη </w:t>
      </w:r>
      <w:r>
        <w:rPr>
          <w:rFonts w:ascii="Arial Narrow" w:hAnsi="Arial Narrow" w:cs="Times New Roman"/>
          <w:sz w:val="24"/>
          <w:szCs w:val="24"/>
          <w:lang w:val="en-US"/>
        </w:rPr>
        <w:t>bilateral</w:t>
      </w:r>
      <w:r w:rsidRPr="002B157E">
        <w:rPr>
          <w:rFonts w:ascii="Arial Narrow" w:hAnsi="Arial Narrow" w:cs="Times New Roman"/>
          <w:sz w:val="24"/>
          <w:szCs w:val="24"/>
        </w:rPr>
        <w:t xml:space="preserve"> </w:t>
      </w:r>
      <w:r>
        <w:rPr>
          <w:rFonts w:ascii="Arial Narrow" w:hAnsi="Arial Narrow" w:cs="Times New Roman"/>
          <w:sz w:val="24"/>
          <w:szCs w:val="24"/>
          <w:lang w:val="en-US"/>
        </w:rPr>
        <w:t>trade</w:t>
      </w:r>
      <w:r w:rsidRPr="002B157E">
        <w:rPr>
          <w:rFonts w:ascii="Arial Narrow" w:hAnsi="Arial Narrow" w:cs="Times New Roman"/>
          <w:sz w:val="24"/>
          <w:szCs w:val="24"/>
        </w:rPr>
        <w:t xml:space="preserve"> </w:t>
      </w:r>
      <w:r>
        <w:rPr>
          <w:rFonts w:ascii="Arial Narrow" w:hAnsi="Arial Narrow" w:cs="Times New Roman"/>
          <w:sz w:val="24"/>
          <w:szCs w:val="24"/>
          <w:lang w:val="en-US"/>
        </w:rPr>
        <w:t>USD</w:t>
      </w:r>
      <w:r w:rsidRPr="002B157E">
        <w:rPr>
          <w:rFonts w:ascii="Arial Narrow" w:hAnsi="Arial Narrow" w:cs="Times New Roman"/>
          <w:sz w:val="24"/>
          <w:szCs w:val="24"/>
        </w:rPr>
        <w:t xml:space="preserve"> 8 </w:t>
      </w:r>
      <w:r>
        <w:rPr>
          <w:rFonts w:ascii="Arial Narrow" w:hAnsi="Arial Narrow" w:cs="Times New Roman"/>
          <w:sz w:val="24"/>
          <w:szCs w:val="24"/>
        </w:rPr>
        <w:t>δις έως 2032).</w:t>
      </w:r>
    </w:p>
    <w:p w14:paraId="70A9DAA6" w14:textId="67850DFC" w:rsidR="002B157E" w:rsidRDefault="002B157E" w:rsidP="002B157E">
      <w:pPr>
        <w:pStyle w:val="ListParagraph"/>
        <w:numPr>
          <w:ilvl w:val="0"/>
          <w:numId w:val="21"/>
        </w:numPr>
        <w:jc w:val="both"/>
        <w:rPr>
          <w:rFonts w:ascii="Arial Narrow" w:hAnsi="Arial Narrow" w:cs="Times New Roman"/>
          <w:sz w:val="24"/>
          <w:szCs w:val="24"/>
        </w:rPr>
      </w:pPr>
      <w:r>
        <w:rPr>
          <w:rFonts w:ascii="Arial Narrow" w:hAnsi="Arial Narrow" w:cs="Times New Roman"/>
          <w:sz w:val="24"/>
          <w:szCs w:val="24"/>
        </w:rPr>
        <w:t>Χιλή, Μαυρίκιος, Κολομβία, Νότιος Κορέα: Άλλες χώρες με ενεργή συνεργασία (2024-2025)</w:t>
      </w:r>
    </w:p>
    <w:p w14:paraId="76766F1C" w14:textId="38917AF6" w:rsidR="002B157E" w:rsidRDefault="002B157E" w:rsidP="002B157E">
      <w:pPr>
        <w:pStyle w:val="ListParagraph"/>
        <w:jc w:val="both"/>
        <w:rPr>
          <w:rFonts w:ascii="Arial Narrow" w:hAnsi="Arial Narrow" w:cs="Times New Roman"/>
          <w:sz w:val="24"/>
          <w:szCs w:val="24"/>
        </w:rPr>
      </w:pPr>
    </w:p>
    <w:p w14:paraId="4026F786" w14:textId="73A9ECE4" w:rsidR="002B157E" w:rsidRPr="00E01305" w:rsidRDefault="002B157E" w:rsidP="002B157E">
      <w:pPr>
        <w:pStyle w:val="ListParagraph"/>
        <w:jc w:val="center"/>
        <w:rPr>
          <w:rFonts w:ascii="Arial Narrow" w:hAnsi="Arial Narrow" w:cs="Times New Roman"/>
          <w:b/>
          <w:color w:val="1F497D" w:themeColor="text2"/>
          <w:sz w:val="24"/>
          <w:szCs w:val="24"/>
        </w:rPr>
      </w:pPr>
      <w:r w:rsidRPr="00E01305">
        <w:rPr>
          <w:rFonts w:ascii="Arial Narrow" w:hAnsi="Arial Narrow" w:cs="Times New Roman"/>
          <w:b/>
          <w:color w:val="1F497D" w:themeColor="text2"/>
          <w:sz w:val="24"/>
          <w:szCs w:val="24"/>
        </w:rPr>
        <w:t>ΠΡΟΟΠΤΙΚΕΣ 2025-2026</w:t>
      </w:r>
    </w:p>
    <w:p w14:paraId="3BC50F66" w14:textId="1E058E83" w:rsidR="002B157E" w:rsidRPr="00E01305" w:rsidRDefault="002B157E" w:rsidP="002B157E">
      <w:pPr>
        <w:pStyle w:val="ListParagraph"/>
        <w:jc w:val="both"/>
        <w:rPr>
          <w:rFonts w:ascii="Arial Narrow" w:hAnsi="Arial Narrow" w:cs="Times New Roman"/>
          <w:b/>
          <w:color w:val="1F497D" w:themeColor="text2"/>
          <w:sz w:val="24"/>
          <w:szCs w:val="24"/>
        </w:rPr>
      </w:pPr>
      <w:r w:rsidRPr="00E01305">
        <w:rPr>
          <w:rFonts w:ascii="Arial Narrow" w:hAnsi="Arial Narrow" w:cs="Times New Roman"/>
          <w:b/>
          <w:color w:val="1F497D" w:themeColor="text2"/>
          <w:sz w:val="24"/>
          <w:szCs w:val="24"/>
        </w:rPr>
        <w:t>Κύριες Ευκαιρίες</w:t>
      </w:r>
    </w:p>
    <w:p w14:paraId="5638E6A5" w14:textId="46013541" w:rsidR="002B157E" w:rsidRDefault="002B157E" w:rsidP="002B157E">
      <w:pPr>
        <w:pStyle w:val="ListParagraph"/>
        <w:numPr>
          <w:ilvl w:val="0"/>
          <w:numId w:val="21"/>
        </w:numPr>
        <w:jc w:val="both"/>
        <w:rPr>
          <w:rFonts w:ascii="Arial Narrow" w:hAnsi="Arial Narrow" w:cs="Times New Roman"/>
          <w:sz w:val="24"/>
          <w:szCs w:val="24"/>
        </w:rPr>
      </w:pPr>
      <w:r w:rsidRPr="002B157E">
        <w:rPr>
          <w:rFonts w:ascii="Arial Narrow" w:hAnsi="Arial Narrow" w:cs="Times New Roman"/>
          <w:sz w:val="24"/>
          <w:szCs w:val="24"/>
        </w:rPr>
        <w:t xml:space="preserve">Ενίσχυση </w:t>
      </w:r>
      <w:r>
        <w:rPr>
          <w:rFonts w:ascii="Arial Narrow" w:hAnsi="Arial Narrow" w:cs="Times New Roman"/>
          <w:sz w:val="24"/>
          <w:szCs w:val="24"/>
        </w:rPr>
        <w:t xml:space="preserve">ρόλου περιφερειακού εμπορικού κέντρου (λιμάνια, </w:t>
      </w:r>
      <w:r>
        <w:rPr>
          <w:rFonts w:ascii="Arial Narrow" w:hAnsi="Arial Narrow" w:cs="Times New Roman"/>
          <w:sz w:val="24"/>
          <w:szCs w:val="24"/>
          <w:lang w:val="en-US"/>
        </w:rPr>
        <w:t>free</w:t>
      </w:r>
      <w:r w:rsidRPr="002B157E">
        <w:rPr>
          <w:rFonts w:ascii="Arial Narrow" w:hAnsi="Arial Narrow" w:cs="Times New Roman"/>
          <w:sz w:val="24"/>
          <w:szCs w:val="24"/>
        </w:rPr>
        <w:t xml:space="preserve"> </w:t>
      </w:r>
      <w:r>
        <w:rPr>
          <w:rFonts w:ascii="Arial Narrow" w:hAnsi="Arial Narrow" w:cs="Times New Roman"/>
          <w:sz w:val="24"/>
          <w:szCs w:val="24"/>
          <w:lang w:val="en-US"/>
        </w:rPr>
        <w:t>zones</w:t>
      </w:r>
      <w:r w:rsidRPr="002B157E">
        <w:rPr>
          <w:rFonts w:ascii="Arial Narrow" w:hAnsi="Arial Narrow" w:cs="Times New Roman"/>
          <w:sz w:val="24"/>
          <w:szCs w:val="24"/>
        </w:rPr>
        <w:t>,</w:t>
      </w:r>
      <w:r>
        <w:rPr>
          <w:rFonts w:ascii="Arial Narrow" w:hAnsi="Arial Narrow" w:cs="Times New Roman"/>
          <w:sz w:val="24"/>
          <w:szCs w:val="24"/>
        </w:rPr>
        <w:t xml:space="preserve"> ψηφιακή αγορά).</w:t>
      </w:r>
    </w:p>
    <w:p w14:paraId="3764D455" w14:textId="17FB9639" w:rsidR="002B157E" w:rsidRDefault="002B157E" w:rsidP="002B157E">
      <w:pPr>
        <w:pStyle w:val="ListParagraph"/>
        <w:numPr>
          <w:ilvl w:val="0"/>
          <w:numId w:val="21"/>
        </w:numPr>
        <w:jc w:val="both"/>
        <w:rPr>
          <w:rFonts w:ascii="Arial Narrow" w:hAnsi="Arial Narrow" w:cs="Times New Roman"/>
          <w:sz w:val="24"/>
          <w:szCs w:val="24"/>
        </w:rPr>
      </w:pPr>
      <w:r>
        <w:rPr>
          <w:rFonts w:ascii="Arial Narrow" w:hAnsi="Arial Narrow" w:cs="Times New Roman"/>
          <w:sz w:val="24"/>
          <w:szCs w:val="24"/>
        </w:rPr>
        <w:t>Ηγεσία στην ενεργειακή μετάβαση και πράσινο υδρογόνο.</w:t>
      </w:r>
    </w:p>
    <w:p w14:paraId="29BEC6D3" w14:textId="614D9DC1" w:rsidR="002B157E" w:rsidRDefault="002B157E" w:rsidP="002B157E">
      <w:pPr>
        <w:pStyle w:val="ListParagraph"/>
        <w:numPr>
          <w:ilvl w:val="0"/>
          <w:numId w:val="21"/>
        </w:numPr>
        <w:jc w:val="both"/>
        <w:rPr>
          <w:rFonts w:ascii="Arial Narrow" w:hAnsi="Arial Narrow" w:cs="Times New Roman"/>
          <w:sz w:val="24"/>
          <w:szCs w:val="24"/>
        </w:rPr>
      </w:pPr>
      <w:r>
        <w:rPr>
          <w:rFonts w:ascii="Arial Narrow" w:hAnsi="Arial Narrow" w:cs="Times New Roman"/>
          <w:sz w:val="24"/>
          <w:szCs w:val="24"/>
        </w:rPr>
        <w:t xml:space="preserve">Κυριαρχία στο τομέα </w:t>
      </w:r>
      <w:r>
        <w:rPr>
          <w:rFonts w:ascii="Arial Narrow" w:hAnsi="Arial Narrow" w:cs="Times New Roman"/>
          <w:sz w:val="24"/>
          <w:szCs w:val="24"/>
          <w:lang w:val="en-US"/>
        </w:rPr>
        <w:t>AI</w:t>
      </w:r>
      <w:r w:rsidRPr="002B157E">
        <w:rPr>
          <w:rFonts w:ascii="Arial Narrow" w:hAnsi="Arial Narrow" w:cs="Times New Roman"/>
          <w:sz w:val="24"/>
          <w:szCs w:val="24"/>
        </w:rPr>
        <w:t xml:space="preserve"> </w:t>
      </w:r>
      <w:r>
        <w:rPr>
          <w:rFonts w:ascii="Arial Narrow" w:hAnsi="Arial Narrow" w:cs="Times New Roman"/>
          <w:sz w:val="24"/>
          <w:szCs w:val="24"/>
        </w:rPr>
        <w:t>και ψηφιακής οικονομίας.</w:t>
      </w:r>
    </w:p>
    <w:p w14:paraId="79A9D5FE" w14:textId="189E8514" w:rsidR="002B157E" w:rsidRDefault="00473BAE" w:rsidP="002B157E">
      <w:pPr>
        <w:pStyle w:val="ListParagraph"/>
        <w:numPr>
          <w:ilvl w:val="0"/>
          <w:numId w:val="21"/>
        </w:numPr>
        <w:jc w:val="both"/>
        <w:rPr>
          <w:rFonts w:ascii="Arial Narrow" w:hAnsi="Arial Narrow" w:cs="Times New Roman"/>
          <w:sz w:val="24"/>
          <w:szCs w:val="24"/>
        </w:rPr>
      </w:pPr>
      <w:r>
        <w:rPr>
          <w:rFonts w:ascii="Arial Narrow" w:hAnsi="Arial Narrow" w:cs="Times New Roman"/>
          <w:sz w:val="24"/>
          <w:szCs w:val="24"/>
        </w:rPr>
        <w:t>Καινοτομία σε χρηματοοικονομικές υπηρεσίες (</w:t>
      </w:r>
      <w:r>
        <w:rPr>
          <w:rFonts w:ascii="Arial Narrow" w:hAnsi="Arial Narrow" w:cs="Times New Roman"/>
          <w:sz w:val="24"/>
          <w:szCs w:val="24"/>
          <w:lang w:val="en-US"/>
        </w:rPr>
        <w:t>fintech</w:t>
      </w:r>
      <w:r w:rsidRPr="00473BAE">
        <w:rPr>
          <w:rFonts w:ascii="Arial Narrow" w:hAnsi="Arial Narrow" w:cs="Times New Roman"/>
          <w:sz w:val="24"/>
          <w:szCs w:val="24"/>
        </w:rPr>
        <w:t xml:space="preserve">, </w:t>
      </w:r>
      <w:r>
        <w:rPr>
          <w:rFonts w:ascii="Arial Narrow" w:hAnsi="Arial Narrow" w:cs="Times New Roman"/>
          <w:sz w:val="24"/>
          <w:szCs w:val="24"/>
          <w:lang w:val="en-US"/>
        </w:rPr>
        <w:t>Islamic</w:t>
      </w:r>
      <w:r w:rsidRPr="00473BAE">
        <w:rPr>
          <w:rFonts w:ascii="Arial Narrow" w:hAnsi="Arial Narrow" w:cs="Times New Roman"/>
          <w:sz w:val="24"/>
          <w:szCs w:val="24"/>
        </w:rPr>
        <w:t xml:space="preserve"> </w:t>
      </w:r>
      <w:r>
        <w:rPr>
          <w:rFonts w:ascii="Arial Narrow" w:hAnsi="Arial Narrow" w:cs="Times New Roman"/>
          <w:sz w:val="24"/>
          <w:szCs w:val="24"/>
          <w:lang w:val="en-US"/>
        </w:rPr>
        <w:t>Finance</w:t>
      </w:r>
      <w:r w:rsidRPr="00473BAE">
        <w:rPr>
          <w:rFonts w:ascii="Arial Narrow" w:hAnsi="Arial Narrow" w:cs="Times New Roman"/>
          <w:sz w:val="24"/>
          <w:szCs w:val="24"/>
        </w:rPr>
        <w:t xml:space="preserve">, </w:t>
      </w:r>
      <w:r>
        <w:rPr>
          <w:rFonts w:ascii="Arial Narrow" w:hAnsi="Arial Narrow" w:cs="Times New Roman"/>
          <w:sz w:val="24"/>
          <w:szCs w:val="24"/>
          <w:lang w:val="en-US"/>
        </w:rPr>
        <w:t>DIFC</w:t>
      </w:r>
      <w:r w:rsidRPr="00473BAE">
        <w:rPr>
          <w:rFonts w:ascii="Arial Narrow" w:hAnsi="Arial Narrow" w:cs="Times New Roman"/>
          <w:sz w:val="24"/>
          <w:szCs w:val="24"/>
        </w:rPr>
        <w:t>).</w:t>
      </w:r>
    </w:p>
    <w:p w14:paraId="146407DE" w14:textId="26E0A9E0" w:rsidR="00473BAE" w:rsidRDefault="00473BAE" w:rsidP="002B157E">
      <w:pPr>
        <w:pStyle w:val="ListParagraph"/>
        <w:numPr>
          <w:ilvl w:val="0"/>
          <w:numId w:val="21"/>
        </w:numPr>
        <w:jc w:val="both"/>
        <w:rPr>
          <w:rFonts w:ascii="Arial Narrow" w:hAnsi="Arial Narrow" w:cs="Times New Roman"/>
          <w:sz w:val="24"/>
          <w:szCs w:val="24"/>
        </w:rPr>
      </w:pPr>
      <w:r>
        <w:rPr>
          <w:rFonts w:ascii="Arial Narrow" w:hAnsi="Arial Narrow" w:cs="Times New Roman"/>
          <w:sz w:val="24"/>
          <w:szCs w:val="24"/>
        </w:rPr>
        <w:t xml:space="preserve">Διευρυμένο δίκτυο </w:t>
      </w:r>
      <w:r>
        <w:rPr>
          <w:rFonts w:ascii="Arial Narrow" w:hAnsi="Arial Narrow" w:cs="Times New Roman"/>
          <w:sz w:val="24"/>
          <w:szCs w:val="24"/>
          <w:lang w:val="en-US"/>
        </w:rPr>
        <w:t>CEPA</w:t>
      </w:r>
      <w:r w:rsidRPr="00473BAE">
        <w:rPr>
          <w:rFonts w:ascii="Arial Narrow" w:hAnsi="Arial Narrow" w:cs="Times New Roman"/>
          <w:sz w:val="24"/>
          <w:szCs w:val="24"/>
        </w:rPr>
        <w:t xml:space="preserve"> – </w:t>
      </w:r>
      <w:r>
        <w:rPr>
          <w:rFonts w:ascii="Arial Narrow" w:hAnsi="Arial Narrow" w:cs="Times New Roman"/>
          <w:sz w:val="24"/>
          <w:szCs w:val="24"/>
        </w:rPr>
        <w:t>νέες δυνατότητες εμπορίου και επενδύσεων</w:t>
      </w:r>
    </w:p>
    <w:p w14:paraId="1FFACC00" w14:textId="09141B61" w:rsidR="00473BAE" w:rsidRDefault="00473BAE" w:rsidP="00473BAE">
      <w:pPr>
        <w:pStyle w:val="ListParagraph"/>
        <w:numPr>
          <w:ilvl w:val="0"/>
          <w:numId w:val="21"/>
        </w:numPr>
        <w:jc w:val="both"/>
        <w:rPr>
          <w:rFonts w:ascii="Arial Narrow" w:hAnsi="Arial Narrow" w:cs="Times New Roman"/>
          <w:sz w:val="24"/>
          <w:szCs w:val="24"/>
        </w:rPr>
      </w:pPr>
      <w:r>
        <w:rPr>
          <w:rFonts w:ascii="Arial Narrow" w:hAnsi="Arial Narrow" w:cs="Times New Roman"/>
          <w:sz w:val="24"/>
          <w:szCs w:val="24"/>
        </w:rPr>
        <w:t>Ανάπτυξη τουρισμού και φιλοξενίας.</w:t>
      </w:r>
    </w:p>
    <w:p w14:paraId="4C3B79E5" w14:textId="20C01611" w:rsidR="00473BAE" w:rsidRPr="00E01305" w:rsidRDefault="00473BAE" w:rsidP="00473BAE">
      <w:pPr>
        <w:ind w:left="360"/>
        <w:jc w:val="both"/>
        <w:rPr>
          <w:rFonts w:ascii="Arial Narrow" w:hAnsi="Arial Narrow" w:cs="Times New Roman"/>
          <w:b/>
          <w:color w:val="1F497D" w:themeColor="text2"/>
          <w:sz w:val="24"/>
          <w:szCs w:val="24"/>
        </w:rPr>
      </w:pPr>
      <w:r>
        <w:rPr>
          <w:rFonts w:ascii="Arial Narrow" w:hAnsi="Arial Narrow" w:cs="Times New Roman"/>
          <w:color w:val="1F497D" w:themeColor="text2"/>
          <w:sz w:val="24"/>
          <w:szCs w:val="24"/>
        </w:rPr>
        <w:t xml:space="preserve">   </w:t>
      </w:r>
      <w:r w:rsidRPr="00E01305">
        <w:rPr>
          <w:rFonts w:ascii="Arial Narrow" w:hAnsi="Arial Narrow" w:cs="Times New Roman"/>
          <w:b/>
          <w:color w:val="1F497D" w:themeColor="text2"/>
          <w:sz w:val="24"/>
          <w:szCs w:val="24"/>
        </w:rPr>
        <w:tab/>
        <w:t xml:space="preserve">Κίνδυνοι και Προκλήσεις – Γεωπολιτικοί Κίνδυνοι </w:t>
      </w:r>
    </w:p>
    <w:p w14:paraId="27B697B3" w14:textId="077A2451" w:rsidR="00473BAE" w:rsidRPr="00473BAE" w:rsidRDefault="00473BAE" w:rsidP="00473BAE">
      <w:pPr>
        <w:pStyle w:val="ListParagraph"/>
        <w:numPr>
          <w:ilvl w:val="0"/>
          <w:numId w:val="25"/>
        </w:numPr>
        <w:jc w:val="both"/>
        <w:rPr>
          <w:rFonts w:ascii="Arial Narrow" w:hAnsi="Arial Narrow" w:cs="Times New Roman"/>
          <w:sz w:val="24"/>
          <w:szCs w:val="24"/>
        </w:rPr>
      </w:pPr>
      <w:r w:rsidRPr="00473BAE">
        <w:rPr>
          <w:rFonts w:ascii="Arial Narrow" w:hAnsi="Arial Narrow" w:cs="Times New Roman"/>
          <w:sz w:val="24"/>
          <w:szCs w:val="24"/>
        </w:rPr>
        <w:t>Διαταραχές ελεύθερης ναυσιπλόϊας στην Ερυθρά Θάλασσα και στα Στενά του Ορμούζ (αυξημένα ασφάλιστρα, κόστος μεταφοράς</w:t>
      </w:r>
    </w:p>
    <w:p w14:paraId="73CFF46A" w14:textId="5E4E847A" w:rsidR="00473BAE" w:rsidRDefault="00473BAE" w:rsidP="00473BAE">
      <w:pPr>
        <w:pStyle w:val="ListParagraph"/>
        <w:numPr>
          <w:ilvl w:val="0"/>
          <w:numId w:val="24"/>
        </w:numPr>
        <w:jc w:val="both"/>
        <w:rPr>
          <w:rFonts w:ascii="Arial Narrow" w:hAnsi="Arial Narrow" w:cs="Times New Roman"/>
          <w:sz w:val="24"/>
          <w:szCs w:val="24"/>
        </w:rPr>
      </w:pPr>
      <w:r>
        <w:rPr>
          <w:rFonts w:ascii="Arial Narrow" w:hAnsi="Arial Narrow" w:cs="Times New Roman"/>
          <w:sz w:val="24"/>
          <w:szCs w:val="24"/>
        </w:rPr>
        <w:t>Περιορισμοί εναέριου χώρου και αναδρομολόγηση πτήσεων (αυξημένα λειτουργικά κόστη)</w:t>
      </w:r>
    </w:p>
    <w:p w14:paraId="053D2AC5" w14:textId="5099D166" w:rsidR="00473BAE" w:rsidRDefault="00473BAE" w:rsidP="00473BAE">
      <w:pPr>
        <w:pStyle w:val="ListParagraph"/>
        <w:numPr>
          <w:ilvl w:val="0"/>
          <w:numId w:val="24"/>
        </w:numPr>
        <w:jc w:val="both"/>
        <w:rPr>
          <w:rFonts w:ascii="Arial Narrow" w:hAnsi="Arial Narrow" w:cs="Times New Roman"/>
          <w:sz w:val="24"/>
          <w:szCs w:val="24"/>
        </w:rPr>
      </w:pPr>
      <w:r>
        <w:rPr>
          <w:rFonts w:ascii="Arial Narrow" w:hAnsi="Arial Narrow" w:cs="Times New Roman"/>
          <w:sz w:val="24"/>
          <w:szCs w:val="24"/>
        </w:rPr>
        <w:t>Παγκόσμια Γεωπολιτική Αστάθεια (επιπτώσεις στη ροή κεφαλαίων και εμπορίου)</w:t>
      </w:r>
    </w:p>
    <w:p w14:paraId="3803198F" w14:textId="69F8652E" w:rsidR="00473BAE" w:rsidRDefault="00473BAE" w:rsidP="00473BAE">
      <w:pPr>
        <w:pStyle w:val="ListParagraph"/>
        <w:jc w:val="both"/>
        <w:rPr>
          <w:rFonts w:ascii="Arial Narrow" w:hAnsi="Arial Narrow" w:cs="Times New Roman"/>
          <w:sz w:val="24"/>
          <w:szCs w:val="24"/>
        </w:rPr>
      </w:pPr>
    </w:p>
    <w:p w14:paraId="794E7491" w14:textId="02661BC8" w:rsidR="00473BAE" w:rsidRPr="00E01305" w:rsidRDefault="00037A0B" w:rsidP="00473BAE">
      <w:pPr>
        <w:pStyle w:val="ListParagraph"/>
        <w:jc w:val="both"/>
        <w:rPr>
          <w:rFonts w:ascii="Arial Narrow" w:hAnsi="Arial Narrow" w:cs="Times New Roman"/>
          <w:b/>
          <w:color w:val="1F497D" w:themeColor="text2"/>
          <w:sz w:val="24"/>
          <w:szCs w:val="24"/>
        </w:rPr>
      </w:pPr>
      <w:r w:rsidRPr="00E01305">
        <w:rPr>
          <w:rFonts w:ascii="Arial Narrow" w:hAnsi="Arial Narrow" w:cs="Times New Roman"/>
          <w:b/>
          <w:color w:val="1F497D" w:themeColor="text2"/>
          <w:sz w:val="24"/>
          <w:szCs w:val="24"/>
        </w:rPr>
        <w:t>Οικονομικές Προκλήσεις</w:t>
      </w:r>
    </w:p>
    <w:p w14:paraId="22446FBF" w14:textId="367FACAF" w:rsidR="00037A0B" w:rsidRDefault="00037A0B" w:rsidP="00473BAE">
      <w:pPr>
        <w:pStyle w:val="ListParagraph"/>
        <w:jc w:val="both"/>
        <w:rPr>
          <w:rFonts w:ascii="Arial Narrow" w:hAnsi="Arial Narrow" w:cs="Times New Roman"/>
          <w:color w:val="1F497D" w:themeColor="text2"/>
          <w:sz w:val="24"/>
          <w:szCs w:val="24"/>
        </w:rPr>
      </w:pPr>
    </w:p>
    <w:p w14:paraId="5B108C31" w14:textId="635E9EFE" w:rsidR="00037A0B" w:rsidRDefault="00037A0B" w:rsidP="00037A0B">
      <w:pPr>
        <w:pStyle w:val="ListParagraph"/>
        <w:numPr>
          <w:ilvl w:val="0"/>
          <w:numId w:val="24"/>
        </w:numPr>
        <w:jc w:val="both"/>
        <w:rPr>
          <w:rFonts w:ascii="Arial Narrow" w:hAnsi="Arial Narrow" w:cs="Times New Roman"/>
          <w:sz w:val="24"/>
          <w:szCs w:val="24"/>
        </w:rPr>
      </w:pPr>
      <w:r>
        <w:rPr>
          <w:rFonts w:ascii="Arial Narrow" w:hAnsi="Arial Narrow" w:cs="Times New Roman"/>
          <w:sz w:val="24"/>
          <w:szCs w:val="24"/>
        </w:rPr>
        <w:t>Ευαισθησία τιμών πετρελαίου (παρά την διαφοροποίηση, υδρογονάνθρακες παραμένουν σημαντικοί).</w:t>
      </w:r>
    </w:p>
    <w:p w14:paraId="4006597B" w14:textId="760E7020" w:rsidR="00037A0B" w:rsidRDefault="00037A0B" w:rsidP="00037A0B">
      <w:pPr>
        <w:pStyle w:val="ListParagraph"/>
        <w:numPr>
          <w:ilvl w:val="0"/>
          <w:numId w:val="24"/>
        </w:numPr>
        <w:jc w:val="both"/>
        <w:rPr>
          <w:rFonts w:ascii="Arial Narrow" w:hAnsi="Arial Narrow" w:cs="Times New Roman"/>
          <w:sz w:val="24"/>
          <w:szCs w:val="24"/>
        </w:rPr>
      </w:pPr>
      <w:r>
        <w:rPr>
          <w:rFonts w:ascii="Arial Narrow" w:hAnsi="Arial Narrow" w:cs="Times New Roman"/>
          <w:sz w:val="24"/>
          <w:szCs w:val="24"/>
        </w:rPr>
        <w:t xml:space="preserve">Κινδύνους υπεράριθμης ακίνητης περιουσίας (ορισμένα τμήματα </w:t>
      </w:r>
      <w:r>
        <w:rPr>
          <w:rFonts w:ascii="Arial Narrow" w:hAnsi="Arial Narrow" w:cs="Times New Roman"/>
          <w:sz w:val="24"/>
          <w:szCs w:val="24"/>
          <w:lang w:val="en-US"/>
        </w:rPr>
        <w:t>residential</w:t>
      </w:r>
      <w:r w:rsidRPr="00037A0B">
        <w:rPr>
          <w:rFonts w:ascii="Arial Narrow" w:hAnsi="Arial Narrow" w:cs="Times New Roman"/>
          <w:sz w:val="24"/>
          <w:szCs w:val="24"/>
        </w:rPr>
        <w:t xml:space="preserve"> &amp; </w:t>
      </w:r>
      <w:r>
        <w:rPr>
          <w:rFonts w:ascii="Arial Narrow" w:hAnsi="Arial Narrow" w:cs="Times New Roman"/>
          <w:sz w:val="24"/>
          <w:szCs w:val="24"/>
          <w:lang w:val="en-US"/>
        </w:rPr>
        <w:t>commercial</w:t>
      </w:r>
      <w:r w:rsidRPr="00037A0B">
        <w:rPr>
          <w:rFonts w:ascii="Arial Narrow" w:hAnsi="Arial Narrow" w:cs="Times New Roman"/>
          <w:sz w:val="24"/>
          <w:szCs w:val="24"/>
        </w:rPr>
        <w:t>)</w:t>
      </w:r>
    </w:p>
    <w:p w14:paraId="22F071F0" w14:textId="36175017" w:rsidR="00037A0B" w:rsidRDefault="00037A0B" w:rsidP="00037A0B">
      <w:pPr>
        <w:pStyle w:val="ListParagraph"/>
        <w:numPr>
          <w:ilvl w:val="0"/>
          <w:numId w:val="24"/>
        </w:numPr>
        <w:jc w:val="both"/>
        <w:rPr>
          <w:rFonts w:ascii="Arial Narrow" w:hAnsi="Arial Narrow" w:cs="Times New Roman"/>
          <w:sz w:val="24"/>
          <w:szCs w:val="24"/>
        </w:rPr>
      </w:pPr>
      <w:r>
        <w:rPr>
          <w:rFonts w:ascii="Arial Narrow" w:hAnsi="Arial Narrow" w:cs="Times New Roman"/>
          <w:sz w:val="24"/>
          <w:szCs w:val="24"/>
        </w:rPr>
        <w:t>Πιέσεις Πληθωρισμού μη – εμπορευμάτων (στέγη και υπηρεσίες) και πιέσεις στους μισθούς και τις απολαβές εργαζομένων</w:t>
      </w:r>
    </w:p>
    <w:p w14:paraId="37685E38" w14:textId="0BF51621" w:rsidR="00037A0B" w:rsidRDefault="00037A0B" w:rsidP="00037A0B">
      <w:pPr>
        <w:pStyle w:val="ListParagraph"/>
        <w:numPr>
          <w:ilvl w:val="0"/>
          <w:numId w:val="24"/>
        </w:numPr>
        <w:jc w:val="both"/>
        <w:rPr>
          <w:rFonts w:ascii="Arial Narrow" w:hAnsi="Arial Narrow" w:cs="Times New Roman"/>
          <w:sz w:val="24"/>
          <w:szCs w:val="24"/>
        </w:rPr>
      </w:pPr>
      <w:r>
        <w:rPr>
          <w:rFonts w:ascii="Arial Narrow" w:hAnsi="Arial Narrow" w:cs="Times New Roman"/>
          <w:sz w:val="24"/>
          <w:szCs w:val="24"/>
        </w:rPr>
        <w:t xml:space="preserve">Περιορισμένη εγχώρια αγορά – συνεχής εξάρτηση από εξωτερικές αγορές </w:t>
      </w:r>
    </w:p>
    <w:p w14:paraId="5031D162" w14:textId="77777777" w:rsidR="00037A0B" w:rsidRDefault="00037A0B" w:rsidP="00037A0B">
      <w:pPr>
        <w:ind w:left="720"/>
        <w:jc w:val="both"/>
        <w:rPr>
          <w:rFonts w:ascii="Arial Narrow" w:hAnsi="Arial Narrow" w:cs="Times New Roman"/>
          <w:color w:val="1F497D" w:themeColor="text2"/>
          <w:sz w:val="24"/>
          <w:szCs w:val="24"/>
        </w:rPr>
      </w:pPr>
      <w:r w:rsidRPr="00037A0B">
        <w:rPr>
          <w:rFonts w:ascii="Arial Narrow" w:hAnsi="Arial Narrow" w:cs="Times New Roman"/>
          <w:color w:val="1F497D" w:themeColor="text2"/>
          <w:sz w:val="24"/>
          <w:szCs w:val="24"/>
        </w:rPr>
        <w:t>Κλιματικές και Βιώσιμες Προκλήσεις</w:t>
      </w:r>
    </w:p>
    <w:p w14:paraId="32571CCC" w14:textId="4E2567E4" w:rsidR="00037A0B" w:rsidRDefault="00037A0B" w:rsidP="00037A0B">
      <w:pPr>
        <w:pStyle w:val="ListParagraph"/>
        <w:numPr>
          <w:ilvl w:val="0"/>
          <w:numId w:val="24"/>
        </w:numPr>
        <w:jc w:val="both"/>
        <w:rPr>
          <w:rFonts w:ascii="Arial Narrow" w:hAnsi="Arial Narrow" w:cs="Times New Roman"/>
          <w:color w:val="1F497D" w:themeColor="text2"/>
          <w:sz w:val="24"/>
          <w:szCs w:val="24"/>
        </w:rPr>
      </w:pPr>
      <w:r w:rsidRPr="00037A0B">
        <w:rPr>
          <w:rFonts w:ascii="Arial Narrow" w:hAnsi="Arial Narrow" w:cs="Times New Roman"/>
          <w:sz w:val="24"/>
          <w:szCs w:val="24"/>
        </w:rPr>
        <w:t>Σπανιότητα γλυκού νερού</w:t>
      </w:r>
      <w:r w:rsidRPr="00037A0B">
        <w:rPr>
          <w:rFonts w:ascii="Arial Narrow" w:hAnsi="Arial Narrow" w:cs="Times New Roman"/>
          <w:color w:val="1F497D" w:themeColor="text2"/>
          <w:sz w:val="24"/>
          <w:szCs w:val="24"/>
        </w:rPr>
        <w:t xml:space="preserve"> </w:t>
      </w:r>
    </w:p>
    <w:p w14:paraId="26BEDBC9" w14:textId="77777777" w:rsidR="00854791" w:rsidRDefault="00037A0B" w:rsidP="00E923A4">
      <w:pPr>
        <w:pStyle w:val="ListParagraph"/>
        <w:numPr>
          <w:ilvl w:val="0"/>
          <w:numId w:val="24"/>
        </w:numPr>
        <w:jc w:val="both"/>
        <w:rPr>
          <w:rFonts w:ascii="Arial Narrow" w:hAnsi="Arial Narrow" w:cs="Times New Roman"/>
          <w:sz w:val="24"/>
          <w:szCs w:val="24"/>
        </w:rPr>
      </w:pPr>
      <w:r w:rsidRPr="00037A0B">
        <w:rPr>
          <w:rFonts w:ascii="Arial Narrow" w:hAnsi="Arial Narrow" w:cs="Times New Roman"/>
          <w:sz w:val="24"/>
          <w:szCs w:val="24"/>
        </w:rPr>
        <w:t xml:space="preserve">Ακραίες Θερμοκρασίες (επιπτώσεις </w:t>
      </w:r>
      <w:r w:rsidR="003D00F0">
        <w:rPr>
          <w:rFonts w:ascii="Arial Narrow" w:hAnsi="Arial Narrow" w:cs="Times New Roman"/>
          <w:sz w:val="24"/>
          <w:szCs w:val="24"/>
        </w:rPr>
        <w:t>στην παραγωγικότητα και τις υποδομές)</w:t>
      </w:r>
    </w:p>
    <w:p w14:paraId="5BF4F0D5" w14:textId="77777777" w:rsidR="00854791" w:rsidRDefault="00854791" w:rsidP="00854791">
      <w:pPr>
        <w:pStyle w:val="ListParagraph"/>
        <w:jc w:val="both"/>
        <w:rPr>
          <w:rFonts w:ascii="Arial Narrow" w:hAnsi="Arial Narrow" w:cs="Times New Roman"/>
          <w:b/>
          <w:sz w:val="24"/>
          <w:szCs w:val="24"/>
        </w:rPr>
      </w:pPr>
    </w:p>
    <w:p w14:paraId="27C9771E" w14:textId="54926845" w:rsidR="00AB1454" w:rsidRPr="00E01305" w:rsidRDefault="00B86C51" w:rsidP="00205BE4">
      <w:pPr>
        <w:ind w:firstLine="360"/>
        <w:jc w:val="both"/>
        <w:rPr>
          <w:rFonts w:ascii="Arial Narrow" w:hAnsi="Arial Narrow" w:cs="Times New Roman"/>
          <w:color w:val="1F497D" w:themeColor="text2"/>
          <w:sz w:val="28"/>
          <w:szCs w:val="28"/>
        </w:rPr>
      </w:pPr>
      <w:r>
        <w:rPr>
          <w:rFonts w:ascii="Arial Narrow" w:hAnsi="Arial Narrow" w:cs="Times New Roman"/>
          <w:b/>
          <w:color w:val="1F497D" w:themeColor="text2"/>
          <w:sz w:val="28"/>
          <w:szCs w:val="28"/>
        </w:rPr>
        <w:t xml:space="preserve">11.4. </w:t>
      </w:r>
      <w:r w:rsidR="00C1686E" w:rsidRPr="00E01305">
        <w:rPr>
          <w:rFonts w:ascii="Arial Narrow" w:hAnsi="Arial Narrow" w:cs="Times New Roman"/>
          <w:b/>
          <w:color w:val="1F497D" w:themeColor="text2"/>
          <w:sz w:val="28"/>
          <w:szCs w:val="28"/>
        </w:rPr>
        <w:t xml:space="preserve"> </w:t>
      </w:r>
      <w:r w:rsidR="00AB1454" w:rsidRPr="00E01305">
        <w:rPr>
          <w:rFonts w:ascii="Arial Narrow" w:hAnsi="Arial Narrow" w:cs="Times New Roman"/>
          <w:b/>
          <w:color w:val="1F497D" w:themeColor="text2"/>
          <w:sz w:val="28"/>
          <w:szCs w:val="28"/>
        </w:rPr>
        <w:t>Πρωτογενής Τομέας</w:t>
      </w:r>
      <w:r w:rsidR="00C1686E" w:rsidRPr="00E01305">
        <w:rPr>
          <w:rFonts w:ascii="Arial Narrow" w:hAnsi="Arial Narrow" w:cs="Times New Roman"/>
          <w:b/>
          <w:color w:val="1F497D" w:themeColor="text2"/>
          <w:sz w:val="28"/>
          <w:szCs w:val="28"/>
        </w:rPr>
        <w:t>: Γεωργία – Κτηνοτροφία - Αλιεία</w:t>
      </w:r>
    </w:p>
    <w:p w14:paraId="16771FB7" w14:textId="59CDEBD1" w:rsidR="00C0620B" w:rsidRPr="00E01305" w:rsidRDefault="00B86C51" w:rsidP="00A3361A">
      <w:pPr>
        <w:ind w:firstLine="567"/>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11.4.1.</w:t>
      </w:r>
      <w:r w:rsidR="008A7A28" w:rsidRPr="00E01305">
        <w:rPr>
          <w:rFonts w:ascii="Arial Narrow" w:hAnsi="Arial Narrow" w:cs="Times New Roman"/>
          <w:b/>
          <w:color w:val="1F497D" w:themeColor="text2"/>
          <w:sz w:val="24"/>
          <w:szCs w:val="24"/>
        </w:rPr>
        <w:t xml:space="preserve"> Εισαγωγή </w:t>
      </w:r>
    </w:p>
    <w:p w14:paraId="1F817142" w14:textId="34CBAE26" w:rsidR="008A7A28" w:rsidRDefault="008A7A28" w:rsidP="00A3361A">
      <w:pPr>
        <w:ind w:firstLine="567"/>
        <w:jc w:val="both"/>
        <w:rPr>
          <w:rFonts w:ascii="Arial Narrow" w:hAnsi="Arial Narrow" w:cs="Times New Roman"/>
          <w:sz w:val="24"/>
          <w:szCs w:val="24"/>
        </w:rPr>
      </w:pPr>
      <w:r>
        <w:rPr>
          <w:rFonts w:ascii="Arial Narrow" w:hAnsi="Arial Narrow" w:cs="Times New Roman"/>
          <w:sz w:val="24"/>
          <w:szCs w:val="24"/>
        </w:rPr>
        <w:t xml:space="preserve">Ο πρωτογενής τομέας των Ηνωμένων Αραβικών Εμιράτων περιλαμβάνει τη γεωργία, την κτηνοτροφία, την αλιεία και τις υδατοκαλλιέργειες. Παρά το γεγονός ότι η συνεισφορά του στο ΑΕΠ της χώρας παραμένει περιορισμένη (κάτω από το 1%), ο τομέας αποκτά ολοένα και μεγαλύτερη στρατηγική σημασία λόγω των πολιτικών επισιτιστικής ασφάλειας </w:t>
      </w:r>
      <w:r w:rsidRPr="008A7A28">
        <w:rPr>
          <w:rFonts w:ascii="Arial Narrow" w:hAnsi="Arial Narrow" w:cs="Times New Roman"/>
          <w:b/>
          <w:sz w:val="24"/>
          <w:szCs w:val="24"/>
        </w:rPr>
        <w:t>(</w:t>
      </w:r>
      <w:r w:rsidRPr="008A7A28">
        <w:rPr>
          <w:rFonts w:ascii="Arial Narrow" w:hAnsi="Arial Narrow" w:cs="Times New Roman"/>
          <w:b/>
          <w:sz w:val="24"/>
          <w:szCs w:val="24"/>
          <w:lang w:val="en-US"/>
        </w:rPr>
        <w:t>Food</w:t>
      </w:r>
      <w:r w:rsidRPr="008A7A28">
        <w:rPr>
          <w:rFonts w:ascii="Arial Narrow" w:hAnsi="Arial Narrow" w:cs="Times New Roman"/>
          <w:b/>
          <w:sz w:val="24"/>
          <w:szCs w:val="24"/>
        </w:rPr>
        <w:t xml:space="preserve"> </w:t>
      </w:r>
      <w:r w:rsidRPr="008A7A28">
        <w:rPr>
          <w:rFonts w:ascii="Arial Narrow" w:hAnsi="Arial Narrow" w:cs="Times New Roman"/>
          <w:b/>
          <w:sz w:val="24"/>
          <w:szCs w:val="24"/>
          <w:lang w:val="en-US"/>
        </w:rPr>
        <w:t>Security</w:t>
      </w:r>
      <w:r w:rsidRPr="008A7A28">
        <w:rPr>
          <w:rFonts w:ascii="Arial Narrow" w:hAnsi="Arial Narrow" w:cs="Times New Roman"/>
          <w:b/>
          <w:sz w:val="24"/>
          <w:szCs w:val="24"/>
        </w:rPr>
        <w:t xml:space="preserve"> </w:t>
      </w:r>
      <w:r w:rsidRPr="008A7A28">
        <w:rPr>
          <w:rFonts w:ascii="Arial Narrow" w:hAnsi="Arial Narrow" w:cs="Times New Roman"/>
          <w:b/>
          <w:sz w:val="24"/>
          <w:szCs w:val="24"/>
          <w:lang w:val="en-US"/>
        </w:rPr>
        <w:t>Strategy</w:t>
      </w:r>
      <w:r w:rsidRPr="008A7A28">
        <w:rPr>
          <w:rFonts w:ascii="Arial Narrow" w:hAnsi="Arial Narrow" w:cs="Times New Roman"/>
          <w:b/>
          <w:sz w:val="24"/>
          <w:szCs w:val="24"/>
        </w:rPr>
        <w:t xml:space="preserve"> 2051)</w:t>
      </w:r>
      <w:r w:rsidR="00464066">
        <w:rPr>
          <w:rFonts w:ascii="Arial Narrow" w:hAnsi="Arial Narrow" w:cs="Times New Roman"/>
          <w:b/>
          <w:sz w:val="24"/>
          <w:szCs w:val="24"/>
        </w:rPr>
        <w:t xml:space="preserve">, </w:t>
      </w:r>
      <w:r w:rsidR="00464066">
        <w:rPr>
          <w:rFonts w:ascii="Arial Narrow" w:hAnsi="Arial Narrow" w:cs="Times New Roman"/>
          <w:sz w:val="24"/>
          <w:szCs w:val="24"/>
        </w:rPr>
        <w:t>της αύξησης του πληθυσμού και της ανάγκης μείωσης της εξάρτησης από εισαγωγές τροφίμων.</w:t>
      </w:r>
    </w:p>
    <w:p w14:paraId="04E4B74F" w14:textId="1227509C" w:rsidR="00464066" w:rsidRPr="00E01305" w:rsidRDefault="00B86C51" w:rsidP="00B86C51">
      <w:pPr>
        <w:ind w:firstLine="567"/>
        <w:jc w:val="center"/>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 xml:space="preserve">11.4.2 </w:t>
      </w:r>
      <w:r w:rsidR="00464066" w:rsidRPr="00E01305">
        <w:rPr>
          <w:rFonts w:ascii="Arial Narrow" w:hAnsi="Arial Narrow" w:cs="Times New Roman"/>
          <w:b/>
          <w:color w:val="1F497D" w:themeColor="text2"/>
          <w:sz w:val="24"/>
          <w:szCs w:val="24"/>
        </w:rPr>
        <w:t>Συμβολή του πρωτογενούς τομέα στην Οικονομία</w:t>
      </w:r>
    </w:p>
    <w:tbl>
      <w:tblPr>
        <w:tblStyle w:val="TableGrid"/>
        <w:tblW w:w="0" w:type="auto"/>
        <w:tblLook w:val="04A0" w:firstRow="1" w:lastRow="0" w:firstColumn="1" w:lastColumn="0" w:noHBand="0" w:noVBand="1"/>
      </w:tblPr>
      <w:tblGrid>
        <w:gridCol w:w="4885"/>
        <w:gridCol w:w="4886"/>
      </w:tblGrid>
      <w:tr w:rsidR="00464066" w14:paraId="38BEBC21" w14:textId="77777777" w:rsidTr="00464066">
        <w:tc>
          <w:tcPr>
            <w:tcW w:w="4885" w:type="dxa"/>
          </w:tcPr>
          <w:p w14:paraId="4259BFB3" w14:textId="40029AA5" w:rsidR="00464066" w:rsidRDefault="00464066" w:rsidP="00A3361A">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Δείκτης </w:t>
            </w:r>
          </w:p>
        </w:tc>
        <w:tc>
          <w:tcPr>
            <w:tcW w:w="4886" w:type="dxa"/>
          </w:tcPr>
          <w:p w14:paraId="081C1783" w14:textId="0528719E" w:rsidR="00464066" w:rsidRDefault="00464066" w:rsidP="00A3361A">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2025</w:t>
            </w:r>
          </w:p>
        </w:tc>
      </w:tr>
      <w:tr w:rsidR="00464066" w14:paraId="68756493" w14:textId="77777777" w:rsidTr="00464066">
        <w:tc>
          <w:tcPr>
            <w:tcW w:w="4885" w:type="dxa"/>
          </w:tcPr>
          <w:p w14:paraId="08441908" w14:textId="205FD1FF" w:rsidR="00464066" w:rsidRDefault="00464066" w:rsidP="00A3361A">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Συμμετοχή στο ΑΕΠ</w:t>
            </w:r>
          </w:p>
        </w:tc>
        <w:tc>
          <w:tcPr>
            <w:tcW w:w="4886" w:type="dxa"/>
          </w:tcPr>
          <w:p w14:paraId="3780EF9E" w14:textId="5EF5C5DC" w:rsidR="00464066" w:rsidRDefault="00464066" w:rsidP="00A3361A">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0,8% έως 1,0%</w:t>
            </w:r>
          </w:p>
        </w:tc>
      </w:tr>
      <w:tr w:rsidR="00464066" w14:paraId="1261E2DA" w14:textId="77777777" w:rsidTr="00464066">
        <w:tc>
          <w:tcPr>
            <w:tcW w:w="4885" w:type="dxa"/>
          </w:tcPr>
          <w:p w14:paraId="7AA055FB" w14:textId="16BDD7B7" w:rsidR="00464066" w:rsidRDefault="00464066" w:rsidP="00A3361A">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Αξία παραγωγής </w:t>
            </w:r>
          </w:p>
        </w:tc>
        <w:tc>
          <w:tcPr>
            <w:tcW w:w="4886" w:type="dxa"/>
          </w:tcPr>
          <w:p w14:paraId="740F84AD" w14:textId="1B0694F5" w:rsidR="00464066" w:rsidRPr="00464066" w:rsidRDefault="00464066" w:rsidP="00A3361A">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18 έως 20 δις </w:t>
            </w:r>
            <w:r>
              <w:rPr>
                <w:rFonts w:ascii="Arial Narrow" w:hAnsi="Arial Narrow" w:cs="Times New Roman"/>
                <w:color w:val="1F497D" w:themeColor="text2"/>
                <w:sz w:val="24"/>
                <w:szCs w:val="24"/>
                <w:lang w:val="en-US"/>
              </w:rPr>
              <w:t xml:space="preserve">AED </w:t>
            </w:r>
            <w:r>
              <w:rPr>
                <w:rFonts w:ascii="Arial Narrow" w:hAnsi="Arial Narrow" w:cs="Times New Roman"/>
                <w:color w:val="1F497D" w:themeColor="text2"/>
                <w:sz w:val="24"/>
                <w:szCs w:val="24"/>
              </w:rPr>
              <w:t xml:space="preserve">περίπου </w:t>
            </w:r>
          </w:p>
        </w:tc>
      </w:tr>
      <w:tr w:rsidR="00464066" w14:paraId="010DB79E" w14:textId="77777777" w:rsidTr="00464066">
        <w:tc>
          <w:tcPr>
            <w:tcW w:w="4885" w:type="dxa"/>
          </w:tcPr>
          <w:p w14:paraId="50487E5D" w14:textId="31659046" w:rsidR="00464066" w:rsidRDefault="00464066" w:rsidP="00A3361A">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Απασχόληση </w:t>
            </w:r>
          </w:p>
        </w:tc>
        <w:tc>
          <w:tcPr>
            <w:tcW w:w="4886" w:type="dxa"/>
          </w:tcPr>
          <w:p w14:paraId="0824A655" w14:textId="46FCAF1A" w:rsidR="00464066" w:rsidRDefault="00464066" w:rsidP="00A3361A">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2% έως 3% του εργατικού δυναμικού </w:t>
            </w:r>
          </w:p>
        </w:tc>
      </w:tr>
      <w:tr w:rsidR="00464066" w14:paraId="1855E4A1" w14:textId="77777777" w:rsidTr="00464066">
        <w:tc>
          <w:tcPr>
            <w:tcW w:w="4885" w:type="dxa"/>
          </w:tcPr>
          <w:p w14:paraId="0649C660" w14:textId="6E65CEA3" w:rsidR="00464066" w:rsidRDefault="00464066" w:rsidP="00A3361A">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Ποσοστό εισαγόμενων τροφίμων </w:t>
            </w:r>
          </w:p>
        </w:tc>
        <w:tc>
          <w:tcPr>
            <w:tcW w:w="4886" w:type="dxa"/>
          </w:tcPr>
          <w:p w14:paraId="574BF72A" w14:textId="751FE44B" w:rsidR="00464066" w:rsidRDefault="00464066" w:rsidP="00A3361A">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85% έως 90% </w:t>
            </w:r>
          </w:p>
        </w:tc>
      </w:tr>
    </w:tbl>
    <w:p w14:paraId="0936EF32" w14:textId="0E5615F5" w:rsidR="00212416" w:rsidRDefault="00212416" w:rsidP="00212416">
      <w:pPr>
        <w:jc w:val="both"/>
        <w:rPr>
          <w:rFonts w:ascii="Arial Narrow" w:hAnsi="Arial Narrow" w:cs="Times New Roman"/>
          <w:sz w:val="24"/>
          <w:szCs w:val="24"/>
        </w:rPr>
      </w:pPr>
      <w:r>
        <w:rPr>
          <w:rFonts w:ascii="Arial Narrow" w:hAnsi="Arial Narrow" w:cs="Times New Roman"/>
          <w:sz w:val="24"/>
          <w:szCs w:val="24"/>
        </w:rPr>
        <w:tab/>
        <w:t>Παρότι η οικονομική συνεισφορά είναι μικρή, ο τομέας είναι ζωτικής σημασίας για επισιτιστική ασφάλεια, στρατηγικά αποθέματα τροφίμων, βιώσιμη ανάπτυξη, αγροτεχνολογία (</w:t>
      </w:r>
      <w:r>
        <w:rPr>
          <w:rFonts w:ascii="Arial Narrow" w:hAnsi="Arial Narrow" w:cs="Times New Roman"/>
          <w:sz w:val="24"/>
          <w:szCs w:val="24"/>
          <w:lang w:val="en-US"/>
        </w:rPr>
        <w:t>AgriTech</w:t>
      </w:r>
      <w:r w:rsidRPr="00212416">
        <w:rPr>
          <w:rFonts w:ascii="Arial Narrow" w:hAnsi="Arial Narrow" w:cs="Times New Roman"/>
          <w:sz w:val="24"/>
          <w:szCs w:val="24"/>
        </w:rPr>
        <w:t xml:space="preserve">) </w:t>
      </w:r>
      <w:r>
        <w:rPr>
          <w:rFonts w:ascii="Arial Narrow" w:hAnsi="Arial Narrow" w:cs="Times New Roman"/>
          <w:sz w:val="24"/>
          <w:szCs w:val="24"/>
        </w:rPr>
        <w:t>και προσέλκυση επενδύσεων.</w:t>
      </w:r>
    </w:p>
    <w:p w14:paraId="689FF008" w14:textId="0F8B6239" w:rsidR="00212416" w:rsidRPr="00E01305" w:rsidRDefault="00212416" w:rsidP="00212416">
      <w:pPr>
        <w:jc w:val="both"/>
        <w:rPr>
          <w:rFonts w:ascii="Arial Narrow" w:hAnsi="Arial Narrow" w:cs="Times New Roman"/>
          <w:b/>
          <w:color w:val="1F497D" w:themeColor="text2"/>
          <w:sz w:val="28"/>
          <w:szCs w:val="28"/>
        </w:rPr>
      </w:pPr>
      <w:r>
        <w:rPr>
          <w:rFonts w:ascii="Arial Narrow" w:hAnsi="Arial Narrow" w:cs="Times New Roman"/>
          <w:sz w:val="24"/>
          <w:szCs w:val="24"/>
        </w:rPr>
        <w:tab/>
      </w:r>
      <w:r w:rsidR="00B86C51">
        <w:rPr>
          <w:rFonts w:ascii="Arial Narrow" w:hAnsi="Arial Narrow" w:cs="Times New Roman"/>
          <w:b/>
          <w:color w:val="1F497D" w:themeColor="text2"/>
          <w:sz w:val="28"/>
          <w:szCs w:val="28"/>
        </w:rPr>
        <w:t>11.5.</w:t>
      </w:r>
      <w:r w:rsidRPr="00E01305">
        <w:rPr>
          <w:rFonts w:ascii="Arial Narrow" w:hAnsi="Arial Narrow" w:cs="Times New Roman"/>
          <w:b/>
          <w:color w:val="1F497D" w:themeColor="text2"/>
          <w:sz w:val="28"/>
          <w:szCs w:val="28"/>
        </w:rPr>
        <w:t xml:space="preserve">Γεωργία </w:t>
      </w:r>
    </w:p>
    <w:p w14:paraId="70141AA9" w14:textId="0388F105" w:rsidR="00212416" w:rsidRPr="00E01305" w:rsidRDefault="00212416" w:rsidP="00212416">
      <w:pPr>
        <w:jc w:val="both"/>
        <w:rPr>
          <w:rFonts w:ascii="Arial Narrow" w:hAnsi="Arial Narrow" w:cs="Times New Roman"/>
          <w:b/>
          <w:color w:val="1F497D" w:themeColor="text2"/>
          <w:sz w:val="24"/>
          <w:szCs w:val="24"/>
        </w:rPr>
      </w:pPr>
      <w:r w:rsidRPr="00212416">
        <w:rPr>
          <w:rFonts w:ascii="Arial Narrow" w:hAnsi="Arial Narrow" w:cs="Times New Roman"/>
          <w:color w:val="1F497D" w:themeColor="text2"/>
          <w:sz w:val="24"/>
          <w:szCs w:val="24"/>
        </w:rPr>
        <w:tab/>
      </w:r>
      <w:r w:rsidR="00B86C51">
        <w:rPr>
          <w:rFonts w:ascii="Arial Narrow" w:hAnsi="Arial Narrow" w:cs="Times New Roman"/>
          <w:b/>
          <w:color w:val="1F497D" w:themeColor="text2"/>
          <w:sz w:val="24"/>
          <w:szCs w:val="24"/>
        </w:rPr>
        <w:t xml:space="preserve">11.5.1. </w:t>
      </w:r>
      <w:r w:rsidRPr="00E01305">
        <w:rPr>
          <w:rFonts w:ascii="Arial Narrow" w:hAnsi="Arial Narrow" w:cs="Times New Roman"/>
          <w:b/>
          <w:color w:val="1F497D" w:themeColor="text2"/>
          <w:sz w:val="24"/>
          <w:szCs w:val="24"/>
        </w:rPr>
        <w:t xml:space="preserve">Βασικά Χαρακτηριστκά </w:t>
      </w:r>
    </w:p>
    <w:p w14:paraId="4B156FCF" w14:textId="247E917E" w:rsidR="00212416" w:rsidRDefault="00212416" w:rsidP="00212416">
      <w:pPr>
        <w:jc w:val="both"/>
        <w:rPr>
          <w:rFonts w:ascii="Arial Narrow" w:hAnsi="Arial Narrow" w:cs="Times New Roman"/>
          <w:sz w:val="24"/>
          <w:szCs w:val="24"/>
        </w:rPr>
      </w:pPr>
      <w:r>
        <w:rPr>
          <w:rFonts w:ascii="Arial Narrow" w:hAnsi="Arial Narrow" w:cs="Times New Roman"/>
          <w:color w:val="1F497D" w:themeColor="text2"/>
          <w:sz w:val="24"/>
          <w:szCs w:val="24"/>
        </w:rPr>
        <w:tab/>
      </w:r>
      <w:r>
        <w:rPr>
          <w:rFonts w:ascii="Arial Narrow" w:hAnsi="Arial Narrow" w:cs="Times New Roman"/>
          <w:sz w:val="24"/>
          <w:szCs w:val="24"/>
        </w:rPr>
        <w:t xml:space="preserve">Η γεωργική δραστηριότητα στα Ηνωμένα Αραβικά Εμιράτα αντιμετωπίζει σημαντικέ φυσικές προκλήσεις, όπως ερημικό κλίμα, ετήσιες βροχοπτώσεις μικρότερες των 120 </w:t>
      </w:r>
      <w:r w:rsidR="00B26FDE">
        <w:rPr>
          <w:rFonts w:ascii="Arial Narrow" w:hAnsi="Arial Narrow" w:cs="Times New Roman"/>
          <w:sz w:val="24"/>
          <w:szCs w:val="24"/>
          <w:lang w:val="en-US"/>
        </w:rPr>
        <w:t>mm</w:t>
      </w:r>
      <w:r w:rsidR="00B26FDE" w:rsidRPr="00B26FDE">
        <w:rPr>
          <w:rFonts w:ascii="Arial Narrow" w:hAnsi="Arial Narrow" w:cs="Times New Roman"/>
          <w:sz w:val="24"/>
          <w:szCs w:val="24"/>
        </w:rPr>
        <w:t xml:space="preserve">, </w:t>
      </w:r>
      <w:r w:rsidR="00B26FDE">
        <w:rPr>
          <w:rFonts w:ascii="Arial Narrow" w:hAnsi="Arial Narrow" w:cs="Times New Roman"/>
          <w:sz w:val="24"/>
          <w:szCs w:val="24"/>
        </w:rPr>
        <w:t>υψηλές θερμοκρασίες, περιορισμένοι υδάτινοι πόροι και υψηλή αλατότητα εδάφους. Παρόλα αυτά και τις δυσκολίες που αντιμετωπίζει, η κυβέρνηση επενδύει σημαντικά σε θερμοκήπια, υδροπονικές καλλιέργειες, κάθετη γεωργία (</w:t>
      </w:r>
      <w:r w:rsidR="00B26FDE">
        <w:rPr>
          <w:rFonts w:ascii="Arial Narrow" w:hAnsi="Arial Narrow" w:cs="Times New Roman"/>
          <w:sz w:val="24"/>
          <w:szCs w:val="24"/>
          <w:lang w:val="en-US"/>
        </w:rPr>
        <w:t>Vertical</w:t>
      </w:r>
      <w:r w:rsidR="00B26FDE" w:rsidRPr="00B26FDE">
        <w:rPr>
          <w:rFonts w:ascii="Arial Narrow" w:hAnsi="Arial Narrow" w:cs="Times New Roman"/>
          <w:sz w:val="24"/>
          <w:szCs w:val="24"/>
        </w:rPr>
        <w:t xml:space="preserve"> </w:t>
      </w:r>
      <w:r w:rsidR="00B26FDE">
        <w:rPr>
          <w:rFonts w:ascii="Arial Narrow" w:hAnsi="Arial Narrow" w:cs="Times New Roman"/>
          <w:sz w:val="24"/>
          <w:szCs w:val="24"/>
          <w:lang w:val="en-US"/>
        </w:rPr>
        <w:t>Farming</w:t>
      </w:r>
      <w:r w:rsidR="00B26FDE" w:rsidRPr="00B26FDE">
        <w:rPr>
          <w:rFonts w:ascii="Arial Narrow" w:hAnsi="Arial Narrow" w:cs="Times New Roman"/>
          <w:sz w:val="24"/>
          <w:szCs w:val="24"/>
        </w:rPr>
        <w:t xml:space="preserve">), </w:t>
      </w:r>
      <w:r w:rsidR="00B26FDE">
        <w:rPr>
          <w:rFonts w:ascii="Arial Narrow" w:hAnsi="Arial Narrow" w:cs="Times New Roman"/>
          <w:sz w:val="24"/>
          <w:szCs w:val="24"/>
        </w:rPr>
        <w:t xml:space="preserve">γεωργία ακριβείας και ανακύκλωση υδάτων. </w:t>
      </w:r>
    </w:p>
    <w:p w14:paraId="26A04519" w14:textId="628009BE" w:rsidR="00B26FDE" w:rsidRPr="00E01305" w:rsidRDefault="00B26FDE" w:rsidP="00212416">
      <w:pPr>
        <w:jc w:val="both"/>
        <w:rPr>
          <w:rFonts w:ascii="Arial Narrow" w:hAnsi="Arial Narrow" w:cs="Times New Roman"/>
          <w:b/>
          <w:color w:val="1F497D" w:themeColor="text2"/>
          <w:sz w:val="24"/>
          <w:szCs w:val="24"/>
        </w:rPr>
      </w:pPr>
      <w:r>
        <w:rPr>
          <w:rFonts w:ascii="Arial Narrow" w:hAnsi="Arial Narrow" w:cs="Times New Roman"/>
          <w:sz w:val="24"/>
          <w:szCs w:val="24"/>
        </w:rPr>
        <w:tab/>
      </w:r>
      <w:r w:rsidR="00B86C51">
        <w:rPr>
          <w:rFonts w:ascii="Arial Narrow" w:hAnsi="Arial Narrow" w:cs="Times New Roman"/>
          <w:b/>
          <w:color w:val="1F497D" w:themeColor="text2"/>
          <w:sz w:val="24"/>
          <w:szCs w:val="24"/>
        </w:rPr>
        <w:t xml:space="preserve">11.5.2. </w:t>
      </w:r>
      <w:r w:rsidRPr="00E01305">
        <w:rPr>
          <w:rFonts w:ascii="Arial Narrow" w:hAnsi="Arial Narrow" w:cs="Times New Roman"/>
          <w:b/>
          <w:color w:val="1F497D" w:themeColor="text2"/>
          <w:sz w:val="24"/>
          <w:szCs w:val="24"/>
        </w:rPr>
        <w:t xml:space="preserve">Γεωργική Γή </w:t>
      </w:r>
    </w:p>
    <w:p w14:paraId="1D738383" w14:textId="3A3EE7A9" w:rsidR="0083311C" w:rsidRDefault="00B26FDE" w:rsidP="00212416">
      <w:pPr>
        <w:jc w:val="both"/>
        <w:rPr>
          <w:rFonts w:ascii="Arial Narrow" w:hAnsi="Arial Narrow" w:cs="Times New Roman"/>
          <w:sz w:val="24"/>
          <w:szCs w:val="24"/>
        </w:rPr>
      </w:pPr>
      <w:r>
        <w:rPr>
          <w:rFonts w:ascii="Arial Narrow" w:hAnsi="Arial Narrow" w:cs="Times New Roman"/>
          <w:color w:val="1F497D" w:themeColor="text2"/>
          <w:sz w:val="24"/>
          <w:szCs w:val="24"/>
        </w:rPr>
        <w:tab/>
      </w:r>
      <w:r w:rsidR="000D3736">
        <w:rPr>
          <w:rFonts w:ascii="Arial Narrow" w:hAnsi="Arial Narrow" w:cs="Times New Roman"/>
          <w:sz w:val="24"/>
          <w:szCs w:val="24"/>
        </w:rPr>
        <w:t xml:space="preserve">Η συνολική έκταση των ΗΑΕ ανέρχεται </w:t>
      </w:r>
      <w:r w:rsidR="0083311C">
        <w:rPr>
          <w:rFonts w:ascii="Arial Narrow" w:hAnsi="Arial Narrow" w:cs="Times New Roman"/>
          <w:sz w:val="24"/>
          <w:szCs w:val="24"/>
        </w:rPr>
        <w:t xml:space="preserve">σε μέγεθος στα 83.600 </w:t>
      </w:r>
      <w:r w:rsidR="0083311C">
        <w:rPr>
          <w:rFonts w:ascii="Arial Narrow" w:hAnsi="Arial Narrow" w:cs="Times New Roman"/>
          <w:sz w:val="24"/>
          <w:szCs w:val="24"/>
          <w:lang w:val="en-US"/>
        </w:rPr>
        <w:t>Km</w:t>
      </w:r>
      <w:r w:rsidR="0083311C" w:rsidRPr="0083311C">
        <w:rPr>
          <w:rFonts w:ascii="Arial Narrow" w:hAnsi="Arial Narrow" w:cs="Times New Roman"/>
          <w:sz w:val="24"/>
          <w:szCs w:val="24"/>
        </w:rPr>
        <w:t xml:space="preserve">2, </w:t>
      </w:r>
      <w:r w:rsidR="0083311C">
        <w:rPr>
          <w:rFonts w:ascii="Arial Narrow" w:hAnsi="Arial Narrow" w:cs="Times New Roman"/>
          <w:sz w:val="24"/>
          <w:szCs w:val="24"/>
        </w:rPr>
        <w:t xml:space="preserve">εκ των οποίων τα 750.000 στρέμματα περίπου αποτελούν καλλιεργήσιμη γη. Το ποσοστό γεωργικής γης ανέρχεται περίπου στο 1%. Η μεγακύτερη γεωργική δραστηριότητα συγκεντρώνεται στο Εμιράτο του </w:t>
      </w:r>
      <w:r w:rsidR="0083311C">
        <w:rPr>
          <w:rFonts w:ascii="Arial Narrow" w:hAnsi="Arial Narrow" w:cs="Times New Roman"/>
          <w:sz w:val="24"/>
          <w:szCs w:val="24"/>
          <w:lang w:val="en-US"/>
        </w:rPr>
        <w:t>Abu</w:t>
      </w:r>
      <w:r w:rsidR="0083311C" w:rsidRPr="0083311C">
        <w:rPr>
          <w:rFonts w:ascii="Arial Narrow" w:hAnsi="Arial Narrow" w:cs="Times New Roman"/>
          <w:sz w:val="24"/>
          <w:szCs w:val="24"/>
        </w:rPr>
        <w:t xml:space="preserve"> </w:t>
      </w:r>
      <w:r w:rsidR="0083311C">
        <w:rPr>
          <w:rFonts w:ascii="Arial Narrow" w:hAnsi="Arial Narrow" w:cs="Times New Roman"/>
          <w:sz w:val="24"/>
          <w:szCs w:val="24"/>
        </w:rPr>
        <w:t>–</w:t>
      </w:r>
      <w:r w:rsidR="0083311C" w:rsidRPr="0083311C">
        <w:rPr>
          <w:rFonts w:ascii="Arial Narrow" w:hAnsi="Arial Narrow" w:cs="Times New Roman"/>
          <w:sz w:val="24"/>
          <w:szCs w:val="24"/>
        </w:rPr>
        <w:t xml:space="preserve"> </w:t>
      </w:r>
      <w:r w:rsidR="0083311C">
        <w:rPr>
          <w:rFonts w:ascii="Arial Narrow" w:hAnsi="Arial Narrow" w:cs="Times New Roman"/>
          <w:sz w:val="24"/>
          <w:szCs w:val="24"/>
          <w:lang w:val="en-US"/>
        </w:rPr>
        <w:t>Dhabi</w:t>
      </w:r>
      <w:r w:rsidR="0083311C">
        <w:rPr>
          <w:rFonts w:ascii="Arial Narrow" w:hAnsi="Arial Narrow" w:cs="Times New Roman"/>
          <w:sz w:val="24"/>
          <w:szCs w:val="24"/>
        </w:rPr>
        <w:t xml:space="preserve"> και ειδικότερα στη περιοχή </w:t>
      </w:r>
      <w:r w:rsidR="0083311C" w:rsidRPr="0083311C">
        <w:rPr>
          <w:rFonts w:ascii="Arial Narrow" w:hAnsi="Arial Narrow" w:cs="Times New Roman"/>
          <w:sz w:val="24"/>
          <w:szCs w:val="24"/>
        </w:rPr>
        <w:t xml:space="preserve"> </w:t>
      </w:r>
      <w:r w:rsidR="0083311C">
        <w:rPr>
          <w:rFonts w:ascii="Arial Narrow" w:hAnsi="Arial Narrow" w:cs="Times New Roman"/>
          <w:sz w:val="24"/>
          <w:szCs w:val="24"/>
          <w:lang w:val="en-US"/>
        </w:rPr>
        <w:t>Al</w:t>
      </w:r>
      <w:r w:rsidR="0083311C" w:rsidRPr="0083311C">
        <w:rPr>
          <w:rFonts w:ascii="Arial Narrow" w:hAnsi="Arial Narrow" w:cs="Times New Roman"/>
          <w:sz w:val="24"/>
          <w:szCs w:val="24"/>
        </w:rPr>
        <w:t xml:space="preserve"> </w:t>
      </w:r>
      <w:r w:rsidR="0083311C">
        <w:rPr>
          <w:rFonts w:ascii="Arial Narrow" w:hAnsi="Arial Narrow" w:cs="Times New Roman"/>
          <w:sz w:val="24"/>
          <w:szCs w:val="24"/>
          <w:lang w:val="en-US"/>
        </w:rPr>
        <w:t>Ain</w:t>
      </w:r>
      <w:r w:rsidR="0083311C" w:rsidRPr="0083311C">
        <w:rPr>
          <w:rFonts w:ascii="Arial Narrow" w:hAnsi="Arial Narrow" w:cs="Times New Roman"/>
          <w:sz w:val="24"/>
          <w:szCs w:val="24"/>
        </w:rPr>
        <w:t xml:space="preserve">, </w:t>
      </w:r>
      <w:r w:rsidR="00B44C63">
        <w:rPr>
          <w:rFonts w:ascii="Arial Narrow" w:hAnsi="Arial Narrow" w:cs="Times New Roman"/>
          <w:sz w:val="24"/>
          <w:szCs w:val="24"/>
        </w:rPr>
        <w:t>περιοχή η οποία αποτελεί το σημαντικότερο γεωργικό κέντρο της χώρας.</w:t>
      </w:r>
    </w:p>
    <w:p w14:paraId="1A4A213A" w14:textId="736C9F9F" w:rsidR="00B44C63" w:rsidRPr="00E01305" w:rsidRDefault="00B44C63" w:rsidP="00212416">
      <w:pPr>
        <w:jc w:val="both"/>
        <w:rPr>
          <w:rFonts w:ascii="Arial Narrow" w:hAnsi="Arial Narrow" w:cs="Times New Roman"/>
          <w:b/>
          <w:color w:val="1F497D" w:themeColor="text2"/>
          <w:sz w:val="24"/>
          <w:szCs w:val="24"/>
        </w:rPr>
      </w:pPr>
      <w:r>
        <w:rPr>
          <w:rFonts w:ascii="Arial Narrow" w:hAnsi="Arial Narrow" w:cs="Times New Roman"/>
          <w:sz w:val="24"/>
          <w:szCs w:val="24"/>
        </w:rPr>
        <w:tab/>
      </w:r>
      <w:r w:rsidR="00B86C51">
        <w:rPr>
          <w:rFonts w:ascii="Arial Narrow" w:hAnsi="Arial Narrow" w:cs="Times New Roman"/>
          <w:b/>
          <w:color w:val="1F497D" w:themeColor="text2"/>
          <w:sz w:val="24"/>
          <w:szCs w:val="24"/>
        </w:rPr>
        <w:t xml:space="preserve">11.5.3. </w:t>
      </w:r>
      <w:r w:rsidRPr="00E01305">
        <w:rPr>
          <w:rFonts w:ascii="Arial Narrow" w:hAnsi="Arial Narrow" w:cs="Times New Roman"/>
          <w:b/>
          <w:color w:val="1F497D" w:themeColor="text2"/>
          <w:sz w:val="24"/>
          <w:szCs w:val="24"/>
        </w:rPr>
        <w:t xml:space="preserve">Παραγόμενα Προϊόντα </w:t>
      </w:r>
    </w:p>
    <w:p w14:paraId="68692750" w14:textId="4E44E780" w:rsidR="00B44C63" w:rsidRPr="00B86C51" w:rsidRDefault="00B44C63" w:rsidP="00E01305">
      <w:pPr>
        <w:jc w:val="center"/>
        <w:rPr>
          <w:rFonts w:ascii="Arial Narrow" w:hAnsi="Arial Narrow" w:cs="Times New Roman"/>
          <w:b/>
          <w:color w:val="4F81BD" w:themeColor="accent1"/>
          <w:sz w:val="24"/>
          <w:szCs w:val="24"/>
        </w:rPr>
      </w:pPr>
      <w:r w:rsidRPr="00B86C51">
        <w:rPr>
          <w:rFonts w:ascii="Arial Narrow" w:hAnsi="Arial Narrow" w:cs="Times New Roman"/>
          <w:b/>
          <w:color w:val="4F81BD" w:themeColor="accent1"/>
          <w:sz w:val="24"/>
          <w:szCs w:val="24"/>
        </w:rPr>
        <w:t>ΠΑΡΑΓΟΜΕΝΑ ΦΡΟΥΤΑ ΚΑΙ ΛΑΧΑΝΙΚΑ ΣΤΑ ΗΑΕ</w:t>
      </w:r>
    </w:p>
    <w:tbl>
      <w:tblPr>
        <w:tblStyle w:val="TableGrid"/>
        <w:tblW w:w="0" w:type="auto"/>
        <w:tblLook w:val="04A0" w:firstRow="1" w:lastRow="0" w:firstColumn="1" w:lastColumn="0" w:noHBand="0" w:noVBand="1"/>
      </w:tblPr>
      <w:tblGrid>
        <w:gridCol w:w="4885"/>
        <w:gridCol w:w="4886"/>
      </w:tblGrid>
      <w:tr w:rsidR="00B44C63" w:rsidRPr="00B86C51" w14:paraId="72ACB7DD" w14:textId="77777777" w:rsidTr="00B44C63">
        <w:tc>
          <w:tcPr>
            <w:tcW w:w="4885" w:type="dxa"/>
          </w:tcPr>
          <w:p w14:paraId="5F6F567D" w14:textId="3D7A7136" w:rsidR="00B44C63" w:rsidRPr="00B86C51" w:rsidRDefault="00634E82" w:rsidP="00212416">
            <w:pPr>
              <w:jc w:val="both"/>
              <w:rPr>
                <w:rFonts w:ascii="Arial Narrow" w:hAnsi="Arial Narrow" w:cs="Times New Roman"/>
                <w:color w:val="4F81BD" w:themeColor="accent1"/>
                <w:sz w:val="24"/>
                <w:szCs w:val="24"/>
              </w:rPr>
            </w:pPr>
            <w:r w:rsidRPr="00B86C51">
              <w:rPr>
                <w:rFonts w:ascii="Arial Narrow" w:hAnsi="Arial Narrow" w:cs="Times New Roman"/>
                <w:color w:val="4F81BD" w:themeColor="accent1"/>
                <w:sz w:val="24"/>
                <w:szCs w:val="24"/>
              </w:rPr>
              <w:t xml:space="preserve">ΠΡΟΪΟΝ – ΦΡΟΥΤΑ </w:t>
            </w:r>
          </w:p>
        </w:tc>
        <w:tc>
          <w:tcPr>
            <w:tcW w:w="4886" w:type="dxa"/>
          </w:tcPr>
          <w:p w14:paraId="4D55E12F" w14:textId="60259EC5" w:rsidR="00B44C63" w:rsidRPr="00B86C51" w:rsidRDefault="00634E82" w:rsidP="00212416">
            <w:pPr>
              <w:jc w:val="both"/>
              <w:rPr>
                <w:rFonts w:ascii="Arial Narrow" w:hAnsi="Arial Narrow" w:cs="Times New Roman"/>
                <w:color w:val="4F81BD" w:themeColor="accent1"/>
                <w:sz w:val="24"/>
                <w:szCs w:val="24"/>
              </w:rPr>
            </w:pPr>
            <w:r w:rsidRPr="00B86C51">
              <w:rPr>
                <w:rFonts w:ascii="Arial Narrow" w:hAnsi="Arial Narrow" w:cs="Times New Roman"/>
                <w:color w:val="4F81BD" w:themeColor="accent1"/>
                <w:sz w:val="24"/>
                <w:szCs w:val="24"/>
              </w:rPr>
              <w:t>ΕΤΗΣΙΑ ΠΑΡΑΓΩΓΗ</w:t>
            </w:r>
          </w:p>
        </w:tc>
      </w:tr>
      <w:tr w:rsidR="00B44C63" w:rsidRPr="00B86C51" w14:paraId="2443E074" w14:textId="77777777" w:rsidTr="00B44C63">
        <w:tc>
          <w:tcPr>
            <w:tcW w:w="4885" w:type="dxa"/>
          </w:tcPr>
          <w:p w14:paraId="671699C9" w14:textId="1931DE75" w:rsidR="00B44C63" w:rsidRPr="00B86C51" w:rsidRDefault="00634E82" w:rsidP="00212416">
            <w:pPr>
              <w:jc w:val="both"/>
              <w:rPr>
                <w:rFonts w:ascii="Arial Narrow" w:hAnsi="Arial Narrow" w:cs="Times New Roman"/>
                <w:color w:val="4F81BD" w:themeColor="accent1"/>
                <w:sz w:val="24"/>
                <w:szCs w:val="24"/>
              </w:rPr>
            </w:pPr>
            <w:r w:rsidRPr="00B86C51">
              <w:rPr>
                <w:rFonts w:ascii="Arial Narrow" w:hAnsi="Arial Narrow" w:cs="Times New Roman"/>
                <w:color w:val="4F81BD" w:themeColor="accent1"/>
                <w:sz w:val="24"/>
                <w:szCs w:val="24"/>
              </w:rPr>
              <w:t>Χουρμάδες</w:t>
            </w:r>
          </w:p>
        </w:tc>
        <w:tc>
          <w:tcPr>
            <w:tcW w:w="4886" w:type="dxa"/>
          </w:tcPr>
          <w:p w14:paraId="6916A1A3" w14:textId="30685218" w:rsidR="00B44C63" w:rsidRPr="00B86C51" w:rsidRDefault="00634E82" w:rsidP="00212416">
            <w:pPr>
              <w:jc w:val="both"/>
              <w:rPr>
                <w:rFonts w:ascii="Arial Narrow" w:hAnsi="Arial Narrow" w:cs="Times New Roman"/>
                <w:color w:val="4F81BD" w:themeColor="accent1"/>
                <w:sz w:val="24"/>
                <w:szCs w:val="24"/>
              </w:rPr>
            </w:pPr>
            <w:r w:rsidRPr="00B86C51">
              <w:rPr>
                <w:rFonts w:ascii="Arial Narrow" w:hAnsi="Arial Narrow" w:cs="Times New Roman"/>
                <w:color w:val="4F81BD" w:themeColor="accent1"/>
                <w:sz w:val="24"/>
                <w:szCs w:val="24"/>
              </w:rPr>
              <w:t>350.000 – 400.000 τόνοι</w:t>
            </w:r>
          </w:p>
        </w:tc>
      </w:tr>
      <w:tr w:rsidR="00B44C63" w:rsidRPr="00B86C51" w14:paraId="1E2FBCB9" w14:textId="77777777" w:rsidTr="00B44C63">
        <w:tc>
          <w:tcPr>
            <w:tcW w:w="4885" w:type="dxa"/>
          </w:tcPr>
          <w:p w14:paraId="5B068DBE" w14:textId="1BC5B85E" w:rsidR="00B44C63" w:rsidRPr="00B86C51" w:rsidRDefault="00634E82" w:rsidP="00212416">
            <w:pPr>
              <w:jc w:val="both"/>
              <w:rPr>
                <w:rFonts w:ascii="Arial Narrow" w:hAnsi="Arial Narrow" w:cs="Times New Roman"/>
                <w:color w:val="4F81BD" w:themeColor="accent1"/>
                <w:sz w:val="24"/>
                <w:szCs w:val="24"/>
              </w:rPr>
            </w:pPr>
            <w:r w:rsidRPr="00B86C51">
              <w:rPr>
                <w:rFonts w:ascii="Arial Narrow" w:hAnsi="Arial Narrow" w:cs="Times New Roman"/>
                <w:color w:val="4F81BD" w:themeColor="accent1"/>
                <w:sz w:val="24"/>
                <w:szCs w:val="24"/>
              </w:rPr>
              <w:t xml:space="preserve">Μάνγκο </w:t>
            </w:r>
          </w:p>
        </w:tc>
        <w:tc>
          <w:tcPr>
            <w:tcW w:w="4886" w:type="dxa"/>
          </w:tcPr>
          <w:p w14:paraId="2578966E" w14:textId="7BEEC3B8" w:rsidR="00B44C63" w:rsidRPr="00B86C51" w:rsidRDefault="00634E82" w:rsidP="00212416">
            <w:pPr>
              <w:jc w:val="both"/>
              <w:rPr>
                <w:rFonts w:ascii="Arial Narrow" w:hAnsi="Arial Narrow" w:cs="Times New Roman"/>
                <w:color w:val="4F81BD" w:themeColor="accent1"/>
                <w:sz w:val="24"/>
                <w:szCs w:val="24"/>
              </w:rPr>
            </w:pPr>
            <w:r w:rsidRPr="00B86C51">
              <w:rPr>
                <w:rFonts w:ascii="Arial Narrow" w:hAnsi="Arial Narrow" w:cs="Times New Roman"/>
                <w:color w:val="4F81BD" w:themeColor="accent1"/>
                <w:sz w:val="24"/>
                <w:szCs w:val="24"/>
              </w:rPr>
              <w:t xml:space="preserve">20.000 τόνοι </w:t>
            </w:r>
          </w:p>
        </w:tc>
      </w:tr>
      <w:tr w:rsidR="00B44C63" w:rsidRPr="00B86C51" w14:paraId="00BB0828" w14:textId="77777777" w:rsidTr="00B44C63">
        <w:tc>
          <w:tcPr>
            <w:tcW w:w="4885" w:type="dxa"/>
          </w:tcPr>
          <w:p w14:paraId="2867D8FB" w14:textId="2A124A92" w:rsidR="00B44C63" w:rsidRPr="00B86C51" w:rsidRDefault="00634E82" w:rsidP="00212416">
            <w:pPr>
              <w:jc w:val="both"/>
              <w:rPr>
                <w:rFonts w:ascii="Arial Narrow" w:hAnsi="Arial Narrow" w:cs="Times New Roman"/>
                <w:color w:val="4F81BD" w:themeColor="accent1"/>
                <w:sz w:val="24"/>
                <w:szCs w:val="24"/>
              </w:rPr>
            </w:pPr>
            <w:r w:rsidRPr="00B86C51">
              <w:rPr>
                <w:rFonts w:ascii="Arial Narrow" w:hAnsi="Arial Narrow" w:cs="Times New Roman"/>
                <w:color w:val="4F81BD" w:themeColor="accent1"/>
                <w:sz w:val="24"/>
                <w:szCs w:val="24"/>
              </w:rPr>
              <w:t xml:space="preserve">Εσπεριδοειδή </w:t>
            </w:r>
          </w:p>
        </w:tc>
        <w:tc>
          <w:tcPr>
            <w:tcW w:w="4886" w:type="dxa"/>
          </w:tcPr>
          <w:p w14:paraId="32FBCB82" w14:textId="1B0CD839" w:rsidR="00B44C63" w:rsidRPr="00B86C51" w:rsidRDefault="00634E82" w:rsidP="00212416">
            <w:pPr>
              <w:jc w:val="both"/>
              <w:rPr>
                <w:rFonts w:ascii="Arial Narrow" w:hAnsi="Arial Narrow" w:cs="Times New Roman"/>
                <w:color w:val="4F81BD" w:themeColor="accent1"/>
                <w:sz w:val="24"/>
                <w:szCs w:val="24"/>
              </w:rPr>
            </w:pPr>
            <w:r w:rsidRPr="00B86C51">
              <w:rPr>
                <w:rFonts w:ascii="Arial Narrow" w:hAnsi="Arial Narrow" w:cs="Times New Roman"/>
                <w:color w:val="4F81BD" w:themeColor="accent1"/>
                <w:sz w:val="24"/>
                <w:szCs w:val="24"/>
              </w:rPr>
              <w:t xml:space="preserve">15.000 τόνοι </w:t>
            </w:r>
          </w:p>
        </w:tc>
      </w:tr>
      <w:tr w:rsidR="00B44C63" w:rsidRPr="00B86C51" w14:paraId="4B1F2332" w14:textId="77777777" w:rsidTr="00B44C63">
        <w:tc>
          <w:tcPr>
            <w:tcW w:w="4885" w:type="dxa"/>
          </w:tcPr>
          <w:p w14:paraId="2234966A" w14:textId="48A77908" w:rsidR="00B44C63" w:rsidRPr="00B86C51" w:rsidRDefault="00634E82" w:rsidP="00212416">
            <w:pPr>
              <w:jc w:val="both"/>
              <w:rPr>
                <w:rFonts w:ascii="Arial Narrow" w:hAnsi="Arial Narrow" w:cs="Times New Roman"/>
                <w:color w:val="4F81BD" w:themeColor="accent1"/>
                <w:sz w:val="24"/>
                <w:szCs w:val="24"/>
              </w:rPr>
            </w:pPr>
            <w:r w:rsidRPr="00B86C51">
              <w:rPr>
                <w:rFonts w:ascii="Arial Narrow" w:hAnsi="Arial Narrow" w:cs="Times New Roman"/>
                <w:color w:val="4F81BD" w:themeColor="accent1"/>
                <w:sz w:val="24"/>
                <w:szCs w:val="24"/>
              </w:rPr>
              <w:t xml:space="preserve">Σύκα </w:t>
            </w:r>
          </w:p>
        </w:tc>
        <w:tc>
          <w:tcPr>
            <w:tcW w:w="4886" w:type="dxa"/>
          </w:tcPr>
          <w:p w14:paraId="567B169B" w14:textId="08C32EFD" w:rsidR="00B44C63" w:rsidRPr="00B86C51" w:rsidRDefault="00634E82" w:rsidP="00212416">
            <w:pPr>
              <w:jc w:val="both"/>
              <w:rPr>
                <w:rFonts w:ascii="Arial Narrow" w:hAnsi="Arial Narrow" w:cs="Times New Roman"/>
                <w:color w:val="4F81BD" w:themeColor="accent1"/>
                <w:sz w:val="24"/>
                <w:szCs w:val="24"/>
              </w:rPr>
            </w:pPr>
            <w:r w:rsidRPr="00B86C51">
              <w:rPr>
                <w:rFonts w:ascii="Arial Narrow" w:hAnsi="Arial Narrow" w:cs="Times New Roman"/>
                <w:color w:val="4F81BD" w:themeColor="accent1"/>
                <w:sz w:val="24"/>
                <w:szCs w:val="24"/>
              </w:rPr>
              <w:t xml:space="preserve">8.000 τόνοι </w:t>
            </w:r>
          </w:p>
        </w:tc>
      </w:tr>
      <w:tr w:rsidR="00B44C63" w:rsidRPr="00B86C51" w14:paraId="36BCC16B" w14:textId="77777777" w:rsidTr="00B44C63">
        <w:tc>
          <w:tcPr>
            <w:tcW w:w="4885" w:type="dxa"/>
          </w:tcPr>
          <w:p w14:paraId="04960019" w14:textId="0B32B1EE" w:rsidR="00B44C63" w:rsidRPr="00B86C51" w:rsidRDefault="00634E82" w:rsidP="00212416">
            <w:pPr>
              <w:jc w:val="both"/>
              <w:rPr>
                <w:rFonts w:ascii="Arial Narrow" w:hAnsi="Arial Narrow" w:cs="Times New Roman"/>
                <w:color w:val="4F81BD" w:themeColor="accent1"/>
                <w:sz w:val="24"/>
                <w:szCs w:val="24"/>
              </w:rPr>
            </w:pPr>
            <w:r w:rsidRPr="00B86C51">
              <w:rPr>
                <w:rFonts w:ascii="Arial Narrow" w:hAnsi="Arial Narrow" w:cs="Times New Roman"/>
                <w:color w:val="4F81BD" w:themeColor="accent1"/>
                <w:sz w:val="24"/>
                <w:szCs w:val="24"/>
              </w:rPr>
              <w:t xml:space="preserve">Τα ΗΑΕ διαθέτουν περισσότερα από 40 εκατομμύρια Φοινικόδενδρα </w:t>
            </w:r>
          </w:p>
        </w:tc>
        <w:tc>
          <w:tcPr>
            <w:tcW w:w="4886" w:type="dxa"/>
          </w:tcPr>
          <w:p w14:paraId="098E64C6" w14:textId="77777777" w:rsidR="00B44C63" w:rsidRPr="00B86C51" w:rsidRDefault="00B44C63" w:rsidP="00212416">
            <w:pPr>
              <w:jc w:val="both"/>
              <w:rPr>
                <w:rFonts w:ascii="Arial Narrow" w:hAnsi="Arial Narrow" w:cs="Times New Roman"/>
                <w:color w:val="4F81BD" w:themeColor="accent1"/>
                <w:sz w:val="24"/>
                <w:szCs w:val="24"/>
              </w:rPr>
            </w:pPr>
          </w:p>
        </w:tc>
      </w:tr>
      <w:tr w:rsidR="00B44C63" w:rsidRPr="00B86C51" w14:paraId="7B7C928C" w14:textId="77777777" w:rsidTr="00B44C63">
        <w:tc>
          <w:tcPr>
            <w:tcW w:w="4885" w:type="dxa"/>
          </w:tcPr>
          <w:p w14:paraId="0254F646" w14:textId="121DC69A" w:rsidR="00B44C63" w:rsidRPr="00B86C51" w:rsidRDefault="00634E82" w:rsidP="00212416">
            <w:pPr>
              <w:jc w:val="both"/>
              <w:rPr>
                <w:rFonts w:ascii="Arial Narrow" w:hAnsi="Arial Narrow" w:cs="Times New Roman"/>
                <w:color w:val="4F81BD" w:themeColor="accent1"/>
                <w:sz w:val="24"/>
                <w:szCs w:val="24"/>
              </w:rPr>
            </w:pPr>
            <w:r w:rsidRPr="00B86C51">
              <w:rPr>
                <w:rFonts w:ascii="Arial Narrow" w:hAnsi="Arial Narrow" w:cs="Times New Roman"/>
                <w:color w:val="4F81BD" w:themeColor="accent1"/>
                <w:sz w:val="24"/>
                <w:szCs w:val="24"/>
              </w:rPr>
              <w:t xml:space="preserve">ΠΡΟΪΟΝ – ΛΑΧΑΝΙΚΑ </w:t>
            </w:r>
          </w:p>
        </w:tc>
        <w:tc>
          <w:tcPr>
            <w:tcW w:w="4886" w:type="dxa"/>
          </w:tcPr>
          <w:p w14:paraId="10788B16" w14:textId="7BCA2790" w:rsidR="00B44C63" w:rsidRPr="00B86C51" w:rsidRDefault="00634E82" w:rsidP="00212416">
            <w:pPr>
              <w:jc w:val="both"/>
              <w:rPr>
                <w:rFonts w:ascii="Arial Narrow" w:hAnsi="Arial Narrow" w:cs="Times New Roman"/>
                <w:color w:val="4F81BD" w:themeColor="accent1"/>
                <w:sz w:val="24"/>
                <w:szCs w:val="24"/>
              </w:rPr>
            </w:pPr>
            <w:r w:rsidRPr="00B86C51">
              <w:rPr>
                <w:rFonts w:ascii="Arial Narrow" w:hAnsi="Arial Narrow" w:cs="Times New Roman"/>
                <w:color w:val="4F81BD" w:themeColor="accent1"/>
                <w:sz w:val="24"/>
                <w:szCs w:val="24"/>
              </w:rPr>
              <w:t>ΕΤΗΣΙΑ ΠΑΡΑΓΩΓΗ</w:t>
            </w:r>
          </w:p>
        </w:tc>
      </w:tr>
      <w:tr w:rsidR="00B44C63" w:rsidRPr="00B86C51" w14:paraId="11A946AB" w14:textId="77777777" w:rsidTr="00B44C63">
        <w:tc>
          <w:tcPr>
            <w:tcW w:w="4885" w:type="dxa"/>
          </w:tcPr>
          <w:p w14:paraId="750F079B" w14:textId="15A6B71D" w:rsidR="00B44C63" w:rsidRPr="00B86C51" w:rsidRDefault="00634E82" w:rsidP="00212416">
            <w:pPr>
              <w:jc w:val="both"/>
              <w:rPr>
                <w:rFonts w:ascii="Arial Narrow" w:hAnsi="Arial Narrow" w:cs="Times New Roman"/>
                <w:color w:val="4F81BD" w:themeColor="accent1"/>
                <w:sz w:val="24"/>
                <w:szCs w:val="24"/>
              </w:rPr>
            </w:pPr>
            <w:r w:rsidRPr="00B86C51">
              <w:rPr>
                <w:rFonts w:ascii="Arial Narrow" w:hAnsi="Arial Narrow" w:cs="Times New Roman"/>
                <w:color w:val="4F81BD" w:themeColor="accent1"/>
                <w:sz w:val="24"/>
                <w:szCs w:val="24"/>
              </w:rPr>
              <w:t xml:space="preserve">Ντομάτες </w:t>
            </w:r>
          </w:p>
        </w:tc>
        <w:tc>
          <w:tcPr>
            <w:tcW w:w="4886" w:type="dxa"/>
          </w:tcPr>
          <w:p w14:paraId="5CA3C429" w14:textId="4F8CCBEC" w:rsidR="00B44C63" w:rsidRPr="00B86C51" w:rsidRDefault="00634E82" w:rsidP="00212416">
            <w:pPr>
              <w:jc w:val="both"/>
              <w:rPr>
                <w:rFonts w:ascii="Arial Narrow" w:hAnsi="Arial Narrow" w:cs="Times New Roman"/>
                <w:color w:val="4F81BD" w:themeColor="accent1"/>
                <w:sz w:val="24"/>
                <w:szCs w:val="24"/>
              </w:rPr>
            </w:pPr>
            <w:r w:rsidRPr="00B86C51">
              <w:rPr>
                <w:rFonts w:ascii="Arial Narrow" w:hAnsi="Arial Narrow" w:cs="Times New Roman"/>
                <w:color w:val="4F81BD" w:themeColor="accent1"/>
                <w:sz w:val="24"/>
                <w:szCs w:val="24"/>
              </w:rPr>
              <w:t>110.000 τόνοι</w:t>
            </w:r>
          </w:p>
        </w:tc>
      </w:tr>
      <w:tr w:rsidR="00B44C63" w:rsidRPr="00B86C51" w14:paraId="6C5D6F35" w14:textId="77777777" w:rsidTr="00B44C63">
        <w:tc>
          <w:tcPr>
            <w:tcW w:w="4885" w:type="dxa"/>
          </w:tcPr>
          <w:p w14:paraId="2608C592" w14:textId="2E7CF331" w:rsidR="00B44C63" w:rsidRPr="00B86C51" w:rsidRDefault="00634E82" w:rsidP="00212416">
            <w:pPr>
              <w:jc w:val="both"/>
              <w:rPr>
                <w:rFonts w:ascii="Arial Narrow" w:hAnsi="Arial Narrow" w:cs="Times New Roman"/>
                <w:color w:val="4F81BD" w:themeColor="accent1"/>
                <w:sz w:val="24"/>
                <w:szCs w:val="24"/>
              </w:rPr>
            </w:pPr>
            <w:r w:rsidRPr="00B86C51">
              <w:rPr>
                <w:rFonts w:ascii="Arial Narrow" w:hAnsi="Arial Narrow" w:cs="Times New Roman"/>
                <w:color w:val="4F81BD" w:themeColor="accent1"/>
                <w:sz w:val="24"/>
                <w:szCs w:val="24"/>
              </w:rPr>
              <w:t xml:space="preserve">Αγγούρια </w:t>
            </w:r>
          </w:p>
        </w:tc>
        <w:tc>
          <w:tcPr>
            <w:tcW w:w="4886" w:type="dxa"/>
          </w:tcPr>
          <w:p w14:paraId="39903566" w14:textId="222EE269" w:rsidR="00B44C63" w:rsidRPr="00B86C51" w:rsidRDefault="00634E82" w:rsidP="00212416">
            <w:pPr>
              <w:jc w:val="both"/>
              <w:rPr>
                <w:rFonts w:ascii="Arial Narrow" w:hAnsi="Arial Narrow" w:cs="Times New Roman"/>
                <w:color w:val="4F81BD" w:themeColor="accent1"/>
                <w:sz w:val="24"/>
                <w:szCs w:val="24"/>
              </w:rPr>
            </w:pPr>
            <w:r w:rsidRPr="00B86C51">
              <w:rPr>
                <w:rFonts w:ascii="Arial Narrow" w:hAnsi="Arial Narrow" w:cs="Times New Roman"/>
                <w:color w:val="4F81BD" w:themeColor="accent1"/>
                <w:sz w:val="24"/>
                <w:szCs w:val="24"/>
              </w:rPr>
              <w:t xml:space="preserve">90.000 τόνοι </w:t>
            </w:r>
          </w:p>
        </w:tc>
      </w:tr>
      <w:tr w:rsidR="00B44C63" w:rsidRPr="00B86C51" w14:paraId="6DD0458F" w14:textId="77777777" w:rsidTr="00B44C63">
        <w:tc>
          <w:tcPr>
            <w:tcW w:w="4885" w:type="dxa"/>
          </w:tcPr>
          <w:p w14:paraId="57802655" w14:textId="719BA287" w:rsidR="00B44C63" w:rsidRPr="00B86C51" w:rsidRDefault="00634E82" w:rsidP="00212416">
            <w:pPr>
              <w:jc w:val="both"/>
              <w:rPr>
                <w:rFonts w:ascii="Arial Narrow" w:hAnsi="Arial Narrow" w:cs="Times New Roman"/>
                <w:color w:val="4F81BD" w:themeColor="accent1"/>
                <w:sz w:val="24"/>
                <w:szCs w:val="24"/>
              </w:rPr>
            </w:pPr>
            <w:r w:rsidRPr="00B86C51">
              <w:rPr>
                <w:rFonts w:ascii="Arial Narrow" w:hAnsi="Arial Narrow" w:cs="Times New Roman"/>
                <w:color w:val="4F81BD" w:themeColor="accent1"/>
                <w:sz w:val="24"/>
                <w:szCs w:val="24"/>
              </w:rPr>
              <w:t xml:space="preserve">Πιπεριές </w:t>
            </w:r>
          </w:p>
        </w:tc>
        <w:tc>
          <w:tcPr>
            <w:tcW w:w="4886" w:type="dxa"/>
          </w:tcPr>
          <w:p w14:paraId="6A4B823D" w14:textId="54176720" w:rsidR="00B44C63" w:rsidRPr="00B86C51" w:rsidRDefault="00634E82" w:rsidP="00212416">
            <w:pPr>
              <w:jc w:val="both"/>
              <w:rPr>
                <w:rFonts w:ascii="Arial Narrow" w:hAnsi="Arial Narrow" w:cs="Times New Roman"/>
                <w:color w:val="4F81BD" w:themeColor="accent1"/>
                <w:sz w:val="24"/>
                <w:szCs w:val="24"/>
              </w:rPr>
            </w:pPr>
            <w:r w:rsidRPr="00B86C51">
              <w:rPr>
                <w:rFonts w:ascii="Arial Narrow" w:hAnsi="Arial Narrow" w:cs="Times New Roman"/>
                <w:color w:val="4F81BD" w:themeColor="accent1"/>
                <w:sz w:val="24"/>
                <w:szCs w:val="24"/>
              </w:rPr>
              <w:t xml:space="preserve">40.000 τόνοι </w:t>
            </w:r>
          </w:p>
        </w:tc>
      </w:tr>
      <w:tr w:rsidR="00634E82" w:rsidRPr="00B86C51" w14:paraId="7B4B9F35" w14:textId="77777777" w:rsidTr="00B44C63">
        <w:tc>
          <w:tcPr>
            <w:tcW w:w="4885" w:type="dxa"/>
          </w:tcPr>
          <w:p w14:paraId="38CDD507" w14:textId="6117D108" w:rsidR="00634E82" w:rsidRPr="00B86C51" w:rsidRDefault="00634E82" w:rsidP="00212416">
            <w:pPr>
              <w:jc w:val="both"/>
              <w:rPr>
                <w:rFonts w:ascii="Arial Narrow" w:hAnsi="Arial Narrow" w:cs="Times New Roman"/>
                <w:color w:val="4F81BD" w:themeColor="accent1"/>
                <w:sz w:val="24"/>
                <w:szCs w:val="24"/>
              </w:rPr>
            </w:pPr>
            <w:r w:rsidRPr="00B86C51">
              <w:rPr>
                <w:rFonts w:ascii="Arial Narrow" w:hAnsi="Arial Narrow" w:cs="Times New Roman"/>
                <w:color w:val="4F81BD" w:themeColor="accent1"/>
                <w:sz w:val="24"/>
                <w:szCs w:val="24"/>
              </w:rPr>
              <w:t xml:space="preserve">Μαρούλια </w:t>
            </w:r>
          </w:p>
        </w:tc>
        <w:tc>
          <w:tcPr>
            <w:tcW w:w="4886" w:type="dxa"/>
          </w:tcPr>
          <w:p w14:paraId="4B724EF3" w14:textId="798DCB43" w:rsidR="00634E82" w:rsidRPr="00B86C51" w:rsidRDefault="00535BEC" w:rsidP="00212416">
            <w:pPr>
              <w:jc w:val="both"/>
              <w:rPr>
                <w:rFonts w:ascii="Arial Narrow" w:hAnsi="Arial Narrow" w:cs="Times New Roman"/>
                <w:color w:val="4F81BD" w:themeColor="accent1"/>
                <w:sz w:val="24"/>
                <w:szCs w:val="24"/>
              </w:rPr>
            </w:pPr>
            <w:r w:rsidRPr="00B86C51">
              <w:rPr>
                <w:rFonts w:ascii="Arial Narrow" w:hAnsi="Arial Narrow" w:cs="Times New Roman"/>
                <w:color w:val="4F81BD" w:themeColor="accent1"/>
                <w:sz w:val="24"/>
                <w:szCs w:val="24"/>
              </w:rPr>
              <w:t xml:space="preserve">35.000 τόνοι </w:t>
            </w:r>
          </w:p>
        </w:tc>
      </w:tr>
      <w:tr w:rsidR="00634E82" w:rsidRPr="00B86C51" w14:paraId="27AE10D3" w14:textId="77777777" w:rsidTr="00B44C63">
        <w:tc>
          <w:tcPr>
            <w:tcW w:w="4885" w:type="dxa"/>
          </w:tcPr>
          <w:p w14:paraId="1E13BBB8" w14:textId="6474A4DD" w:rsidR="00634E82" w:rsidRPr="00B86C51" w:rsidRDefault="00535BEC" w:rsidP="00212416">
            <w:pPr>
              <w:jc w:val="both"/>
              <w:rPr>
                <w:rFonts w:ascii="Arial Narrow" w:hAnsi="Arial Narrow" w:cs="Times New Roman"/>
                <w:color w:val="4F81BD" w:themeColor="accent1"/>
                <w:sz w:val="24"/>
                <w:szCs w:val="24"/>
              </w:rPr>
            </w:pPr>
            <w:r w:rsidRPr="00B86C51">
              <w:rPr>
                <w:rFonts w:ascii="Arial Narrow" w:hAnsi="Arial Narrow" w:cs="Times New Roman"/>
                <w:color w:val="4F81BD" w:themeColor="accent1"/>
                <w:sz w:val="24"/>
                <w:szCs w:val="24"/>
              </w:rPr>
              <w:t xml:space="preserve">Μελιτζάνες </w:t>
            </w:r>
          </w:p>
        </w:tc>
        <w:tc>
          <w:tcPr>
            <w:tcW w:w="4886" w:type="dxa"/>
          </w:tcPr>
          <w:p w14:paraId="76153C0F" w14:textId="7992D663" w:rsidR="00634E82" w:rsidRPr="00B86C51" w:rsidRDefault="00535BEC" w:rsidP="00212416">
            <w:pPr>
              <w:jc w:val="both"/>
              <w:rPr>
                <w:rFonts w:ascii="Arial Narrow" w:hAnsi="Arial Narrow" w:cs="Times New Roman"/>
                <w:color w:val="4F81BD" w:themeColor="accent1"/>
                <w:sz w:val="24"/>
                <w:szCs w:val="24"/>
              </w:rPr>
            </w:pPr>
            <w:r w:rsidRPr="00B86C51">
              <w:rPr>
                <w:rFonts w:ascii="Arial Narrow" w:hAnsi="Arial Narrow" w:cs="Times New Roman"/>
                <w:color w:val="4F81BD" w:themeColor="accent1"/>
                <w:sz w:val="24"/>
                <w:szCs w:val="24"/>
              </w:rPr>
              <w:t xml:space="preserve">30.000 τόνοι </w:t>
            </w:r>
          </w:p>
        </w:tc>
      </w:tr>
    </w:tbl>
    <w:p w14:paraId="3381D3A4" w14:textId="16667B55" w:rsidR="00535BEC" w:rsidRPr="00B86C51" w:rsidRDefault="00535BEC" w:rsidP="00212416">
      <w:pPr>
        <w:jc w:val="both"/>
        <w:rPr>
          <w:rFonts w:ascii="Arial Narrow" w:hAnsi="Arial Narrow" w:cs="Times New Roman"/>
          <w:sz w:val="24"/>
          <w:szCs w:val="24"/>
        </w:rPr>
      </w:pPr>
      <w:r w:rsidRPr="00B86C51">
        <w:rPr>
          <w:rFonts w:ascii="Arial Narrow" w:hAnsi="Arial Narrow" w:cs="Times New Roman"/>
          <w:sz w:val="24"/>
          <w:szCs w:val="24"/>
        </w:rPr>
        <w:t>Η παραγωγή λαχανικών πραγματοποιείται κυρίως σε θερμοκήπια.</w:t>
      </w:r>
    </w:p>
    <w:p w14:paraId="75C94434" w14:textId="275C9979" w:rsidR="00535BEC" w:rsidRPr="00E01305" w:rsidRDefault="00535BEC" w:rsidP="00212416">
      <w:pPr>
        <w:jc w:val="both"/>
        <w:rPr>
          <w:rFonts w:ascii="Arial Narrow" w:hAnsi="Arial Narrow" w:cs="Times New Roman"/>
          <w:b/>
          <w:color w:val="1F497D" w:themeColor="text2"/>
          <w:sz w:val="24"/>
          <w:szCs w:val="24"/>
        </w:rPr>
      </w:pPr>
      <w:r>
        <w:rPr>
          <w:rFonts w:ascii="Arial Narrow" w:hAnsi="Arial Narrow" w:cs="Times New Roman"/>
          <w:sz w:val="24"/>
          <w:szCs w:val="24"/>
        </w:rPr>
        <w:tab/>
      </w:r>
      <w:r w:rsidR="00B86C51" w:rsidRPr="00AE0730">
        <w:rPr>
          <w:rFonts w:ascii="Arial Narrow" w:hAnsi="Arial Narrow" w:cs="Times New Roman"/>
          <w:b/>
          <w:color w:val="4F81BD" w:themeColor="accent1"/>
          <w:sz w:val="24"/>
          <w:szCs w:val="24"/>
        </w:rPr>
        <w:t xml:space="preserve">11.5.4. </w:t>
      </w:r>
      <w:r w:rsidRPr="00AE0730">
        <w:rPr>
          <w:rFonts w:ascii="Arial Narrow" w:hAnsi="Arial Narrow" w:cs="Times New Roman"/>
          <w:b/>
          <w:color w:val="4F81BD" w:themeColor="accent1"/>
          <w:sz w:val="24"/>
          <w:szCs w:val="24"/>
        </w:rPr>
        <w:t xml:space="preserve">Κάθετη και Υδροπονική Γεωργία </w:t>
      </w:r>
    </w:p>
    <w:p w14:paraId="1280AA66" w14:textId="33793AC6" w:rsidR="00535BEC" w:rsidRDefault="00535BEC" w:rsidP="00212416">
      <w:pPr>
        <w:jc w:val="both"/>
        <w:rPr>
          <w:rFonts w:ascii="Arial Narrow" w:hAnsi="Arial Narrow" w:cs="Times New Roman"/>
          <w:sz w:val="24"/>
          <w:szCs w:val="24"/>
        </w:rPr>
      </w:pPr>
      <w:r>
        <w:rPr>
          <w:rFonts w:ascii="Arial Narrow" w:hAnsi="Arial Narrow" w:cs="Times New Roman"/>
          <w:color w:val="1F497D" w:themeColor="text2"/>
          <w:sz w:val="24"/>
          <w:szCs w:val="24"/>
        </w:rPr>
        <w:tab/>
      </w:r>
      <w:r>
        <w:rPr>
          <w:rFonts w:ascii="Arial Narrow" w:hAnsi="Arial Narrow" w:cs="Times New Roman"/>
          <w:sz w:val="24"/>
          <w:szCs w:val="24"/>
        </w:rPr>
        <w:t>Τα ΗΑΕ συγκαταλέγονται στους παγκόσμιους πρωτοπόρους της γεωργίας ελεγχόμενου περιβάλλοντος. Ως</w:t>
      </w:r>
      <w:r w:rsidRPr="00535BEC">
        <w:rPr>
          <w:rFonts w:ascii="Arial Narrow" w:hAnsi="Arial Narrow" w:cs="Times New Roman"/>
          <w:sz w:val="24"/>
          <w:szCs w:val="24"/>
          <w:lang w:val="en-AE"/>
        </w:rPr>
        <w:t xml:space="preserve"> </w:t>
      </w:r>
      <w:r>
        <w:rPr>
          <w:rFonts w:ascii="Arial Narrow" w:hAnsi="Arial Narrow" w:cs="Times New Roman"/>
          <w:sz w:val="24"/>
          <w:szCs w:val="24"/>
        </w:rPr>
        <w:t>σημαντικά</w:t>
      </w:r>
      <w:r w:rsidRPr="00535BEC">
        <w:rPr>
          <w:rFonts w:ascii="Arial Narrow" w:hAnsi="Arial Narrow" w:cs="Times New Roman"/>
          <w:sz w:val="24"/>
          <w:szCs w:val="24"/>
          <w:lang w:val="en-AE"/>
        </w:rPr>
        <w:t xml:space="preserve"> </w:t>
      </w:r>
      <w:r>
        <w:rPr>
          <w:rFonts w:ascii="Arial Narrow" w:hAnsi="Arial Narrow" w:cs="Times New Roman"/>
          <w:sz w:val="24"/>
          <w:szCs w:val="24"/>
        </w:rPr>
        <w:t>έργα</w:t>
      </w:r>
      <w:r w:rsidRPr="00535BEC">
        <w:rPr>
          <w:rFonts w:ascii="Arial Narrow" w:hAnsi="Arial Narrow" w:cs="Times New Roman"/>
          <w:sz w:val="24"/>
          <w:szCs w:val="24"/>
          <w:lang w:val="en-AE"/>
        </w:rPr>
        <w:t xml:space="preserve"> </w:t>
      </w:r>
      <w:r>
        <w:rPr>
          <w:rFonts w:ascii="Arial Narrow" w:hAnsi="Arial Narrow" w:cs="Times New Roman"/>
          <w:sz w:val="24"/>
          <w:szCs w:val="24"/>
        </w:rPr>
        <w:t>θεωρούνται</w:t>
      </w:r>
      <w:r w:rsidRPr="00535BEC">
        <w:rPr>
          <w:rFonts w:ascii="Arial Narrow" w:hAnsi="Arial Narrow" w:cs="Times New Roman"/>
          <w:sz w:val="24"/>
          <w:szCs w:val="24"/>
          <w:lang w:val="en-AE"/>
        </w:rPr>
        <w:t xml:space="preserve"> </w:t>
      </w:r>
      <w:r>
        <w:rPr>
          <w:rFonts w:ascii="Arial Narrow" w:hAnsi="Arial Narrow" w:cs="Times New Roman"/>
          <w:sz w:val="24"/>
          <w:szCs w:val="24"/>
        </w:rPr>
        <w:t>τα</w:t>
      </w:r>
      <w:r w:rsidRPr="00535BEC">
        <w:rPr>
          <w:rFonts w:ascii="Arial Narrow" w:hAnsi="Arial Narrow" w:cs="Times New Roman"/>
          <w:sz w:val="24"/>
          <w:szCs w:val="24"/>
          <w:lang w:val="en-AE"/>
        </w:rPr>
        <w:t xml:space="preserve"> </w:t>
      </w:r>
      <w:r>
        <w:rPr>
          <w:rFonts w:ascii="Arial Narrow" w:hAnsi="Arial Narrow" w:cs="Times New Roman"/>
          <w:sz w:val="24"/>
          <w:szCs w:val="24"/>
          <w:lang w:val="en-US"/>
        </w:rPr>
        <w:t>Emirates</w:t>
      </w:r>
      <w:r w:rsidRPr="00535BEC">
        <w:rPr>
          <w:rFonts w:ascii="Arial Narrow" w:hAnsi="Arial Narrow" w:cs="Times New Roman"/>
          <w:sz w:val="24"/>
          <w:szCs w:val="24"/>
          <w:lang w:val="en-AE"/>
        </w:rPr>
        <w:t xml:space="preserve"> </w:t>
      </w:r>
      <w:r>
        <w:rPr>
          <w:rFonts w:ascii="Arial Narrow" w:hAnsi="Arial Narrow" w:cs="Times New Roman"/>
          <w:sz w:val="24"/>
          <w:szCs w:val="24"/>
          <w:lang w:val="en-US"/>
        </w:rPr>
        <w:t>Crop</w:t>
      </w:r>
      <w:r w:rsidRPr="00535BEC">
        <w:rPr>
          <w:rFonts w:ascii="Arial Narrow" w:hAnsi="Arial Narrow" w:cs="Times New Roman"/>
          <w:sz w:val="24"/>
          <w:szCs w:val="24"/>
          <w:lang w:val="en-AE"/>
        </w:rPr>
        <w:t xml:space="preserve"> </w:t>
      </w:r>
      <w:r>
        <w:rPr>
          <w:rFonts w:ascii="Arial Narrow" w:hAnsi="Arial Narrow" w:cs="Times New Roman"/>
          <w:sz w:val="24"/>
          <w:szCs w:val="24"/>
          <w:lang w:val="en-US"/>
        </w:rPr>
        <w:t>One</w:t>
      </w:r>
      <w:r w:rsidRPr="00535BEC">
        <w:rPr>
          <w:rFonts w:ascii="Arial Narrow" w:hAnsi="Arial Narrow" w:cs="Times New Roman"/>
          <w:sz w:val="24"/>
          <w:szCs w:val="24"/>
          <w:lang w:val="en-AE"/>
        </w:rPr>
        <w:t xml:space="preserve">, </w:t>
      </w:r>
      <w:r>
        <w:rPr>
          <w:rFonts w:ascii="Arial Narrow" w:hAnsi="Arial Narrow" w:cs="Times New Roman"/>
          <w:sz w:val="24"/>
          <w:szCs w:val="24"/>
          <w:lang w:val="en-US"/>
        </w:rPr>
        <w:t>Pure</w:t>
      </w:r>
      <w:r w:rsidRPr="00535BEC">
        <w:rPr>
          <w:rFonts w:ascii="Arial Narrow" w:hAnsi="Arial Narrow" w:cs="Times New Roman"/>
          <w:sz w:val="24"/>
          <w:szCs w:val="24"/>
          <w:lang w:val="en-AE"/>
        </w:rPr>
        <w:t xml:space="preserve"> </w:t>
      </w:r>
      <w:r>
        <w:rPr>
          <w:rFonts w:ascii="Arial Narrow" w:hAnsi="Arial Narrow" w:cs="Times New Roman"/>
          <w:sz w:val="24"/>
          <w:szCs w:val="24"/>
          <w:lang w:val="en-US"/>
        </w:rPr>
        <w:t>Harvest</w:t>
      </w:r>
      <w:r w:rsidRPr="00535BEC">
        <w:rPr>
          <w:rFonts w:ascii="Arial Narrow" w:hAnsi="Arial Narrow" w:cs="Times New Roman"/>
          <w:sz w:val="24"/>
          <w:szCs w:val="24"/>
          <w:lang w:val="en-AE"/>
        </w:rPr>
        <w:t xml:space="preserve"> </w:t>
      </w:r>
      <w:r>
        <w:rPr>
          <w:rFonts w:ascii="Arial Narrow" w:hAnsi="Arial Narrow" w:cs="Times New Roman"/>
          <w:sz w:val="24"/>
          <w:szCs w:val="24"/>
          <w:lang w:val="en-US"/>
        </w:rPr>
        <w:t xml:space="preserve">Smart Farms &amp; Madar Farms. </w:t>
      </w:r>
      <w:r>
        <w:rPr>
          <w:rFonts w:ascii="Arial Narrow" w:hAnsi="Arial Narrow" w:cs="Times New Roman"/>
          <w:sz w:val="24"/>
          <w:szCs w:val="24"/>
        </w:rPr>
        <w:t>Οι μονάδες αυ</w:t>
      </w:r>
      <w:r w:rsidR="00AE0730">
        <w:rPr>
          <w:rFonts w:ascii="Arial Narrow" w:hAnsi="Arial Narrow" w:cs="Times New Roman"/>
          <w:sz w:val="24"/>
          <w:szCs w:val="24"/>
        </w:rPr>
        <w:t xml:space="preserve">τές </w:t>
      </w:r>
      <w:r>
        <w:rPr>
          <w:rFonts w:ascii="Arial Narrow" w:hAnsi="Arial Narrow" w:cs="Times New Roman"/>
          <w:sz w:val="24"/>
          <w:szCs w:val="24"/>
        </w:rPr>
        <w:t xml:space="preserve">καταναλώνουν έως και 90% λιγότερο νερό σε σχέση με τις παραδοσιακές καλλιέργειες. </w:t>
      </w:r>
    </w:p>
    <w:p w14:paraId="213A123A" w14:textId="03CCC213" w:rsidR="00535BEC" w:rsidRPr="00AE0730" w:rsidRDefault="00535BEC" w:rsidP="00212416">
      <w:pPr>
        <w:jc w:val="both"/>
        <w:rPr>
          <w:rFonts w:ascii="Arial Narrow" w:hAnsi="Arial Narrow" w:cs="Times New Roman"/>
          <w:b/>
          <w:color w:val="4F81BD" w:themeColor="accent1"/>
          <w:sz w:val="24"/>
          <w:szCs w:val="24"/>
        </w:rPr>
      </w:pPr>
      <w:r>
        <w:rPr>
          <w:rFonts w:ascii="Arial Narrow" w:hAnsi="Arial Narrow" w:cs="Times New Roman"/>
          <w:sz w:val="24"/>
          <w:szCs w:val="24"/>
        </w:rPr>
        <w:tab/>
      </w:r>
      <w:r w:rsidR="00B86C51" w:rsidRPr="00AE0730">
        <w:rPr>
          <w:rFonts w:ascii="Arial Narrow" w:hAnsi="Arial Narrow" w:cs="Times New Roman"/>
          <w:b/>
          <w:color w:val="4F81BD" w:themeColor="accent1"/>
          <w:sz w:val="24"/>
          <w:szCs w:val="24"/>
        </w:rPr>
        <w:t>11.5.</w:t>
      </w:r>
      <w:r w:rsidR="00AE0730" w:rsidRPr="00AE0730">
        <w:rPr>
          <w:rFonts w:ascii="Arial Narrow" w:hAnsi="Arial Narrow" w:cs="Times New Roman"/>
          <w:b/>
          <w:color w:val="4F81BD" w:themeColor="accent1"/>
          <w:sz w:val="24"/>
          <w:szCs w:val="24"/>
        </w:rPr>
        <w:t xml:space="preserve">5. </w:t>
      </w:r>
      <w:r w:rsidRPr="00AE0730">
        <w:rPr>
          <w:rFonts w:ascii="Arial Narrow" w:hAnsi="Arial Narrow" w:cs="Times New Roman"/>
          <w:b/>
          <w:color w:val="4F81BD" w:themeColor="accent1"/>
          <w:sz w:val="24"/>
          <w:szCs w:val="24"/>
        </w:rPr>
        <w:t xml:space="preserve">Κτηνοτροφία </w:t>
      </w:r>
    </w:p>
    <w:p w14:paraId="0EC753CB" w14:textId="130BD83C" w:rsidR="00535BEC" w:rsidRPr="00AE0730" w:rsidRDefault="00535BEC" w:rsidP="00212416">
      <w:pPr>
        <w:jc w:val="both"/>
        <w:rPr>
          <w:rFonts w:ascii="Arial Narrow" w:hAnsi="Arial Narrow" w:cs="Times New Roman"/>
          <w:b/>
          <w:color w:val="4F81BD" w:themeColor="accent1"/>
          <w:sz w:val="24"/>
          <w:szCs w:val="24"/>
        </w:rPr>
      </w:pPr>
      <w:r>
        <w:rPr>
          <w:rFonts w:ascii="Arial Narrow" w:hAnsi="Arial Narrow" w:cs="Times New Roman"/>
          <w:color w:val="548DD4" w:themeColor="text2" w:themeTint="99"/>
          <w:sz w:val="24"/>
          <w:szCs w:val="24"/>
        </w:rPr>
        <w:tab/>
      </w:r>
      <w:r w:rsidR="00AE0730" w:rsidRPr="00AE0730">
        <w:rPr>
          <w:rFonts w:ascii="Arial Narrow" w:hAnsi="Arial Narrow" w:cs="Times New Roman"/>
          <w:b/>
          <w:color w:val="4F81BD" w:themeColor="accent1"/>
          <w:sz w:val="24"/>
          <w:szCs w:val="24"/>
        </w:rPr>
        <w:t>11.5.6.</w:t>
      </w:r>
      <w:r w:rsidRPr="00AE0730">
        <w:rPr>
          <w:rFonts w:ascii="Arial Narrow" w:hAnsi="Arial Narrow" w:cs="Times New Roman"/>
          <w:b/>
          <w:color w:val="4F81BD" w:themeColor="accent1"/>
          <w:sz w:val="24"/>
          <w:szCs w:val="24"/>
        </w:rPr>
        <w:t xml:space="preserve"> Γενική Εικόνα</w:t>
      </w:r>
    </w:p>
    <w:p w14:paraId="013138C5" w14:textId="7A20E6AD" w:rsidR="00535BEC" w:rsidRDefault="00535BEC" w:rsidP="00212416">
      <w:pPr>
        <w:jc w:val="both"/>
        <w:rPr>
          <w:rFonts w:ascii="Arial Narrow" w:hAnsi="Arial Narrow" w:cs="Times New Roman"/>
          <w:sz w:val="24"/>
          <w:szCs w:val="24"/>
        </w:rPr>
      </w:pPr>
      <w:r>
        <w:rPr>
          <w:rFonts w:ascii="Arial Narrow" w:hAnsi="Arial Narrow" w:cs="Times New Roman"/>
          <w:color w:val="548DD4" w:themeColor="text2" w:themeTint="99"/>
          <w:sz w:val="24"/>
          <w:szCs w:val="24"/>
        </w:rPr>
        <w:tab/>
      </w:r>
      <w:r>
        <w:rPr>
          <w:rFonts w:ascii="Arial Narrow" w:hAnsi="Arial Narrow" w:cs="Times New Roman"/>
          <w:sz w:val="24"/>
          <w:szCs w:val="24"/>
        </w:rPr>
        <w:t xml:space="preserve">Η κτηνοτροφία επικεντρώνεται κυρίως σε καμήλες, αίγες, πρόβατα, βοοειδή &amp; πουλερικά. Η κυβέρνηση επιδοτεί σημαντικά το κλάδο ώστε να αυξηθεί η εγχώρια παραγωγή κρέατος και γαλακτοκομικών. </w:t>
      </w:r>
    </w:p>
    <w:p w14:paraId="5B3E713C" w14:textId="7DCD0546" w:rsidR="00535BEC" w:rsidRPr="006902AB" w:rsidRDefault="00535BEC" w:rsidP="00212416">
      <w:pPr>
        <w:jc w:val="both"/>
        <w:rPr>
          <w:rFonts w:ascii="Arial Narrow" w:hAnsi="Arial Narrow" w:cs="Times New Roman"/>
          <w:b/>
          <w:color w:val="1F497D" w:themeColor="text2"/>
          <w:sz w:val="24"/>
          <w:szCs w:val="24"/>
        </w:rPr>
      </w:pPr>
      <w:r>
        <w:rPr>
          <w:rFonts w:ascii="Arial Narrow" w:hAnsi="Arial Narrow" w:cs="Times New Roman"/>
          <w:sz w:val="24"/>
          <w:szCs w:val="24"/>
        </w:rPr>
        <w:tab/>
      </w:r>
      <w:r w:rsidR="00AE0730" w:rsidRPr="00AE0730">
        <w:rPr>
          <w:rFonts w:ascii="Arial Narrow" w:hAnsi="Arial Narrow" w:cs="Times New Roman"/>
          <w:b/>
          <w:color w:val="4F81BD" w:themeColor="accent1"/>
          <w:sz w:val="24"/>
          <w:szCs w:val="24"/>
        </w:rPr>
        <w:t xml:space="preserve">11.5.7. </w:t>
      </w:r>
      <w:r w:rsidRPr="00AE0730">
        <w:rPr>
          <w:rFonts w:ascii="Arial Narrow" w:hAnsi="Arial Narrow" w:cs="Times New Roman"/>
          <w:b/>
          <w:color w:val="4F81BD" w:themeColor="accent1"/>
          <w:sz w:val="24"/>
          <w:szCs w:val="24"/>
        </w:rPr>
        <w:t xml:space="preserve">Ζωϊκό Κεφάλαιο </w:t>
      </w:r>
    </w:p>
    <w:tbl>
      <w:tblPr>
        <w:tblStyle w:val="TableGrid"/>
        <w:tblW w:w="0" w:type="auto"/>
        <w:tblLook w:val="04A0" w:firstRow="1" w:lastRow="0" w:firstColumn="1" w:lastColumn="0" w:noHBand="0" w:noVBand="1"/>
      </w:tblPr>
      <w:tblGrid>
        <w:gridCol w:w="4885"/>
        <w:gridCol w:w="4886"/>
      </w:tblGrid>
      <w:tr w:rsidR="00A62F9B" w:rsidRPr="00A62F9B" w14:paraId="10A6FEA0" w14:textId="77777777" w:rsidTr="00535BEC">
        <w:tc>
          <w:tcPr>
            <w:tcW w:w="4885" w:type="dxa"/>
          </w:tcPr>
          <w:p w14:paraId="63C0840C" w14:textId="7C86645D" w:rsidR="00535BEC" w:rsidRPr="00A62F9B" w:rsidRDefault="00A62F9B" w:rsidP="00212416">
            <w:pPr>
              <w:jc w:val="both"/>
              <w:rPr>
                <w:rFonts w:ascii="Arial Narrow" w:hAnsi="Arial Narrow" w:cs="Times New Roman"/>
                <w:color w:val="548DD4" w:themeColor="text2" w:themeTint="99"/>
                <w:sz w:val="24"/>
                <w:szCs w:val="24"/>
              </w:rPr>
            </w:pPr>
            <w:r w:rsidRPr="00A62F9B">
              <w:rPr>
                <w:rFonts w:ascii="Arial Narrow" w:hAnsi="Arial Narrow" w:cs="Times New Roman"/>
                <w:color w:val="548DD4" w:themeColor="text2" w:themeTint="99"/>
                <w:sz w:val="24"/>
                <w:szCs w:val="24"/>
              </w:rPr>
              <w:t xml:space="preserve">Είδος </w:t>
            </w:r>
          </w:p>
        </w:tc>
        <w:tc>
          <w:tcPr>
            <w:tcW w:w="4886" w:type="dxa"/>
          </w:tcPr>
          <w:p w14:paraId="6B96BB94" w14:textId="142060A0" w:rsidR="00535BEC" w:rsidRPr="00A62F9B" w:rsidRDefault="00A62F9B" w:rsidP="00212416">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 xml:space="preserve">Εκτιμώμενος Πληθυσμός </w:t>
            </w:r>
          </w:p>
        </w:tc>
      </w:tr>
      <w:tr w:rsidR="00A62F9B" w:rsidRPr="00A62F9B" w14:paraId="5D4C7E41" w14:textId="77777777" w:rsidTr="00535BEC">
        <w:tc>
          <w:tcPr>
            <w:tcW w:w="4885" w:type="dxa"/>
          </w:tcPr>
          <w:p w14:paraId="7182FC4A" w14:textId="7EBA4DBF" w:rsidR="00535BEC" w:rsidRPr="00A62F9B" w:rsidRDefault="00A62F9B" w:rsidP="00212416">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Αίγες</w:t>
            </w:r>
          </w:p>
        </w:tc>
        <w:tc>
          <w:tcPr>
            <w:tcW w:w="4886" w:type="dxa"/>
          </w:tcPr>
          <w:p w14:paraId="49159D9D" w14:textId="3D6A603C" w:rsidR="00535BEC" w:rsidRPr="00A62F9B" w:rsidRDefault="00A62F9B" w:rsidP="00212416">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 xml:space="preserve">2,8 εκατομμύρια </w:t>
            </w:r>
          </w:p>
        </w:tc>
      </w:tr>
      <w:tr w:rsidR="00A62F9B" w:rsidRPr="00A62F9B" w14:paraId="20178421" w14:textId="77777777" w:rsidTr="00535BEC">
        <w:tc>
          <w:tcPr>
            <w:tcW w:w="4885" w:type="dxa"/>
          </w:tcPr>
          <w:p w14:paraId="5A9464DE" w14:textId="0F6F693A" w:rsidR="00535BEC" w:rsidRPr="00A62F9B" w:rsidRDefault="00A62F9B" w:rsidP="00212416">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Πρόβατα</w:t>
            </w:r>
          </w:p>
        </w:tc>
        <w:tc>
          <w:tcPr>
            <w:tcW w:w="4886" w:type="dxa"/>
          </w:tcPr>
          <w:p w14:paraId="09EE9003" w14:textId="6722D292" w:rsidR="00535BEC" w:rsidRPr="00A62F9B" w:rsidRDefault="00A62F9B" w:rsidP="00212416">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 xml:space="preserve">2,2 εκατομμύρια </w:t>
            </w:r>
          </w:p>
        </w:tc>
      </w:tr>
      <w:tr w:rsidR="00A62F9B" w:rsidRPr="00A62F9B" w14:paraId="25BB8923" w14:textId="77777777" w:rsidTr="00535BEC">
        <w:tc>
          <w:tcPr>
            <w:tcW w:w="4885" w:type="dxa"/>
          </w:tcPr>
          <w:p w14:paraId="4134B2F1" w14:textId="1AC0AA7A" w:rsidR="00535BEC" w:rsidRPr="00A62F9B" w:rsidRDefault="00A62F9B" w:rsidP="00212416">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 xml:space="preserve">Καμήλες </w:t>
            </w:r>
          </w:p>
        </w:tc>
        <w:tc>
          <w:tcPr>
            <w:tcW w:w="4886" w:type="dxa"/>
          </w:tcPr>
          <w:p w14:paraId="1DC18FEF" w14:textId="7D8E68FF" w:rsidR="00535BEC" w:rsidRPr="00A62F9B" w:rsidRDefault="00A62F9B" w:rsidP="00212416">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500.000</w:t>
            </w:r>
          </w:p>
        </w:tc>
      </w:tr>
      <w:tr w:rsidR="00A62F9B" w:rsidRPr="00A62F9B" w14:paraId="0974485E" w14:textId="77777777" w:rsidTr="00535BEC">
        <w:tc>
          <w:tcPr>
            <w:tcW w:w="4885" w:type="dxa"/>
          </w:tcPr>
          <w:p w14:paraId="2688B7DE" w14:textId="638905D4" w:rsidR="00535BEC" w:rsidRPr="00A62F9B" w:rsidRDefault="00A62F9B" w:rsidP="00212416">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 xml:space="preserve">Βοοειδή </w:t>
            </w:r>
          </w:p>
        </w:tc>
        <w:tc>
          <w:tcPr>
            <w:tcW w:w="4886" w:type="dxa"/>
          </w:tcPr>
          <w:p w14:paraId="6602834F" w14:textId="197364CF" w:rsidR="00535BEC" w:rsidRPr="00A62F9B" w:rsidRDefault="00A62F9B" w:rsidP="00212416">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120.000</w:t>
            </w:r>
          </w:p>
        </w:tc>
      </w:tr>
      <w:tr w:rsidR="00A62F9B" w:rsidRPr="00A62F9B" w14:paraId="515CCF92" w14:textId="77777777" w:rsidTr="00535BEC">
        <w:tc>
          <w:tcPr>
            <w:tcW w:w="4885" w:type="dxa"/>
          </w:tcPr>
          <w:p w14:paraId="583DC98A" w14:textId="003137C4" w:rsidR="00A62F9B" w:rsidRPr="00A62F9B" w:rsidRDefault="00A62F9B" w:rsidP="00212416">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 xml:space="preserve">Πουλερικά </w:t>
            </w:r>
          </w:p>
        </w:tc>
        <w:tc>
          <w:tcPr>
            <w:tcW w:w="4886" w:type="dxa"/>
          </w:tcPr>
          <w:p w14:paraId="5569A7F2" w14:textId="376FA532" w:rsidR="00A62F9B" w:rsidRPr="00A62F9B" w:rsidRDefault="00A62F9B" w:rsidP="00212416">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 xml:space="preserve">45 εκατομμύρια </w:t>
            </w:r>
          </w:p>
        </w:tc>
      </w:tr>
      <w:tr w:rsidR="00A62F9B" w:rsidRPr="00A62F9B" w14:paraId="190771D3" w14:textId="77777777" w:rsidTr="00535BEC">
        <w:tc>
          <w:tcPr>
            <w:tcW w:w="4885" w:type="dxa"/>
          </w:tcPr>
          <w:p w14:paraId="7093FA04" w14:textId="53BC65FA" w:rsidR="00A62F9B" w:rsidRPr="00A62F9B" w:rsidRDefault="00A62F9B" w:rsidP="00212416">
            <w:pPr>
              <w:jc w:val="both"/>
              <w:rPr>
                <w:rFonts w:ascii="Arial Narrow" w:hAnsi="Arial Narrow" w:cs="Times New Roman"/>
                <w:color w:val="548DD4" w:themeColor="text2" w:themeTint="99"/>
                <w:sz w:val="24"/>
                <w:szCs w:val="24"/>
              </w:rPr>
            </w:pPr>
            <w:r>
              <w:rPr>
                <w:rFonts w:ascii="Arial Narrow" w:hAnsi="Arial Narrow" w:cs="Times New Roman"/>
                <w:color w:val="548DD4" w:themeColor="text2" w:themeTint="99"/>
                <w:sz w:val="24"/>
                <w:szCs w:val="24"/>
              </w:rPr>
              <w:t xml:space="preserve">Οι καμήλες αποτελούν σημαντικό στοιχείο της πολιτιστικής κληρονομιάς των ΗΑΕ </w:t>
            </w:r>
          </w:p>
        </w:tc>
        <w:tc>
          <w:tcPr>
            <w:tcW w:w="4886" w:type="dxa"/>
          </w:tcPr>
          <w:p w14:paraId="77EB4D75" w14:textId="77777777" w:rsidR="00A62F9B" w:rsidRPr="00A62F9B" w:rsidRDefault="00A62F9B" w:rsidP="00212416">
            <w:pPr>
              <w:jc w:val="both"/>
              <w:rPr>
                <w:rFonts w:ascii="Arial Narrow" w:hAnsi="Arial Narrow" w:cs="Times New Roman"/>
                <w:color w:val="548DD4" w:themeColor="text2" w:themeTint="99"/>
                <w:sz w:val="24"/>
                <w:szCs w:val="24"/>
              </w:rPr>
            </w:pPr>
          </w:p>
        </w:tc>
      </w:tr>
      <w:tr w:rsidR="00A62F9B" w:rsidRPr="00A62F9B" w14:paraId="47EB2B0A" w14:textId="77777777" w:rsidTr="00535BEC">
        <w:tc>
          <w:tcPr>
            <w:tcW w:w="4885" w:type="dxa"/>
          </w:tcPr>
          <w:p w14:paraId="4DA669EB" w14:textId="77777777" w:rsidR="00A62F9B" w:rsidRPr="00A62F9B" w:rsidRDefault="00A62F9B" w:rsidP="00212416">
            <w:pPr>
              <w:jc w:val="both"/>
              <w:rPr>
                <w:rFonts w:ascii="Arial Narrow" w:hAnsi="Arial Narrow" w:cs="Times New Roman"/>
                <w:color w:val="548DD4" w:themeColor="text2" w:themeTint="99"/>
                <w:sz w:val="24"/>
                <w:szCs w:val="24"/>
              </w:rPr>
            </w:pPr>
          </w:p>
        </w:tc>
        <w:tc>
          <w:tcPr>
            <w:tcW w:w="4886" w:type="dxa"/>
          </w:tcPr>
          <w:p w14:paraId="043A340B" w14:textId="77777777" w:rsidR="00A62F9B" w:rsidRPr="00A62F9B" w:rsidRDefault="00A62F9B" w:rsidP="00212416">
            <w:pPr>
              <w:jc w:val="both"/>
              <w:rPr>
                <w:rFonts w:ascii="Arial Narrow" w:hAnsi="Arial Narrow" w:cs="Times New Roman"/>
                <w:color w:val="548DD4" w:themeColor="text2" w:themeTint="99"/>
                <w:sz w:val="24"/>
                <w:szCs w:val="24"/>
              </w:rPr>
            </w:pPr>
          </w:p>
        </w:tc>
      </w:tr>
      <w:tr w:rsidR="00A62F9B" w:rsidRPr="00A62F9B" w14:paraId="3131E516" w14:textId="77777777" w:rsidTr="00535BEC">
        <w:tc>
          <w:tcPr>
            <w:tcW w:w="4885" w:type="dxa"/>
          </w:tcPr>
          <w:p w14:paraId="23DEFC72" w14:textId="77777777" w:rsidR="00A62F9B" w:rsidRPr="00A62F9B" w:rsidRDefault="00A62F9B" w:rsidP="00212416">
            <w:pPr>
              <w:jc w:val="both"/>
              <w:rPr>
                <w:rFonts w:ascii="Arial Narrow" w:hAnsi="Arial Narrow" w:cs="Times New Roman"/>
                <w:color w:val="548DD4" w:themeColor="text2" w:themeTint="99"/>
                <w:sz w:val="24"/>
                <w:szCs w:val="24"/>
              </w:rPr>
            </w:pPr>
          </w:p>
        </w:tc>
        <w:tc>
          <w:tcPr>
            <w:tcW w:w="4886" w:type="dxa"/>
          </w:tcPr>
          <w:p w14:paraId="3C8764C6" w14:textId="77777777" w:rsidR="00A62F9B" w:rsidRPr="00A62F9B" w:rsidRDefault="00A62F9B" w:rsidP="00212416">
            <w:pPr>
              <w:jc w:val="both"/>
              <w:rPr>
                <w:rFonts w:ascii="Arial Narrow" w:hAnsi="Arial Narrow" w:cs="Times New Roman"/>
                <w:color w:val="548DD4" w:themeColor="text2" w:themeTint="99"/>
                <w:sz w:val="24"/>
                <w:szCs w:val="24"/>
              </w:rPr>
            </w:pPr>
          </w:p>
        </w:tc>
      </w:tr>
      <w:tr w:rsidR="00A62F9B" w:rsidRPr="00A62F9B" w14:paraId="69AAB310" w14:textId="77777777" w:rsidTr="00535BEC">
        <w:tc>
          <w:tcPr>
            <w:tcW w:w="4885" w:type="dxa"/>
          </w:tcPr>
          <w:p w14:paraId="622E38B5" w14:textId="77777777" w:rsidR="00A62F9B" w:rsidRPr="00A62F9B" w:rsidRDefault="00A62F9B" w:rsidP="00212416">
            <w:pPr>
              <w:jc w:val="both"/>
              <w:rPr>
                <w:rFonts w:ascii="Arial Narrow" w:hAnsi="Arial Narrow" w:cs="Times New Roman"/>
                <w:color w:val="548DD4" w:themeColor="text2" w:themeTint="99"/>
                <w:sz w:val="24"/>
                <w:szCs w:val="24"/>
              </w:rPr>
            </w:pPr>
          </w:p>
        </w:tc>
        <w:tc>
          <w:tcPr>
            <w:tcW w:w="4886" w:type="dxa"/>
          </w:tcPr>
          <w:p w14:paraId="22426F0B" w14:textId="77777777" w:rsidR="00A62F9B" w:rsidRPr="00A62F9B" w:rsidRDefault="00A62F9B" w:rsidP="00212416">
            <w:pPr>
              <w:jc w:val="both"/>
              <w:rPr>
                <w:rFonts w:ascii="Arial Narrow" w:hAnsi="Arial Narrow" w:cs="Times New Roman"/>
                <w:color w:val="548DD4" w:themeColor="text2" w:themeTint="99"/>
                <w:sz w:val="24"/>
                <w:szCs w:val="24"/>
              </w:rPr>
            </w:pPr>
          </w:p>
        </w:tc>
      </w:tr>
    </w:tbl>
    <w:p w14:paraId="1DD7F3CB" w14:textId="0EF4360C" w:rsidR="00535BEC" w:rsidRDefault="00535BEC" w:rsidP="00212416">
      <w:pPr>
        <w:jc w:val="both"/>
        <w:rPr>
          <w:rFonts w:ascii="Arial Narrow" w:hAnsi="Arial Narrow" w:cs="Times New Roman"/>
          <w:sz w:val="24"/>
          <w:szCs w:val="24"/>
        </w:rPr>
      </w:pPr>
    </w:p>
    <w:p w14:paraId="49CA2F5E" w14:textId="2DAA1CC8" w:rsidR="008D29E9" w:rsidRPr="00AE0730" w:rsidRDefault="008D29E9" w:rsidP="00212416">
      <w:pPr>
        <w:jc w:val="both"/>
        <w:rPr>
          <w:rFonts w:ascii="Arial Narrow" w:hAnsi="Arial Narrow" w:cs="Times New Roman"/>
          <w:b/>
          <w:color w:val="4F81BD" w:themeColor="accent1"/>
          <w:sz w:val="24"/>
          <w:szCs w:val="24"/>
        </w:rPr>
      </w:pPr>
      <w:r>
        <w:rPr>
          <w:rFonts w:ascii="Arial Narrow" w:hAnsi="Arial Narrow" w:cs="Times New Roman"/>
          <w:sz w:val="24"/>
          <w:szCs w:val="24"/>
        </w:rPr>
        <w:tab/>
      </w:r>
      <w:r w:rsidR="00AE0730" w:rsidRPr="00AE0730">
        <w:rPr>
          <w:rFonts w:ascii="Arial Narrow" w:hAnsi="Arial Narrow" w:cs="Times New Roman"/>
          <w:b/>
          <w:color w:val="4F81BD" w:themeColor="accent1"/>
          <w:sz w:val="24"/>
          <w:szCs w:val="24"/>
        </w:rPr>
        <w:t xml:space="preserve">11.5.8. </w:t>
      </w:r>
      <w:r w:rsidR="00A237A8" w:rsidRPr="00AE0730">
        <w:rPr>
          <w:rFonts w:ascii="Arial Narrow" w:hAnsi="Arial Narrow" w:cs="Times New Roman"/>
          <w:b/>
          <w:color w:val="4F81BD" w:themeColor="accent1"/>
          <w:sz w:val="24"/>
          <w:szCs w:val="24"/>
        </w:rPr>
        <w:t>Γαλακτομικός Τομέας</w:t>
      </w:r>
    </w:p>
    <w:p w14:paraId="49AB0E56" w14:textId="02D70047" w:rsidR="00D52A2A" w:rsidRPr="00A237A8" w:rsidRDefault="00A237A8" w:rsidP="00212416">
      <w:pPr>
        <w:jc w:val="both"/>
        <w:rPr>
          <w:rFonts w:ascii="Arial Narrow" w:hAnsi="Arial Narrow" w:cs="Times New Roman"/>
          <w:sz w:val="24"/>
          <w:szCs w:val="24"/>
        </w:rPr>
      </w:pPr>
      <w:r>
        <w:rPr>
          <w:rFonts w:ascii="Arial Narrow" w:hAnsi="Arial Narrow" w:cs="Times New Roman"/>
          <w:color w:val="1F497D" w:themeColor="text2"/>
          <w:sz w:val="24"/>
          <w:szCs w:val="24"/>
        </w:rPr>
        <w:tab/>
      </w:r>
      <w:r>
        <w:rPr>
          <w:rFonts w:ascii="Arial Narrow" w:hAnsi="Arial Narrow" w:cs="Times New Roman"/>
          <w:sz w:val="24"/>
          <w:szCs w:val="24"/>
        </w:rPr>
        <w:t xml:space="preserve">Η εγχώρια παραγωγή γάλακτος αυξάνεται συνεχώς ώσε τα ΗΑΕ έχουν επιτύχει σχεδόν πλήρη αυτάρεια σε νωπό γάλα. Οι μεγαλύτερες γακακτοβιομηχανίες είναι </w:t>
      </w:r>
      <w:r w:rsidRPr="00A237A8">
        <w:rPr>
          <w:rFonts w:ascii="Arial Narrow" w:hAnsi="Arial Narrow" w:cs="Times New Roman"/>
          <w:b/>
          <w:sz w:val="24"/>
          <w:szCs w:val="24"/>
        </w:rPr>
        <w:t xml:space="preserve">η </w:t>
      </w:r>
      <w:r w:rsidRPr="00A237A8">
        <w:rPr>
          <w:rFonts w:ascii="Arial Narrow" w:hAnsi="Arial Narrow" w:cs="Times New Roman"/>
          <w:b/>
          <w:sz w:val="24"/>
          <w:szCs w:val="24"/>
          <w:lang w:val="en-US"/>
        </w:rPr>
        <w:t>Al</w:t>
      </w:r>
      <w:r w:rsidRPr="00A237A8">
        <w:rPr>
          <w:rFonts w:ascii="Arial Narrow" w:hAnsi="Arial Narrow" w:cs="Times New Roman"/>
          <w:b/>
          <w:sz w:val="24"/>
          <w:szCs w:val="24"/>
        </w:rPr>
        <w:t xml:space="preserve"> </w:t>
      </w:r>
      <w:r w:rsidRPr="00A237A8">
        <w:rPr>
          <w:rFonts w:ascii="Arial Narrow" w:hAnsi="Arial Narrow" w:cs="Times New Roman"/>
          <w:b/>
          <w:sz w:val="24"/>
          <w:szCs w:val="24"/>
          <w:lang w:val="en-US"/>
        </w:rPr>
        <w:t>Ain</w:t>
      </w:r>
      <w:r w:rsidRPr="00A237A8">
        <w:rPr>
          <w:rFonts w:ascii="Arial Narrow" w:hAnsi="Arial Narrow" w:cs="Times New Roman"/>
          <w:b/>
          <w:sz w:val="24"/>
          <w:szCs w:val="24"/>
        </w:rPr>
        <w:t xml:space="preserve"> </w:t>
      </w:r>
      <w:r w:rsidRPr="00A237A8">
        <w:rPr>
          <w:rFonts w:ascii="Arial Narrow" w:hAnsi="Arial Narrow" w:cs="Times New Roman"/>
          <w:b/>
          <w:sz w:val="24"/>
          <w:szCs w:val="24"/>
          <w:lang w:val="en-US"/>
        </w:rPr>
        <w:t>Farms</w:t>
      </w:r>
      <w:r w:rsidRPr="00A237A8">
        <w:rPr>
          <w:rFonts w:ascii="Arial Narrow" w:hAnsi="Arial Narrow" w:cs="Times New Roman"/>
          <w:b/>
          <w:sz w:val="24"/>
          <w:szCs w:val="24"/>
        </w:rPr>
        <w:t xml:space="preserve">, </w:t>
      </w:r>
      <w:r w:rsidRPr="00A237A8">
        <w:rPr>
          <w:rFonts w:ascii="Arial Narrow" w:hAnsi="Arial Narrow" w:cs="Times New Roman"/>
          <w:b/>
          <w:sz w:val="24"/>
          <w:szCs w:val="24"/>
          <w:lang w:val="en-US"/>
        </w:rPr>
        <w:t>Al</w:t>
      </w:r>
      <w:r w:rsidRPr="00A237A8">
        <w:rPr>
          <w:rFonts w:ascii="Arial Narrow" w:hAnsi="Arial Narrow" w:cs="Times New Roman"/>
          <w:b/>
          <w:sz w:val="24"/>
          <w:szCs w:val="24"/>
        </w:rPr>
        <w:t xml:space="preserve"> </w:t>
      </w:r>
      <w:r w:rsidRPr="00A237A8">
        <w:rPr>
          <w:rFonts w:ascii="Arial Narrow" w:hAnsi="Arial Narrow" w:cs="Times New Roman"/>
          <w:b/>
          <w:sz w:val="24"/>
          <w:szCs w:val="24"/>
          <w:lang w:val="en-US"/>
        </w:rPr>
        <w:t>Rawabi</w:t>
      </w:r>
      <w:r w:rsidRPr="00A237A8">
        <w:rPr>
          <w:rFonts w:ascii="Arial Narrow" w:hAnsi="Arial Narrow" w:cs="Times New Roman"/>
          <w:b/>
          <w:sz w:val="24"/>
          <w:szCs w:val="24"/>
        </w:rPr>
        <w:t xml:space="preserve"> </w:t>
      </w:r>
      <w:r w:rsidRPr="00A237A8">
        <w:rPr>
          <w:rFonts w:ascii="Arial Narrow" w:hAnsi="Arial Narrow" w:cs="Times New Roman"/>
          <w:b/>
          <w:sz w:val="24"/>
          <w:szCs w:val="24"/>
          <w:lang w:val="en-US"/>
        </w:rPr>
        <w:t>Dairy</w:t>
      </w:r>
      <w:r w:rsidRPr="00A237A8">
        <w:rPr>
          <w:rFonts w:ascii="Arial Narrow" w:hAnsi="Arial Narrow" w:cs="Times New Roman"/>
          <w:b/>
          <w:sz w:val="24"/>
          <w:szCs w:val="24"/>
        </w:rPr>
        <w:t xml:space="preserve"> &amp; </w:t>
      </w:r>
      <w:r w:rsidRPr="00A237A8">
        <w:rPr>
          <w:rFonts w:ascii="Arial Narrow" w:hAnsi="Arial Narrow" w:cs="Times New Roman"/>
          <w:b/>
          <w:sz w:val="24"/>
          <w:szCs w:val="24"/>
          <w:lang w:val="en-US"/>
        </w:rPr>
        <w:t>National</w:t>
      </w:r>
      <w:r w:rsidRPr="00A237A8">
        <w:rPr>
          <w:rFonts w:ascii="Arial Narrow" w:hAnsi="Arial Narrow" w:cs="Times New Roman"/>
          <w:b/>
          <w:sz w:val="24"/>
          <w:szCs w:val="24"/>
        </w:rPr>
        <w:t xml:space="preserve"> </w:t>
      </w:r>
      <w:r w:rsidRPr="00A237A8">
        <w:rPr>
          <w:rFonts w:ascii="Arial Narrow" w:hAnsi="Arial Narrow" w:cs="Times New Roman"/>
          <w:b/>
          <w:sz w:val="24"/>
          <w:szCs w:val="24"/>
          <w:lang w:val="en-US"/>
        </w:rPr>
        <w:t>Dairy</w:t>
      </w:r>
      <w:r w:rsidRPr="00A237A8">
        <w:rPr>
          <w:rFonts w:ascii="Arial Narrow" w:hAnsi="Arial Narrow" w:cs="Times New Roman"/>
          <w:b/>
          <w:sz w:val="24"/>
          <w:szCs w:val="24"/>
        </w:rPr>
        <w:t xml:space="preserve"> </w:t>
      </w:r>
      <w:r w:rsidRPr="00A237A8">
        <w:rPr>
          <w:rFonts w:ascii="Arial Narrow" w:hAnsi="Arial Narrow" w:cs="Times New Roman"/>
          <w:b/>
          <w:sz w:val="24"/>
          <w:szCs w:val="24"/>
          <w:lang w:val="en-US"/>
        </w:rPr>
        <w:t>LLC</w:t>
      </w:r>
      <w:r w:rsidR="006902AB">
        <w:rPr>
          <w:rFonts w:ascii="Arial Narrow" w:hAnsi="Arial Narrow" w:cs="Times New Roman"/>
          <w:sz w:val="24"/>
          <w:szCs w:val="24"/>
        </w:rPr>
        <w:t>.</w:t>
      </w:r>
    </w:p>
    <w:p w14:paraId="24CFE2EA" w14:textId="6D4FF686" w:rsidR="00350B5A" w:rsidRPr="00AE0730" w:rsidRDefault="00A237A8" w:rsidP="00212416">
      <w:pPr>
        <w:jc w:val="both"/>
        <w:rPr>
          <w:rFonts w:ascii="Arial Narrow" w:hAnsi="Arial Narrow" w:cs="Times New Roman"/>
          <w:b/>
          <w:color w:val="4F81BD" w:themeColor="accent1"/>
          <w:sz w:val="24"/>
          <w:szCs w:val="24"/>
        </w:rPr>
      </w:pPr>
      <w:r>
        <w:rPr>
          <w:rFonts w:ascii="Arial Narrow" w:hAnsi="Arial Narrow" w:cs="Times New Roman"/>
          <w:sz w:val="24"/>
          <w:szCs w:val="24"/>
        </w:rPr>
        <w:tab/>
      </w:r>
      <w:r w:rsidR="00AE0730" w:rsidRPr="00AE0730">
        <w:rPr>
          <w:rFonts w:ascii="Arial Narrow" w:hAnsi="Arial Narrow" w:cs="Times New Roman"/>
          <w:b/>
          <w:color w:val="4F81BD" w:themeColor="accent1"/>
          <w:sz w:val="24"/>
          <w:szCs w:val="24"/>
        </w:rPr>
        <w:t xml:space="preserve">11.5.9. </w:t>
      </w:r>
      <w:r w:rsidR="00D52A2A" w:rsidRPr="00AE0730">
        <w:rPr>
          <w:rFonts w:ascii="Arial Narrow" w:hAnsi="Arial Narrow" w:cs="Times New Roman"/>
          <w:b/>
          <w:color w:val="4F81BD" w:themeColor="accent1"/>
          <w:sz w:val="24"/>
          <w:szCs w:val="24"/>
        </w:rPr>
        <w:t xml:space="preserve">Παραγωγή Κρέατος </w:t>
      </w:r>
    </w:p>
    <w:p w14:paraId="0C5A47E2" w14:textId="047C1E20" w:rsidR="00D52A2A" w:rsidRDefault="00D52A2A" w:rsidP="00212416">
      <w:pPr>
        <w:jc w:val="both"/>
        <w:rPr>
          <w:rFonts w:ascii="Arial Narrow" w:hAnsi="Arial Narrow" w:cs="Times New Roman"/>
          <w:sz w:val="24"/>
          <w:szCs w:val="24"/>
        </w:rPr>
      </w:pPr>
      <w:r>
        <w:rPr>
          <w:rFonts w:ascii="Arial Narrow" w:hAnsi="Arial Narrow" w:cs="Times New Roman"/>
          <w:color w:val="1F497D" w:themeColor="text2"/>
          <w:sz w:val="24"/>
          <w:szCs w:val="24"/>
        </w:rPr>
        <w:tab/>
      </w:r>
      <w:r>
        <w:rPr>
          <w:rFonts w:ascii="Arial Narrow" w:hAnsi="Arial Narrow" w:cs="Times New Roman"/>
          <w:sz w:val="24"/>
          <w:szCs w:val="24"/>
        </w:rPr>
        <w:t xml:space="preserve">Η εγχώρια παραγωγή καλύπτει περίπου το 20% έως και 25% της συνολικής ζήτηση </w:t>
      </w:r>
    </w:p>
    <w:tbl>
      <w:tblPr>
        <w:tblStyle w:val="TableGrid"/>
        <w:tblW w:w="0" w:type="auto"/>
        <w:tblLook w:val="04A0" w:firstRow="1" w:lastRow="0" w:firstColumn="1" w:lastColumn="0" w:noHBand="0" w:noVBand="1"/>
      </w:tblPr>
      <w:tblGrid>
        <w:gridCol w:w="4885"/>
        <w:gridCol w:w="4886"/>
      </w:tblGrid>
      <w:tr w:rsidR="005F6864" w14:paraId="2416599D" w14:textId="77777777" w:rsidTr="005F6864">
        <w:tc>
          <w:tcPr>
            <w:tcW w:w="4885" w:type="dxa"/>
          </w:tcPr>
          <w:p w14:paraId="2BED5135" w14:textId="5DDA110A" w:rsidR="005F6864" w:rsidRPr="005F6864" w:rsidRDefault="005F6864" w:rsidP="00212416">
            <w:pPr>
              <w:jc w:val="both"/>
              <w:rPr>
                <w:rFonts w:ascii="Arial Narrow" w:hAnsi="Arial Narrow" w:cs="Times New Roman"/>
                <w:color w:val="1F497D" w:themeColor="text2"/>
                <w:sz w:val="24"/>
                <w:szCs w:val="24"/>
              </w:rPr>
            </w:pPr>
            <w:r w:rsidRPr="005F6864">
              <w:rPr>
                <w:rFonts w:ascii="Arial Narrow" w:hAnsi="Arial Narrow" w:cs="Times New Roman"/>
                <w:color w:val="1F497D" w:themeColor="text2"/>
                <w:sz w:val="24"/>
                <w:szCs w:val="24"/>
              </w:rPr>
              <w:t>Κατηγορία</w:t>
            </w:r>
          </w:p>
        </w:tc>
        <w:tc>
          <w:tcPr>
            <w:tcW w:w="4886" w:type="dxa"/>
          </w:tcPr>
          <w:p w14:paraId="4A511819" w14:textId="3D106675" w:rsidR="005F6864" w:rsidRPr="005F6864" w:rsidRDefault="005F6864" w:rsidP="00212416">
            <w:pPr>
              <w:jc w:val="both"/>
              <w:rPr>
                <w:rFonts w:ascii="Arial Narrow" w:hAnsi="Arial Narrow" w:cs="Times New Roman"/>
                <w:color w:val="1F497D" w:themeColor="text2"/>
                <w:sz w:val="24"/>
                <w:szCs w:val="24"/>
              </w:rPr>
            </w:pPr>
            <w:r w:rsidRPr="005F6864">
              <w:rPr>
                <w:rFonts w:ascii="Arial Narrow" w:hAnsi="Arial Narrow" w:cs="Times New Roman"/>
                <w:color w:val="1F497D" w:themeColor="text2"/>
                <w:sz w:val="24"/>
                <w:szCs w:val="24"/>
              </w:rPr>
              <w:t xml:space="preserve">Παραγωγή </w:t>
            </w:r>
          </w:p>
        </w:tc>
      </w:tr>
      <w:tr w:rsidR="005F6864" w14:paraId="3AED87BB" w14:textId="77777777" w:rsidTr="005F6864">
        <w:tc>
          <w:tcPr>
            <w:tcW w:w="4885" w:type="dxa"/>
          </w:tcPr>
          <w:p w14:paraId="0878B068" w14:textId="18EC826D" w:rsidR="005F6864" w:rsidRPr="005F6864" w:rsidRDefault="005F6864" w:rsidP="00212416">
            <w:pPr>
              <w:jc w:val="both"/>
              <w:rPr>
                <w:rFonts w:ascii="Arial Narrow" w:hAnsi="Arial Narrow" w:cs="Times New Roman"/>
                <w:color w:val="1F497D" w:themeColor="text2"/>
                <w:sz w:val="24"/>
                <w:szCs w:val="24"/>
              </w:rPr>
            </w:pPr>
            <w:r w:rsidRPr="005F6864">
              <w:rPr>
                <w:rFonts w:ascii="Arial Narrow" w:hAnsi="Arial Narrow" w:cs="Times New Roman"/>
                <w:color w:val="1F497D" w:themeColor="text2"/>
                <w:sz w:val="24"/>
                <w:szCs w:val="24"/>
              </w:rPr>
              <w:t xml:space="preserve">Πουλερικά </w:t>
            </w:r>
          </w:p>
        </w:tc>
        <w:tc>
          <w:tcPr>
            <w:tcW w:w="4886" w:type="dxa"/>
          </w:tcPr>
          <w:p w14:paraId="19144D7E" w14:textId="53D31AFE" w:rsidR="005F6864" w:rsidRPr="005F6864" w:rsidRDefault="005F6864" w:rsidP="00212416">
            <w:pPr>
              <w:jc w:val="both"/>
              <w:rPr>
                <w:rFonts w:ascii="Arial Narrow" w:hAnsi="Arial Narrow" w:cs="Times New Roman"/>
                <w:color w:val="1F497D" w:themeColor="text2"/>
                <w:sz w:val="24"/>
                <w:szCs w:val="24"/>
              </w:rPr>
            </w:pPr>
            <w:r w:rsidRPr="005F6864">
              <w:rPr>
                <w:rFonts w:ascii="Arial Narrow" w:hAnsi="Arial Narrow" w:cs="Times New Roman"/>
                <w:color w:val="1F497D" w:themeColor="text2"/>
                <w:sz w:val="24"/>
                <w:szCs w:val="24"/>
              </w:rPr>
              <w:t xml:space="preserve">90.000 τόνοι </w:t>
            </w:r>
          </w:p>
        </w:tc>
      </w:tr>
      <w:tr w:rsidR="005F6864" w14:paraId="33C3C136" w14:textId="77777777" w:rsidTr="005F6864">
        <w:tc>
          <w:tcPr>
            <w:tcW w:w="4885" w:type="dxa"/>
          </w:tcPr>
          <w:p w14:paraId="457CEA2C" w14:textId="7956D6EC" w:rsidR="005F6864" w:rsidRPr="005F6864" w:rsidRDefault="005F6864" w:rsidP="00212416">
            <w:pPr>
              <w:jc w:val="both"/>
              <w:rPr>
                <w:rFonts w:ascii="Arial Narrow" w:hAnsi="Arial Narrow" w:cs="Times New Roman"/>
                <w:color w:val="1F497D" w:themeColor="text2"/>
                <w:sz w:val="24"/>
                <w:szCs w:val="24"/>
              </w:rPr>
            </w:pPr>
            <w:r w:rsidRPr="005F6864">
              <w:rPr>
                <w:rFonts w:ascii="Arial Narrow" w:hAnsi="Arial Narrow" w:cs="Times New Roman"/>
                <w:color w:val="1F497D" w:themeColor="text2"/>
                <w:sz w:val="24"/>
                <w:szCs w:val="24"/>
              </w:rPr>
              <w:t xml:space="preserve">Βοδινό </w:t>
            </w:r>
          </w:p>
        </w:tc>
        <w:tc>
          <w:tcPr>
            <w:tcW w:w="4886" w:type="dxa"/>
          </w:tcPr>
          <w:p w14:paraId="643080A2" w14:textId="2077E486" w:rsidR="005F6864" w:rsidRPr="005F6864" w:rsidRDefault="005F6864" w:rsidP="00212416">
            <w:pPr>
              <w:jc w:val="both"/>
              <w:rPr>
                <w:rFonts w:ascii="Arial Narrow" w:hAnsi="Arial Narrow" w:cs="Times New Roman"/>
                <w:color w:val="1F497D" w:themeColor="text2"/>
                <w:sz w:val="24"/>
                <w:szCs w:val="24"/>
              </w:rPr>
            </w:pPr>
            <w:r w:rsidRPr="005F6864">
              <w:rPr>
                <w:rFonts w:ascii="Arial Narrow" w:hAnsi="Arial Narrow" w:cs="Times New Roman"/>
                <w:color w:val="1F497D" w:themeColor="text2"/>
                <w:sz w:val="24"/>
                <w:szCs w:val="24"/>
              </w:rPr>
              <w:t xml:space="preserve">25.000 τόνοι </w:t>
            </w:r>
          </w:p>
        </w:tc>
      </w:tr>
      <w:tr w:rsidR="005F6864" w14:paraId="03CC9F23" w14:textId="77777777" w:rsidTr="005F6864">
        <w:tc>
          <w:tcPr>
            <w:tcW w:w="4885" w:type="dxa"/>
          </w:tcPr>
          <w:p w14:paraId="77D7FFD8" w14:textId="1E2D09CC" w:rsidR="005F6864" w:rsidRPr="005F6864" w:rsidRDefault="005F6864" w:rsidP="00212416">
            <w:pPr>
              <w:jc w:val="both"/>
              <w:rPr>
                <w:rFonts w:ascii="Arial Narrow" w:hAnsi="Arial Narrow" w:cs="Times New Roman"/>
                <w:color w:val="1F497D" w:themeColor="text2"/>
                <w:sz w:val="24"/>
                <w:szCs w:val="24"/>
              </w:rPr>
            </w:pPr>
            <w:r w:rsidRPr="005F6864">
              <w:rPr>
                <w:rFonts w:ascii="Arial Narrow" w:hAnsi="Arial Narrow" w:cs="Times New Roman"/>
                <w:color w:val="1F497D" w:themeColor="text2"/>
                <w:sz w:val="24"/>
                <w:szCs w:val="24"/>
              </w:rPr>
              <w:t>Αιγοπρόβειο</w:t>
            </w:r>
          </w:p>
        </w:tc>
        <w:tc>
          <w:tcPr>
            <w:tcW w:w="4886" w:type="dxa"/>
          </w:tcPr>
          <w:p w14:paraId="347EE965" w14:textId="4E045C94" w:rsidR="005F6864" w:rsidRPr="005F6864" w:rsidRDefault="005F6864" w:rsidP="00212416">
            <w:pPr>
              <w:jc w:val="both"/>
              <w:rPr>
                <w:rFonts w:ascii="Arial Narrow" w:hAnsi="Arial Narrow" w:cs="Times New Roman"/>
                <w:color w:val="1F497D" w:themeColor="text2"/>
                <w:sz w:val="24"/>
                <w:szCs w:val="24"/>
              </w:rPr>
            </w:pPr>
            <w:r w:rsidRPr="005F6864">
              <w:rPr>
                <w:rFonts w:ascii="Arial Narrow" w:hAnsi="Arial Narrow" w:cs="Times New Roman"/>
                <w:color w:val="1F497D" w:themeColor="text2"/>
                <w:sz w:val="24"/>
                <w:szCs w:val="24"/>
              </w:rPr>
              <w:t xml:space="preserve">30.000 τόνοι </w:t>
            </w:r>
          </w:p>
        </w:tc>
      </w:tr>
      <w:tr w:rsidR="005F6864" w14:paraId="60EC9CC4" w14:textId="77777777" w:rsidTr="005F6864">
        <w:tc>
          <w:tcPr>
            <w:tcW w:w="4885" w:type="dxa"/>
          </w:tcPr>
          <w:p w14:paraId="5C01B437" w14:textId="3CC47BDA" w:rsidR="005F6864" w:rsidRPr="005F6864" w:rsidRDefault="005F6864" w:rsidP="00212416">
            <w:pPr>
              <w:jc w:val="both"/>
              <w:rPr>
                <w:rFonts w:ascii="Arial Narrow" w:hAnsi="Arial Narrow" w:cs="Times New Roman"/>
                <w:color w:val="1F497D" w:themeColor="text2"/>
                <w:sz w:val="24"/>
                <w:szCs w:val="24"/>
              </w:rPr>
            </w:pPr>
            <w:r w:rsidRPr="005F6864">
              <w:rPr>
                <w:rFonts w:ascii="Arial Narrow" w:hAnsi="Arial Narrow" w:cs="Times New Roman"/>
                <w:color w:val="1F497D" w:themeColor="text2"/>
                <w:sz w:val="24"/>
                <w:szCs w:val="24"/>
              </w:rPr>
              <w:t xml:space="preserve">Καμήλα </w:t>
            </w:r>
          </w:p>
        </w:tc>
        <w:tc>
          <w:tcPr>
            <w:tcW w:w="4886" w:type="dxa"/>
          </w:tcPr>
          <w:p w14:paraId="486B8C27" w14:textId="3EB1A0AE" w:rsidR="005F6864" w:rsidRPr="005F6864" w:rsidRDefault="005F6864" w:rsidP="00212416">
            <w:pPr>
              <w:jc w:val="both"/>
              <w:rPr>
                <w:rFonts w:ascii="Arial Narrow" w:hAnsi="Arial Narrow" w:cs="Times New Roman"/>
                <w:color w:val="1F497D" w:themeColor="text2"/>
                <w:sz w:val="24"/>
                <w:szCs w:val="24"/>
              </w:rPr>
            </w:pPr>
            <w:r w:rsidRPr="005F6864">
              <w:rPr>
                <w:rFonts w:ascii="Arial Narrow" w:hAnsi="Arial Narrow" w:cs="Times New Roman"/>
                <w:color w:val="1F497D" w:themeColor="text2"/>
                <w:sz w:val="24"/>
                <w:szCs w:val="24"/>
              </w:rPr>
              <w:t xml:space="preserve">12,000 τόνοι </w:t>
            </w:r>
          </w:p>
        </w:tc>
      </w:tr>
      <w:tr w:rsidR="005F6864" w:rsidRPr="005F6864" w14:paraId="28C62130" w14:textId="77777777" w:rsidTr="005F6864">
        <w:tc>
          <w:tcPr>
            <w:tcW w:w="4885" w:type="dxa"/>
          </w:tcPr>
          <w:p w14:paraId="0A6C74F7" w14:textId="37DA77D3" w:rsidR="005F6864" w:rsidRPr="005F6864" w:rsidRDefault="005F6864" w:rsidP="00212416">
            <w:pPr>
              <w:jc w:val="both"/>
              <w:rPr>
                <w:rFonts w:ascii="Arial Narrow" w:hAnsi="Arial Narrow" w:cs="Times New Roman"/>
                <w:color w:val="FF0000"/>
                <w:sz w:val="24"/>
                <w:szCs w:val="24"/>
              </w:rPr>
            </w:pPr>
            <w:r w:rsidRPr="005F6864">
              <w:rPr>
                <w:rFonts w:ascii="Arial Narrow" w:hAnsi="Arial Narrow" w:cs="Times New Roman"/>
                <w:color w:val="FF0000"/>
                <w:sz w:val="24"/>
                <w:szCs w:val="24"/>
              </w:rPr>
              <w:t>ΣΥΝΟΛΙΚΗ ΠΑΡΑΓΩΓΗ</w:t>
            </w:r>
          </w:p>
        </w:tc>
        <w:tc>
          <w:tcPr>
            <w:tcW w:w="4886" w:type="dxa"/>
          </w:tcPr>
          <w:p w14:paraId="7DCFD25C" w14:textId="5C10B7F0" w:rsidR="005F6864" w:rsidRPr="005F6864" w:rsidRDefault="005F6864" w:rsidP="00212416">
            <w:pPr>
              <w:jc w:val="both"/>
              <w:rPr>
                <w:rFonts w:ascii="Arial Narrow" w:hAnsi="Arial Narrow" w:cs="Times New Roman"/>
                <w:color w:val="FF0000"/>
                <w:sz w:val="24"/>
                <w:szCs w:val="24"/>
              </w:rPr>
            </w:pPr>
            <w:r w:rsidRPr="005F6864">
              <w:rPr>
                <w:rFonts w:ascii="Arial Narrow" w:hAnsi="Arial Narrow" w:cs="Times New Roman"/>
                <w:color w:val="FF0000"/>
                <w:sz w:val="24"/>
                <w:szCs w:val="24"/>
              </w:rPr>
              <w:t xml:space="preserve">157.000 τόνοι </w:t>
            </w:r>
          </w:p>
        </w:tc>
      </w:tr>
    </w:tbl>
    <w:p w14:paraId="289C6E2B" w14:textId="78E268E3" w:rsidR="005F6864" w:rsidRDefault="005F6864" w:rsidP="00212416">
      <w:pPr>
        <w:jc w:val="both"/>
        <w:rPr>
          <w:rFonts w:ascii="Arial Narrow" w:hAnsi="Arial Narrow" w:cs="Times New Roman"/>
          <w:color w:val="FF0000"/>
          <w:sz w:val="24"/>
          <w:szCs w:val="24"/>
        </w:rPr>
      </w:pPr>
    </w:p>
    <w:p w14:paraId="20DED0DE" w14:textId="23286987" w:rsidR="005F6864" w:rsidRPr="00AE0730" w:rsidRDefault="005F6864" w:rsidP="00212416">
      <w:pPr>
        <w:jc w:val="both"/>
        <w:rPr>
          <w:rFonts w:ascii="Arial Narrow" w:hAnsi="Arial Narrow" w:cs="Times New Roman"/>
          <w:b/>
          <w:color w:val="4F81BD" w:themeColor="accent1"/>
          <w:sz w:val="24"/>
          <w:szCs w:val="24"/>
        </w:rPr>
      </w:pPr>
      <w:r>
        <w:rPr>
          <w:rFonts w:ascii="Arial Narrow" w:hAnsi="Arial Narrow" w:cs="Times New Roman"/>
          <w:color w:val="FF0000"/>
          <w:sz w:val="24"/>
          <w:szCs w:val="24"/>
        </w:rPr>
        <w:tab/>
      </w:r>
      <w:r w:rsidR="00AE0730" w:rsidRPr="00AE0730">
        <w:rPr>
          <w:rFonts w:ascii="Arial Narrow" w:hAnsi="Arial Narrow" w:cs="Times New Roman"/>
          <w:b/>
          <w:color w:val="4F81BD" w:themeColor="accent1"/>
          <w:sz w:val="24"/>
          <w:szCs w:val="24"/>
        </w:rPr>
        <w:t xml:space="preserve">11.5.10. </w:t>
      </w:r>
      <w:r w:rsidRPr="00AE0730">
        <w:rPr>
          <w:rFonts w:ascii="Arial Narrow" w:hAnsi="Arial Narrow" w:cs="Times New Roman"/>
          <w:b/>
          <w:color w:val="4F81BD" w:themeColor="accent1"/>
          <w:sz w:val="24"/>
          <w:szCs w:val="24"/>
        </w:rPr>
        <w:t xml:space="preserve">Αλιεία </w:t>
      </w:r>
    </w:p>
    <w:p w14:paraId="41F14776" w14:textId="6CD41EBA" w:rsidR="005F6864" w:rsidRPr="00AE0730" w:rsidRDefault="005F6864" w:rsidP="00212416">
      <w:pPr>
        <w:jc w:val="both"/>
        <w:rPr>
          <w:rFonts w:ascii="Arial Narrow" w:hAnsi="Arial Narrow" w:cs="Times New Roman"/>
          <w:b/>
          <w:color w:val="4F81BD" w:themeColor="accent1"/>
          <w:sz w:val="24"/>
          <w:szCs w:val="24"/>
        </w:rPr>
      </w:pPr>
      <w:r w:rsidRPr="00AE0730">
        <w:rPr>
          <w:rFonts w:ascii="Arial Narrow" w:hAnsi="Arial Narrow" w:cs="Times New Roman"/>
          <w:b/>
          <w:color w:val="4F81BD" w:themeColor="accent1"/>
          <w:sz w:val="24"/>
          <w:szCs w:val="24"/>
        </w:rPr>
        <w:tab/>
      </w:r>
      <w:r w:rsidR="00AE0730" w:rsidRPr="00AE0730">
        <w:rPr>
          <w:rFonts w:ascii="Arial Narrow" w:hAnsi="Arial Narrow" w:cs="Times New Roman"/>
          <w:b/>
          <w:color w:val="4F81BD" w:themeColor="accent1"/>
          <w:sz w:val="24"/>
          <w:szCs w:val="24"/>
        </w:rPr>
        <w:t xml:space="preserve">11.5.11. </w:t>
      </w:r>
      <w:r w:rsidRPr="00AE0730">
        <w:rPr>
          <w:rFonts w:ascii="Arial Narrow" w:hAnsi="Arial Narrow" w:cs="Times New Roman"/>
          <w:b/>
          <w:color w:val="4F81BD" w:themeColor="accent1"/>
          <w:sz w:val="24"/>
          <w:szCs w:val="24"/>
        </w:rPr>
        <w:t xml:space="preserve"> Σημασία του Κλάδου </w:t>
      </w:r>
    </w:p>
    <w:p w14:paraId="58390315" w14:textId="67E2955A" w:rsidR="00AE0730" w:rsidRDefault="005F6864" w:rsidP="00212416">
      <w:pPr>
        <w:jc w:val="both"/>
        <w:rPr>
          <w:rFonts w:ascii="Arial Narrow" w:hAnsi="Arial Narrow" w:cs="Times New Roman"/>
          <w:sz w:val="24"/>
          <w:szCs w:val="24"/>
        </w:rPr>
      </w:pPr>
      <w:r>
        <w:rPr>
          <w:rFonts w:ascii="Arial Narrow" w:hAnsi="Arial Narrow" w:cs="Times New Roman"/>
          <w:color w:val="1F497D" w:themeColor="text2"/>
          <w:sz w:val="24"/>
          <w:szCs w:val="24"/>
        </w:rPr>
        <w:tab/>
      </w:r>
      <w:r>
        <w:rPr>
          <w:rFonts w:ascii="Arial Narrow" w:hAnsi="Arial Narrow" w:cs="Times New Roman"/>
          <w:sz w:val="24"/>
          <w:szCs w:val="24"/>
        </w:rPr>
        <w:t>Η αλιεία αποτελεί έναν από τους παλαιότερους οικονομικούς κλάδους των Εμιράτων. Διαθέτει ακτογραμμή άνω των 1.300 χιλιομέτρων και έχει πρόσβαση τόσο στον Αραβικό Κόλπο, όσο και στο Κόλπο του Ομάν</w:t>
      </w:r>
      <w:r w:rsidR="00AE0730">
        <w:rPr>
          <w:rFonts w:ascii="Arial Narrow" w:hAnsi="Arial Narrow" w:cs="Times New Roman"/>
          <w:sz w:val="24"/>
          <w:szCs w:val="24"/>
        </w:rPr>
        <w:t>.</w:t>
      </w:r>
    </w:p>
    <w:p w14:paraId="3DB964AC" w14:textId="46702B46" w:rsidR="005F6864" w:rsidRPr="00AE0730" w:rsidRDefault="00AE0730" w:rsidP="00AE0730">
      <w:pPr>
        <w:ind w:firstLine="720"/>
        <w:jc w:val="both"/>
        <w:rPr>
          <w:rFonts w:ascii="Arial Narrow" w:hAnsi="Arial Narrow" w:cs="Times New Roman"/>
          <w:sz w:val="24"/>
          <w:szCs w:val="24"/>
        </w:rPr>
      </w:pPr>
      <w:r w:rsidRPr="00AE0730">
        <w:rPr>
          <w:rFonts w:ascii="Arial Narrow" w:hAnsi="Arial Narrow" w:cs="Times New Roman"/>
          <w:b/>
          <w:color w:val="4F81BD" w:themeColor="accent1"/>
          <w:sz w:val="24"/>
          <w:szCs w:val="24"/>
        </w:rPr>
        <w:t>11.5.12.</w:t>
      </w:r>
      <w:r w:rsidR="005F6864" w:rsidRPr="00AE0730">
        <w:rPr>
          <w:rFonts w:ascii="Arial Narrow" w:hAnsi="Arial Narrow" w:cs="Times New Roman"/>
          <w:b/>
          <w:color w:val="4F81BD" w:themeColor="accent1"/>
          <w:sz w:val="24"/>
          <w:szCs w:val="24"/>
        </w:rPr>
        <w:t xml:space="preserve"> Αλιευτική Παραγωγή </w:t>
      </w:r>
    </w:p>
    <w:tbl>
      <w:tblPr>
        <w:tblStyle w:val="TableGrid"/>
        <w:tblW w:w="0" w:type="auto"/>
        <w:tblLook w:val="04A0" w:firstRow="1" w:lastRow="0" w:firstColumn="1" w:lastColumn="0" w:noHBand="0" w:noVBand="1"/>
      </w:tblPr>
      <w:tblGrid>
        <w:gridCol w:w="3257"/>
        <w:gridCol w:w="3257"/>
        <w:gridCol w:w="3257"/>
      </w:tblGrid>
      <w:tr w:rsidR="005F6864" w14:paraId="395D847F" w14:textId="77777777" w:rsidTr="005F6864">
        <w:tc>
          <w:tcPr>
            <w:tcW w:w="3257" w:type="dxa"/>
          </w:tcPr>
          <w:p w14:paraId="675D7D44" w14:textId="7D9D1CA9" w:rsidR="005F6864" w:rsidRDefault="005F6864" w:rsidP="00212416">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Δείκτης</w:t>
            </w:r>
          </w:p>
        </w:tc>
        <w:tc>
          <w:tcPr>
            <w:tcW w:w="3257" w:type="dxa"/>
          </w:tcPr>
          <w:p w14:paraId="089B915E" w14:textId="09809DD9" w:rsidR="005F6864" w:rsidRDefault="005F6864" w:rsidP="00212416">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Μέγεθος</w:t>
            </w:r>
          </w:p>
        </w:tc>
        <w:tc>
          <w:tcPr>
            <w:tcW w:w="3257" w:type="dxa"/>
          </w:tcPr>
          <w:p w14:paraId="532479B2" w14:textId="253741EC" w:rsidR="005F6864" w:rsidRDefault="005F6864" w:rsidP="00212416">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Κυριότερα Αλιεύματα</w:t>
            </w:r>
          </w:p>
        </w:tc>
      </w:tr>
      <w:tr w:rsidR="005F6864" w14:paraId="765BFE4A" w14:textId="77777777" w:rsidTr="005F6864">
        <w:tc>
          <w:tcPr>
            <w:tcW w:w="3257" w:type="dxa"/>
          </w:tcPr>
          <w:p w14:paraId="53B0C604" w14:textId="772B78B9" w:rsidR="005F6864" w:rsidRDefault="007A4821" w:rsidP="00212416">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Ετήσια Παραγωγή </w:t>
            </w:r>
          </w:p>
        </w:tc>
        <w:tc>
          <w:tcPr>
            <w:tcW w:w="3257" w:type="dxa"/>
          </w:tcPr>
          <w:p w14:paraId="3FA9650A" w14:textId="47451621" w:rsidR="005F6864" w:rsidRDefault="007A4821" w:rsidP="00212416">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70.000 έως 80.000 τόνοι </w:t>
            </w:r>
          </w:p>
        </w:tc>
        <w:tc>
          <w:tcPr>
            <w:tcW w:w="3257" w:type="dxa"/>
          </w:tcPr>
          <w:p w14:paraId="60960573" w14:textId="232A41B8" w:rsidR="005F6864" w:rsidRPr="00F02345" w:rsidRDefault="00F02345" w:rsidP="00212416">
            <w:pPr>
              <w:jc w:val="both"/>
              <w:rPr>
                <w:rFonts w:ascii="Arial Narrow" w:hAnsi="Arial Narrow" w:cs="Times New Roman"/>
                <w:color w:val="1F497D" w:themeColor="text2"/>
                <w:sz w:val="24"/>
                <w:szCs w:val="24"/>
                <w:lang w:val="en-US"/>
              </w:rPr>
            </w:pPr>
            <w:r>
              <w:rPr>
                <w:rFonts w:ascii="Arial Narrow" w:hAnsi="Arial Narrow" w:cs="Times New Roman"/>
                <w:color w:val="1F497D" w:themeColor="text2"/>
                <w:sz w:val="24"/>
                <w:szCs w:val="24"/>
                <w:lang w:val="en-US"/>
              </w:rPr>
              <w:t>Hamour (grouper)</w:t>
            </w:r>
          </w:p>
        </w:tc>
      </w:tr>
      <w:tr w:rsidR="005F6864" w14:paraId="38FBD413" w14:textId="77777777" w:rsidTr="005F6864">
        <w:tc>
          <w:tcPr>
            <w:tcW w:w="3257" w:type="dxa"/>
          </w:tcPr>
          <w:p w14:paraId="42376434" w14:textId="2EDEAE92" w:rsidR="005F6864" w:rsidRDefault="00F02345" w:rsidP="00212416">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Αλιευτικά Σκάφη</w:t>
            </w:r>
          </w:p>
        </w:tc>
        <w:tc>
          <w:tcPr>
            <w:tcW w:w="3257" w:type="dxa"/>
          </w:tcPr>
          <w:p w14:paraId="620BFA87" w14:textId="3A7A5483" w:rsidR="005F6864" w:rsidRDefault="00F02345" w:rsidP="00212416">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7.000</w:t>
            </w:r>
          </w:p>
        </w:tc>
        <w:tc>
          <w:tcPr>
            <w:tcW w:w="3257" w:type="dxa"/>
          </w:tcPr>
          <w:p w14:paraId="0096EC81" w14:textId="31548978" w:rsidR="005F6864" w:rsidRPr="00F02345" w:rsidRDefault="00F02345" w:rsidP="00212416">
            <w:pPr>
              <w:jc w:val="both"/>
              <w:rPr>
                <w:rFonts w:ascii="Arial Narrow" w:hAnsi="Arial Narrow" w:cs="Times New Roman"/>
                <w:color w:val="1F497D" w:themeColor="text2"/>
                <w:sz w:val="24"/>
                <w:szCs w:val="24"/>
                <w:lang w:val="en-US"/>
              </w:rPr>
            </w:pPr>
            <w:r>
              <w:rPr>
                <w:rFonts w:ascii="Arial Narrow" w:hAnsi="Arial Narrow" w:cs="Times New Roman"/>
                <w:color w:val="1F497D" w:themeColor="text2"/>
                <w:sz w:val="24"/>
                <w:szCs w:val="24"/>
                <w:lang w:val="en-US"/>
              </w:rPr>
              <w:t>Safi</w:t>
            </w:r>
          </w:p>
        </w:tc>
      </w:tr>
      <w:tr w:rsidR="005F6864" w14:paraId="28448F7D" w14:textId="77777777" w:rsidTr="005F6864">
        <w:tc>
          <w:tcPr>
            <w:tcW w:w="3257" w:type="dxa"/>
          </w:tcPr>
          <w:p w14:paraId="3003B41F" w14:textId="2BD8355C" w:rsidR="005F6864" w:rsidRDefault="00F02345" w:rsidP="00212416">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Επαγγελματίες Αλιείς </w:t>
            </w:r>
          </w:p>
        </w:tc>
        <w:tc>
          <w:tcPr>
            <w:tcW w:w="3257" w:type="dxa"/>
          </w:tcPr>
          <w:p w14:paraId="1921D8B0" w14:textId="55EEDA8E" w:rsidR="005F6864" w:rsidRDefault="00F02345" w:rsidP="00212416">
            <w:pPr>
              <w:jc w:val="both"/>
              <w:rPr>
                <w:rFonts w:ascii="Arial Narrow" w:hAnsi="Arial Narrow" w:cs="Times New Roman"/>
                <w:color w:val="1F497D" w:themeColor="text2"/>
                <w:sz w:val="24"/>
                <w:szCs w:val="24"/>
              </w:rPr>
            </w:pPr>
            <w:r>
              <w:rPr>
                <w:rFonts w:ascii="Arial Narrow" w:hAnsi="Arial Narrow" w:cs="Times New Roman"/>
                <w:color w:val="1F497D" w:themeColor="text2"/>
                <w:sz w:val="24"/>
                <w:szCs w:val="24"/>
              </w:rPr>
              <w:t xml:space="preserve">18.000 περίπου </w:t>
            </w:r>
          </w:p>
        </w:tc>
        <w:tc>
          <w:tcPr>
            <w:tcW w:w="3257" w:type="dxa"/>
          </w:tcPr>
          <w:p w14:paraId="4282A018" w14:textId="46199146" w:rsidR="005F6864" w:rsidRPr="00F02345" w:rsidRDefault="00F02345" w:rsidP="00212416">
            <w:pPr>
              <w:jc w:val="both"/>
              <w:rPr>
                <w:rFonts w:ascii="Arial Narrow" w:hAnsi="Arial Narrow" w:cs="Times New Roman"/>
                <w:color w:val="1F497D" w:themeColor="text2"/>
                <w:sz w:val="24"/>
                <w:szCs w:val="24"/>
                <w:lang w:val="en-US"/>
              </w:rPr>
            </w:pPr>
            <w:r>
              <w:rPr>
                <w:rFonts w:ascii="Arial Narrow" w:hAnsi="Arial Narrow" w:cs="Times New Roman"/>
                <w:color w:val="1F497D" w:themeColor="text2"/>
                <w:sz w:val="24"/>
                <w:szCs w:val="24"/>
                <w:lang w:val="en-US"/>
              </w:rPr>
              <w:t>Kingfish</w:t>
            </w:r>
          </w:p>
        </w:tc>
      </w:tr>
      <w:tr w:rsidR="005F6864" w14:paraId="08E50052" w14:textId="77777777" w:rsidTr="005F6864">
        <w:tc>
          <w:tcPr>
            <w:tcW w:w="3257" w:type="dxa"/>
          </w:tcPr>
          <w:p w14:paraId="69416EEC" w14:textId="77777777" w:rsidR="005F6864" w:rsidRDefault="005F6864" w:rsidP="00212416">
            <w:pPr>
              <w:jc w:val="both"/>
              <w:rPr>
                <w:rFonts w:ascii="Arial Narrow" w:hAnsi="Arial Narrow" w:cs="Times New Roman"/>
                <w:color w:val="1F497D" w:themeColor="text2"/>
                <w:sz w:val="24"/>
                <w:szCs w:val="24"/>
              </w:rPr>
            </w:pPr>
          </w:p>
        </w:tc>
        <w:tc>
          <w:tcPr>
            <w:tcW w:w="3257" w:type="dxa"/>
          </w:tcPr>
          <w:p w14:paraId="0E493CA3" w14:textId="77777777" w:rsidR="005F6864" w:rsidRDefault="005F6864" w:rsidP="00212416">
            <w:pPr>
              <w:jc w:val="both"/>
              <w:rPr>
                <w:rFonts w:ascii="Arial Narrow" w:hAnsi="Arial Narrow" w:cs="Times New Roman"/>
                <w:color w:val="1F497D" w:themeColor="text2"/>
                <w:sz w:val="24"/>
                <w:szCs w:val="24"/>
              </w:rPr>
            </w:pPr>
          </w:p>
        </w:tc>
        <w:tc>
          <w:tcPr>
            <w:tcW w:w="3257" w:type="dxa"/>
          </w:tcPr>
          <w:p w14:paraId="2AA7F815" w14:textId="2623F2A5" w:rsidR="005F6864" w:rsidRPr="00F02345" w:rsidRDefault="00F02345" w:rsidP="00212416">
            <w:pPr>
              <w:jc w:val="both"/>
              <w:rPr>
                <w:rFonts w:ascii="Arial Narrow" w:hAnsi="Arial Narrow" w:cs="Times New Roman"/>
                <w:color w:val="1F497D" w:themeColor="text2"/>
                <w:sz w:val="24"/>
                <w:szCs w:val="24"/>
                <w:lang w:val="en-US"/>
              </w:rPr>
            </w:pPr>
            <w:r>
              <w:rPr>
                <w:rFonts w:ascii="Arial Narrow" w:hAnsi="Arial Narrow" w:cs="Times New Roman"/>
                <w:color w:val="1F497D" w:themeColor="text2"/>
                <w:sz w:val="24"/>
                <w:szCs w:val="24"/>
                <w:lang w:val="en-US"/>
              </w:rPr>
              <w:t>Tuna</w:t>
            </w:r>
          </w:p>
        </w:tc>
      </w:tr>
      <w:tr w:rsidR="00F02345" w14:paraId="7EDBCA98" w14:textId="77777777" w:rsidTr="005F6864">
        <w:tc>
          <w:tcPr>
            <w:tcW w:w="3257" w:type="dxa"/>
          </w:tcPr>
          <w:p w14:paraId="3CFF6865" w14:textId="77777777" w:rsidR="00F02345" w:rsidRDefault="00F02345" w:rsidP="00212416">
            <w:pPr>
              <w:jc w:val="both"/>
              <w:rPr>
                <w:rFonts w:ascii="Arial Narrow" w:hAnsi="Arial Narrow" w:cs="Times New Roman"/>
                <w:color w:val="1F497D" w:themeColor="text2"/>
                <w:sz w:val="24"/>
                <w:szCs w:val="24"/>
              </w:rPr>
            </w:pPr>
          </w:p>
        </w:tc>
        <w:tc>
          <w:tcPr>
            <w:tcW w:w="3257" w:type="dxa"/>
          </w:tcPr>
          <w:p w14:paraId="2D54D039" w14:textId="77777777" w:rsidR="00F02345" w:rsidRDefault="00F02345" w:rsidP="00212416">
            <w:pPr>
              <w:jc w:val="both"/>
              <w:rPr>
                <w:rFonts w:ascii="Arial Narrow" w:hAnsi="Arial Narrow" w:cs="Times New Roman"/>
                <w:color w:val="1F497D" w:themeColor="text2"/>
                <w:sz w:val="24"/>
                <w:szCs w:val="24"/>
              </w:rPr>
            </w:pPr>
          </w:p>
        </w:tc>
        <w:tc>
          <w:tcPr>
            <w:tcW w:w="3257" w:type="dxa"/>
          </w:tcPr>
          <w:p w14:paraId="29C4D2E8" w14:textId="380BCD61" w:rsidR="00F02345" w:rsidRPr="00E97414" w:rsidRDefault="00E97414" w:rsidP="00212416">
            <w:pPr>
              <w:jc w:val="both"/>
              <w:rPr>
                <w:rFonts w:ascii="Arial Narrow" w:hAnsi="Arial Narrow" w:cs="Times New Roman"/>
                <w:color w:val="1F497D" w:themeColor="text2"/>
                <w:sz w:val="24"/>
                <w:szCs w:val="24"/>
                <w:lang w:val="en-US"/>
              </w:rPr>
            </w:pPr>
            <w:r>
              <w:rPr>
                <w:rFonts w:ascii="Arial Narrow" w:hAnsi="Arial Narrow" w:cs="Times New Roman"/>
                <w:color w:val="1F497D" w:themeColor="text2"/>
                <w:sz w:val="24"/>
                <w:szCs w:val="24"/>
                <w:lang w:val="en-US"/>
              </w:rPr>
              <w:t>Shrimp</w:t>
            </w:r>
          </w:p>
        </w:tc>
      </w:tr>
    </w:tbl>
    <w:p w14:paraId="353A06B9" w14:textId="3A6DA94E" w:rsidR="005F6864" w:rsidRDefault="005F6864" w:rsidP="00212416">
      <w:pPr>
        <w:jc w:val="both"/>
        <w:rPr>
          <w:rFonts w:ascii="Arial Narrow" w:hAnsi="Arial Narrow" w:cs="Times New Roman"/>
          <w:color w:val="1F497D" w:themeColor="text2"/>
          <w:sz w:val="24"/>
          <w:szCs w:val="24"/>
        </w:rPr>
      </w:pPr>
    </w:p>
    <w:p w14:paraId="1C04E0CB" w14:textId="0FB7A475" w:rsidR="005C20BD" w:rsidRPr="006902AB" w:rsidRDefault="005C20BD" w:rsidP="00212416">
      <w:pPr>
        <w:jc w:val="both"/>
        <w:rPr>
          <w:rFonts w:ascii="Arial Narrow" w:hAnsi="Arial Narrow" w:cs="Times New Roman"/>
          <w:b/>
          <w:color w:val="1F497D" w:themeColor="text2"/>
          <w:sz w:val="24"/>
          <w:szCs w:val="24"/>
        </w:rPr>
      </w:pPr>
      <w:r>
        <w:rPr>
          <w:rFonts w:ascii="Arial Narrow" w:hAnsi="Arial Narrow" w:cs="Times New Roman"/>
          <w:color w:val="1F497D" w:themeColor="text2"/>
          <w:sz w:val="24"/>
          <w:szCs w:val="24"/>
        </w:rPr>
        <w:tab/>
      </w:r>
      <w:r w:rsidR="00AE0730" w:rsidRPr="00AE0730">
        <w:rPr>
          <w:rFonts w:ascii="Arial Narrow" w:hAnsi="Arial Narrow" w:cs="Times New Roman"/>
          <w:b/>
          <w:color w:val="4F81BD" w:themeColor="accent1"/>
          <w:sz w:val="24"/>
          <w:szCs w:val="24"/>
        </w:rPr>
        <w:t>11.5.13.</w:t>
      </w:r>
      <w:r w:rsidRPr="00AE0730">
        <w:rPr>
          <w:rFonts w:ascii="Arial Narrow" w:hAnsi="Arial Narrow" w:cs="Times New Roman"/>
          <w:b/>
          <w:color w:val="4F81BD" w:themeColor="accent1"/>
          <w:sz w:val="24"/>
          <w:szCs w:val="24"/>
          <w:lang w:val="en-US"/>
        </w:rPr>
        <w:t>Y</w:t>
      </w:r>
      <w:r w:rsidRPr="00AE0730">
        <w:rPr>
          <w:rFonts w:ascii="Arial Narrow" w:hAnsi="Arial Narrow" w:cs="Times New Roman"/>
          <w:b/>
          <w:color w:val="4F81BD" w:themeColor="accent1"/>
          <w:sz w:val="24"/>
          <w:szCs w:val="24"/>
        </w:rPr>
        <w:t>δατοκαλλιέργειες</w:t>
      </w:r>
    </w:p>
    <w:p w14:paraId="284EB7FE" w14:textId="1C14EB2D" w:rsidR="005C20BD" w:rsidRDefault="005C20BD" w:rsidP="00212416">
      <w:pPr>
        <w:jc w:val="both"/>
        <w:rPr>
          <w:rFonts w:ascii="Arial Narrow" w:hAnsi="Arial Narrow" w:cs="Times New Roman"/>
          <w:sz w:val="24"/>
          <w:szCs w:val="24"/>
        </w:rPr>
      </w:pPr>
      <w:r>
        <w:rPr>
          <w:rFonts w:ascii="Arial Narrow" w:hAnsi="Arial Narrow" w:cs="Times New Roman"/>
          <w:color w:val="1F497D" w:themeColor="text2"/>
          <w:sz w:val="24"/>
          <w:szCs w:val="24"/>
        </w:rPr>
        <w:tab/>
      </w:r>
      <w:r>
        <w:rPr>
          <w:rFonts w:ascii="Arial Narrow" w:hAnsi="Arial Narrow" w:cs="Times New Roman"/>
          <w:sz w:val="24"/>
          <w:szCs w:val="24"/>
        </w:rPr>
        <w:t xml:space="preserve">Η Κυβέρνηση προωθεί δυναμικά το τομέα της υδατοκαλλιέργειας με στόχο η παραγωγή να ξεπεράσει έως το έτος 2030 τους 50.000 τόνους ετησίως. Σημαντικές μονάδες που δραστηριοποιούνται είναι </w:t>
      </w:r>
      <w:r>
        <w:rPr>
          <w:rFonts w:ascii="Arial Narrow" w:hAnsi="Arial Narrow" w:cs="Times New Roman"/>
          <w:sz w:val="24"/>
          <w:szCs w:val="24"/>
          <w:lang w:val="en-US"/>
        </w:rPr>
        <w:t>Asmak</w:t>
      </w:r>
      <w:r w:rsidRPr="005C20BD">
        <w:rPr>
          <w:rFonts w:ascii="Arial Narrow" w:hAnsi="Arial Narrow" w:cs="Times New Roman"/>
          <w:sz w:val="24"/>
          <w:szCs w:val="24"/>
        </w:rPr>
        <w:t xml:space="preserve"> </w:t>
      </w:r>
      <w:r>
        <w:rPr>
          <w:rFonts w:ascii="Arial Narrow" w:hAnsi="Arial Narrow" w:cs="Times New Roman"/>
          <w:sz w:val="24"/>
          <w:szCs w:val="24"/>
          <w:lang w:val="en-US"/>
        </w:rPr>
        <w:t>Aquaculture</w:t>
      </w:r>
      <w:r w:rsidRPr="005C20BD">
        <w:rPr>
          <w:rFonts w:ascii="Arial Narrow" w:hAnsi="Arial Narrow" w:cs="Times New Roman"/>
          <w:sz w:val="24"/>
          <w:szCs w:val="24"/>
        </w:rPr>
        <w:t xml:space="preserve"> &amp; </w:t>
      </w:r>
      <w:r>
        <w:rPr>
          <w:rFonts w:ascii="Arial Narrow" w:hAnsi="Arial Narrow" w:cs="Times New Roman"/>
          <w:sz w:val="24"/>
          <w:szCs w:val="24"/>
          <w:lang w:val="en-US"/>
        </w:rPr>
        <w:t>National</w:t>
      </w:r>
      <w:r w:rsidRPr="005C20BD">
        <w:rPr>
          <w:rFonts w:ascii="Arial Narrow" w:hAnsi="Arial Narrow" w:cs="Times New Roman"/>
          <w:sz w:val="24"/>
          <w:szCs w:val="24"/>
        </w:rPr>
        <w:t xml:space="preserve"> </w:t>
      </w:r>
      <w:r>
        <w:rPr>
          <w:rFonts w:ascii="Arial Narrow" w:hAnsi="Arial Narrow" w:cs="Times New Roman"/>
          <w:sz w:val="24"/>
          <w:szCs w:val="24"/>
          <w:lang w:val="en-US"/>
        </w:rPr>
        <w:t>Aquaculture</w:t>
      </w:r>
      <w:r w:rsidRPr="005C20BD">
        <w:rPr>
          <w:rFonts w:ascii="Arial Narrow" w:hAnsi="Arial Narrow" w:cs="Times New Roman"/>
          <w:sz w:val="24"/>
          <w:szCs w:val="24"/>
        </w:rPr>
        <w:t xml:space="preserve"> </w:t>
      </w:r>
      <w:r>
        <w:rPr>
          <w:rFonts w:ascii="Arial Narrow" w:hAnsi="Arial Narrow" w:cs="Times New Roman"/>
          <w:sz w:val="24"/>
          <w:szCs w:val="24"/>
          <w:lang w:val="en-US"/>
        </w:rPr>
        <w:t>Group</w:t>
      </w:r>
      <w:r w:rsidR="007853D8" w:rsidRPr="007853D8">
        <w:rPr>
          <w:rFonts w:ascii="Arial Narrow" w:hAnsi="Arial Narrow" w:cs="Times New Roman"/>
          <w:sz w:val="24"/>
          <w:szCs w:val="24"/>
        </w:rPr>
        <w:t>.</w:t>
      </w:r>
    </w:p>
    <w:p w14:paraId="3AB120C8" w14:textId="7E5F4760" w:rsidR="007853D8" w:rsidRPr="006902AB" w:rsidRDefault="007853D8" w:rsidP="00212416">
      <w:pPr>
        <w:jc w:val="both"/>
        <w:rPr>
          <w:rFonts w:ascii="Arial Narrow" w:hAnsi="Arial Narrow" w:cs="Times New Roman"/>
          <w:b/>
          <w:color w:val="1F497D" w:themeColor="text2"/>
          <w:sz w:val="24"/>
          <w:szCs w:val="24"/>
        </w:rPr>
      </w:pPr>
      <w:r>
        <w:rPr>
          <w:rFonts w:ascii="Arial Narrow" w:hAnsi="Arial Narrow" w:cs="Times New Roman"/>
          <w:sz w:val="24"/>
          <w:szCs w:val="24"/>
        </w:rPr>
        <w:tab/>
      </w:r>
      <w:r w:rsidR="002937C8" w:rsidRPr="002937C8">
        <w:rPr>
          <w:rFonts w:ascii="Arial Narrow" w:hAnsi="Arial Narrow" w:cs="Times New Roman"/>
          <w:b/>
          <w:color w:val="4F81BD" w:themeColor="accent1"/>
          <w:sz w:val="24"/>
          <w:szCs w:val="24"/>
        </w:rPr>
        <w:t xml:space="preserve">11.5.14. </w:t>
      </w:r>
      <w:r w:rsidRPr="002937C8">
        <w:rPr>
          <w:rFonts w:ascii="Arial Narrow" w:hAnsi="Arial Narrow" w:cs="Times New Roman"/>
          <w:b/>
          <w:color w:val="4F81BD" w:themeColor="accent1"/>
          <w:sz w:val="24"/>
          <w:szCs w:val="24"/>
        </w:rPr>
        <w:t xml:space="preserve">Επισιτιστική Ασφάλεια – Εθνική Στρατηγική </w:t>
      </w:r>
      <w:r w:rsidRPr="002937C8">
        <w:rPr>
          <w:rFonts w:ascii="Arial Narrow" w:hAnsi="Arial Narrow" w:cs="Times New Roman"/>
          <w:b/>
          <w:color w:val="4F81BD" w:themeColor="accent1"/>
          <w:sz w:val="24"/>
          <w:szCs w:val="24"/>
          <w:lang w:val="en-US"/>
        </w:rPr>
        <w:t>Food</w:t>
      </w:r>
      <w:r w:rsidRPr="002937C8">
        <w:rPr>
          <w:rFonts w:ascii="Arial Narrow" w:hAnsi="Arial Narrow" w:cs="Times New Roman"/>
          <w:b/>
          <w:color w:val="4F81BD" w:themeColor="accent1"/>
          <w:sz w:val="24"/>
          <w:szCs w:val="24"/>
        </w:rPr>
        <w:t xml:space="preserve"> </w:t>
      </w:r>
      <w:r w:rsidRPr="002937C8">
        <w:rPr>
          <w:rFonts w:ascii="Arial Narrow" w:hAnsi="Arial Narrow" w:cs="Times New Roman"/>
          <w:b/>
          <w:color w:val="4F81BD" w:themeColor="accent1"/>
          <w:sz w:val="24"/>
          <w:szCs w:val="24"/>
          <w:lang w:val="en-US"/>
        </w:rPr>
        <w:t>Security</w:t>
      </w:r>
      <w:r w:rsidRPr="002937C8">
        <w:rPr>
          <w:rFonts w:ascii="Arial Narrow" w:hAnsi="Arial Narrow" w:cs="Times New Roman"/>
          <w:b/>
          <w:color w:val="4F81BD" w:themeColor="accent1"/>
          <w:sz w:val="24"/>
          <w:szCs w:val="24"/>
        </w:rPr>
        <w:t xml:space="preserve"> </w:t>
      </w:r>
      <w:r w:rsidRPr="002937C8">
        <w:rPr>
          <w:rFonts w:ascii="Arial Narrow" w:hAnsi="Arial Narrow" w:cs="Times New Roman"/>
          <w:b/>
          <w:color w:val="4F81BD" w:themeColor="accent1"/>
          <w:sz w:val="24"/>
          <w:szCs w:val="24"/>
          <w:lang w:val="en-US"/>
        </w:rPr>
        <w:t>Strategy</w:t>
      </w:r>
      <w:r w:rsidRPr="002937C8">
        <w:rPr>
          <w:rFonts w:ascii="Arial Narrow" w:hAnsi="Arial Narrow" w:cs="Times New Roman"/>
          <w:b/>
          <w:color w:val="4F81BD" w:themeColor="accent1"/>
          <w:sz w:val="24"/>
          <w:szCs w:val="24"/>
        </w:rPr>
        <w:t xml:space="preserve"> 2051</w:t>
      </w:r>
    </w:p>
    <w:p w14:paraId="507E74C8" w14:textId="3AD6C617" w:rsidR="007853D8" w:rsidRDefault="007853D8" w:rsidP="00212416">
      <w:pPr>
        <w:jc w:val="both"/>
        <w:rPr>
          <w:rFonts w:ascii="Arial Narrow" w:hAnsi="Arial Narrow" w:cs="Times New Roman"/>
          <w:sz w:val="24"/>
          <w:szCs w:val="24"/>
        </w:rPr>
      </w:pPr>
      <w:r w:rsidRPr="006902AB">
        <w:rPr>
          <w:rFonts w:ascii="Arial Narrow" w:hAnsi="Arial Narrow" w:cs="Times New Roman"/>
          <w:color w:val="1F497D" w:themeColor="text2"/>
          <w:sz w:val="24"/>
          <w:szCs w:val="24"/>
        </w:rPr>
        <w:tab/>
      </w:r>
      <w:r w:rsidRPr="006902AB">
        <w:rPr>
          <w:rFonts w:ascii="Arial Narrow" w:hAnsi="Arial Narrow" w:cs="Times New Roman"/>
          <w:sz w:val="24"/>
          <w:szCs w:val="24"/>
        </w:rPr>
        <w:t>Η εν λόγω στρατηγική στοχεύει στην αύξηση της εγχώριας παραγωγής</w:t>
      </w:r>
      <w:r>
        <w:rPr>
          <w:rFonts w:ascii="Arial Narrow" w:hAnsi="Arial Narrow" w:cs="Times New Roman"/>
          <w:sz w:val="24"/>
          <w:szCs w:val="24"/>
        </w:rPr>
        <w:t>, στη μείωση της εξάρτησης από εισαγωγές, στην αξιοποίηση της τεχνολογίας, στην διαχείριση των υδάτινων πόρων και στην δημιουργία στρατηγικών αποθεμάτων. Τα Ηνωμένα Αραβικά Εμιράτα συγκαταλέγονται πλέον στις χώρες με τις υψηλότερες επενδύσεις σε θέματα Αγρο-Τεχνολογίας (</w:t>
      </w:r>
      <w:r>
        <w:rPr>
          <w:rFonts w:ascii="Arial Narrow" w:hAnsi="Arial Narrow" w:cs="Times New Roman"/>
          <w:sz w:val="24"/>
          <w:szCs w:val="24"/>
          <w:lang w:val="en-US"/>
        </w:rPr>
        <w:t>AgriTech</w:t>
      </w:r>
      <w:r w:rsidRPr="007853D8">
        <w:rPr>
          <w:rFonts w:ascii="Arial Narrow" w:hAnsi="Arial Narrow" w:cs="Times New Roman"/>
          <w:sz w:val="24"/>
          <w:szCs w:val="24"/>
        </w:rPr>
        <w:t xml:space="preserve">) </w:t>
      </w:r>
      <w:r>
        <w:rPr>
          <w:rFonts w:ascii="Arial Narrow" w:hAnsi="Arial Narrow" w:cs="Times New Roman"/>
          <w:sz w:val="24"/>
          <w:szCs w:val="24"/>
        </w:rPr>
        <w:t>παγκοσμίως.</w:t>
      </w:r>
    </w:p>
    <w:p w14:paraId="5C7A3912" w14:textId="50CF635A" w:rsidR="007853D8" w:rsidRPr="002937C8" w:rsidRDefault="007853D8" w:rsidP="00212416">
      <w:pPr>
        <w:jc w:val="both"/>
        <w:rPr>
          <w:rFonts w:ascii="Arial Narrow" w:hAnsi="Arial Narrow" w:cs="Times New Roman"/>
          <w:b/>
          <w:color w:val="4F81BD" w:themeColor="accent1"/>
          <w:sz w:val="24"/>
          <w:szCs w:val="24"/>
        </w:rPr>
      </w:pPr>
      <w:r>
        <w:rPr>
          <w:rFonts w:ascii="Arial Narrow" w:hAnsi="Arial Narrow" w:cs="Times New Roman"/>
          <w:sz w:val="24"/>
          <w:szCs w:val="24"/>
        </w:rPr>
        <w:tab/>
      </w:r>
      <w:r w:rsidR="002937C8">
        <w:rPr>
          <w:rFonts w:ascii="Arial Narrow" w:hAnsi="Arial Narrow" w:cs="Times New Roman"/>
          <w:b/>
          <w:color w:val="4F81BD" w:themeColor="accent1"/>
          <w:sz w:val="24"/>
          <w:szCs w:val="24"/>
        </w:rPr>
        <w:t xml:space="preserve">11.5.15. </w:t>
      </w:r>
      <w:r w:rsidRPr="002937C8">
        <w:rPr>
          <w:rFonts w:ascii="Arial Narrow" w:hAnsi="Arial Narrow" w:cs="Times New Roman"/>
          <w:b/>
          <w:color w:val="4F81BD" w:themeColor="accent1"/>
          <w:sz w:val="24"/>
          <w:szCs w:val="24"/>
        </w:rPr>
        <w:t>Κυβερνητικές Πρωτοβουλίες για τον Πρωτογενή Τομέα</w:t>
      </w:r>
    </w:p>
    <w:p w14:paraId="74A4527D" w14:textId="533BDDAB" w:rsidR="003405E5" w:rsidRDefault="003405E5" w:rsidP="00212416">
      <w:pPr>
        <w:jc w:val="both"/>
        <w:rPr>
          <w:rFonts w:ascii="Arial Narrow" w:hAnsi="Arial Narrow" w:cs="Times New Roman"/>
          <w:b/>
          <w:sz w:val="24"/>
          <w:szCs w:val="24"/>
        </w:rPr>
      </w:pPr>
      <w:r w:rsidRPr="002937C8">
        <w:rPr>
          <w:rFonts w:ascii="Arial Narrow" w:hAnsi="Arial Narrow" w:cs="Times New Roman"/>
          <w:sz w:val="24"/>
          <w:szCs w:val="24"/>
        </w:rPr>
        <w:tab/>
        <w:t xml:space="preserve">Στις πρωτοβουλίες αυτές οι κυριότεροι Φορείς που συνδέονται άμεσα  με τον πρωτογενή τομέα και τις σημαντικές πρωτοβουλίες που αναλαμβάνουν είναι το </w:t>
      </w:r>
      <w:r w:rsidRPr="002937C8">
        <w:rPr>
          <w:rFonts w:ascii="Arial Narrow" w:hAnsi="Arial Narrow" w:cs="Times New Roman"/>
          <w:b/>
          <w:sz w:val="24"/>
          <w:szCs w:val="24"/>
        </w:rPr>
        <w:t xml:space="preserve">Εμιρατινό Υπουργείο </w:t>
      </w:r>
      <w:r w:rsidRPr="00804331">
        <w:rPr>
          <w:rFonts w:ascii="Arial Narrow" w:hAnsi="Arial Narrow" w:cs="Times New Roman"/>
          <w:b/>
          <w:sz w:val="24"/>
          <w:szCs w:val="24"/>
        </w:rPr>
        <w:t>Κλιματικής Αλλαγής και Περιβάλλοντος (</w:t>
      </w:r>
      <w:r w:rsidR="00804331" w:rsidRPr="00804331">
        <w:rPr>
          <w:rFonts w:ascii="Arial Narrow" w:hAnsi="Arial Narrow" w:cs="Times New Roman"/>
          <w:b/>
          <w:sz w:val="24"/>
          <w:szCs w:val="24"/>
          <w:lang w:val="en-US"/>
        </w:rPr>
        <w:t>Ministry</w:t>
      </w:r>
      <w:r w:rsidR="00804331" w:rsidRPr="00804331">
        <w:rPr>
          <w:rFonts w:ascii="Arial Narrow" w:hAnsi="Arial Narrow" w:cs="Times New Roman"/>
          <w:b/>
          <w:sz w:val="24"/>
          <w:szCs w:val="24"/>
        </w:rPr>
        <w:t xml:space="preserve"> </w:t>
      </w:r>
      <w:r w:rsidR="00804331" w:rsidRPr="00804331">
        <w:rPr>
          <w:rFonts w:ascii="Arial Narrow" w:hAnsi="Arial Narrow" w:cs="Times New Roman"/>
          <w:b/>
          <w:sz w:val="24"/>
          <w:szCs w:val="24"/>
          <w:lang w:val="en-US"/>
        </w:rPr>
        <w:t>of</w:t>
      </w:r>
      <w:r w:rsidR="00804331" w:rsidRPr="00804331">
        <w:rPr>
          <w:rFonts w:ascii="Arial Narrow" w:hAnsi="Arial Narrow" w:cs="Times New Roman"/>
          <w:b/>
          <w:sz w:val="24"/>
          <w:szCs w:val="24"/>
        </w:rPr>
        <w:t xml:space="preserve"> </w:t>
      </w:r>
      <w:r w:rsidR="00804331" w:rsidRPr="00804331">
        <w:rPr>
          <w:rFonts w:ascii="Arial Narrow" w:hAnsi="Arial Narrow" w:cs="Times New Roman"/>
          <w:b/>
          <w:sz w:val="24"/>
          <w:szCs w:val="24"/>
          <w:lang w:val="en-US"/>
        </w:rPr>
        <w:t>Climate</w:t>
      </w:r>
      <w:r w:rsidR="00804331" w:rsidRPr="00804331">
        <w:rPr>
          <w:rFonts w:ascii="Arial Narrow" w:hAnsi="Arial Narrow" w:cs="Times New Roman"/>
          <w:b/>
          <w:sz w:val="24"/>
          <w:szCs w:val="24"/>
        </w:rPr>
        <w:t xml:space="preserve"> </w:t>
      </w:r>
      <w:r w:rsidR="00804331" w:rsidRPr="00804331">
        <w:rPr>
          <w:rFonts w:ascii="Arial Narrow" w:hAnsi="Arial Narrow" w:cs="Times New Roman"/>
          <w:b/>
          <w:sz w:val="24"/>
          <w:szCs w:val="24"/>
          <w:lang w:val="en-US"/>
        </w:rPr>
        <w:t>Change</w:t>
      </w:r>
      <w:r w:rsidR="00804331" w:rsidRPr="00804331">
        <w:rPr>
          <w:rFonts w:ascii="Arial Narrow" w:hAnsi="Arial Narrow" w:cs="Times New Roman"/>
          <w:b/>
          <w:sz w:val="24"/>
          <w:szCs w:val="24"/>
        </w:rPr>
        <w:t xml:space="preserve"> </w:t>
      </w:r>
      <w:r w:rsidR="00804331" w:rsidRPr="00804331">
        <w:rPr>
          <w:rFonts w:ascii="Arial Narrow" w:hAnsi="Arial Narrow" w:cs="Times New Roman"/>
          <w:b/>
          <w:sz w:val="24"/>
          <w:szCs w:val="24"/>
          <w:lang w:val="en-US"/>
        </w:rPr>
        <w:t>and</w:t>
      </w:r>
      <w:r w:rsidR="00804331" w:rsidRPr="00804331">
        <w:rPr>
          <w:rFonts w:ascii="Arial Narrow" w:hAnsi="Arial Narrow" w:cs="Times New Roman"/>
          <w:b/>
          <w:sz w:val="24"/>
          <w:szCs w:val="24"/>
        </w:rPr>
        <w:t xml:space="preserve"> </w:t>
      </w:r>
      <w:r w:rsidR="00804331" w:rsidRPr="00804331">
        <w:rPr>
          <w:rFonts w:ascii="Arial Narrow" w:hAnsi="Arial Narrow" w:cs="Times New Roman"/>
          <w:b/>
          <w:sz w:val="24"/>
          <w:szCs w:val="24"/>
          <w:lang w:val="en-US"/>
        </w:rPr>
        <w:t>Environment</w:t>
      </w:r>
      <w:r w:rsidR="00804331" w:rsidRPr="00804331">
        <w:rPr>
          <w:rFonts w:ascii="Arial Narrow" w:hAnsi="Arial Narrow" w:cs="Times New Roman"/>
          <w:b/>
          <w:sz w:val="24"/>
          <w:szCs w:val="24"/>
        </w:rPr>
        <w:t>), η Αρχή Προστασίας των Τροφίμων και της Γεωργίας (</w:t>
      </w:r>
      <w:r w:rsidR="00804331" w:rsidRPr="00804331">
        <w:rPr>
          <w:rFonts w:ascii="Arial Narrow" w:hAnsi="Arial Narrow" w:cs="Times New Roman"/>
          <w:b/>
          <w:sz w:val="24"/>
          <w:szCs w:val="24"/>
          <w:lang w:val="en-US"/>
        </w:rPr>
        <w:t>Abu</w:t>
      </w:r>
      <w:r w:rsidR="00804331" w:rsidRPr="00804331">
        <w:rPr>
          <w:rFonts w:ascii="Arial Narrow" w:hAnsi="Arial Narrow" w:cs="Times New Roman"/>
          <w:b/>
          <w:sz w:val="24"/>
          <w:szCs w:val="24"/>
        </w:rPr>
        <w:t xml:space="preserve"> </w:t>
      </w:r>
      <w:r w:rsidR="00804331" w:rsidRPr="00804331">
        <w:rPr>
          <w:rFonts w:ascii="Arial Narrow" w:hAnsi="Arial Narrow" w:cs="Times New Roman"/>
          <w:b/>
          <w:sz w:val="24"/>
          <w:szCs w:val="24"/>
          <w:lang w:val="en-US"/>
        </w:rPr>
        <w:t>Dhabi</w:t>
      </w:r>
      <w:r w:rsidR="00804331" w:rsidRPr="00804331">
        <w:rPr>
          <w:rFonts w:ascii="Arial Narrow" w:hAnsi="Arial Narrow" w:cs="Times New Roman"/>
          <w:b/>
          <w:sz w:val="24"/>
          <w:szCs w:val="24"/>
        </w:rPr>
        <w:t xml:space="preserve"> </w:t>
      </w:r>
      <w:r w:rsidR="00804331" w:rsidRPr="00804331">
        <w:rPr>
          <w:rFonts w:ascii="Arial Narrow" w:hAnsi="Arial Narrow" w:cs="Times New Roman"/>
          <w:b/>
          <w:sz w:val="24"/>
          <w:szCs w:val="24"/>
          <w:lang w:val="en-US"/>
        </w:rPr>
        <w:t>Agriculture</w:t>
      </w:r>
      <w:r w:rsidR="00804331" w:rsidRPr="00804331">
        <w:rPr>
          <w:rFonts w:ascii="Arial Narrow" w:hAnsi="Arial Narrow" w:cs="Times New Roman"/>
          <w:b/>
          <w:sz w:val="24"/>
          <w:szCs w:val="24"/>
        </w:rPr>
        <w:t xml:space="preserve"> </w:t>
      </w:r>
      <w:r w:rsidR="00804331" w:rsidRPr="00804331">
        <w:rPr>
          <w:rFonts w:ascii="Arial Narrow" w:hAnsi="Arial Narrow" w:cs="Times New Roman"/>
          <w:b/>
          <w:sz w:val="24"/>
          <w:szCs w:val="24"/>
          <w:lang w:val="en-US"/>
        </w:rPr>
        <w:t>and</w:t>
      </w:r>
      <w:r w:rsidR="00804331" w:rsidRPr="00804331">
        <w:rPr>
          <w:rFonts w:ascii="Arial Narrow" w:hAnsi="Arial Narrow" w:cs="Times New Roman"/>
          <w:b/>
          <w:sz w:val="24"/>
          <w:szCs w:val="24"/>
        </w:rPr>
        <w:t xml:space="preserve"> </w:t>
      </w:r>
      <w:r w:rsidR="00804331" w:rsidRPr="00804331">
        <w:rPr>
          <w:rFonts w:ascii="Arial Narrow" w:hAnsi="Arial Narrow" w:cs="Times New Roman"/>
          <w:b/>
          <w:sz w:val="24"/>
          <w:szCs w:val="24"/>
          <w:lang w:val="en-US"/>
        </w:rPr>
        <w:t>Food</w:t>
      </w:r>
      <w:r w:rsidR="00804331" w:rsidRPr="00804331">
        <w:rPr>
          <w:rFonts w:ascii="Arial Narrow" w:hAnsi="Arial Narrow" w:cs="Times New Roman"/>
          <w:b/>
          <w:sz w:val="24"/>
          <w:szCs w:val="24"/>
        </w:rPr>
        <w:t xml:space="preserve"> </w:t>
      </w:r>
      <w:r w:rsidR="00804331" w:rsidRPr="00804331">
        <w:rPr>
          <w:rFonts w:ascii="Arial Narrow" w:hAnsi="Arial Narrow" w:cs="Times New Roman"/>
          <w:b/>
          <w:sz w:val="24"/>
          <w:szCs w:val="24"/>
          <w:lang w:val="en-US"/>
        </w:rPr>
        <w:t>Safety</w:t>
      </w:r>
      <w:r w:rsidR="00804331" w:rsidRPr="00804331">
        <w:rPr>
          <w:rFonts w:ascii="Arial Narrow" w:hAnsi="Arial Narrow" w:cs="Times New Roman"/>
          <w:b/>
          <w:sz w:val="24"/>
          <w:szCs w:val="24"/>
        </w:rPr>
        <w:t xml:space="preserve"> </w:t>
      </w:r>
      <w:r w:rsidR="00804331" w:rsidRPr="00804331">
        <w:rPr>
          <w:rFonts w:ascii="Arial Narrow" w:hAnsi="Arial Narrow" w:cs="Times New Roman"/>
          <w:b/>
          <w:sz w:val="24"/>
          <w:szCs w:val="24"/>
          <w:lang w:val="en-US"/>
        </w:rPr>
        <w:t>Authority</w:t>
      </w:r>
      <w:r w:rsidR="00804331" w:rsidRPr="00804331">
        <w:rPr>
          <w:rFonts w:ascii="Arial Narrow" w:hAnsi="Arial Narrow" w:cs="Times New Roman"/>
          <w:b/>
          <w:sz w:val="24"/>
          <w:szCs w:val="24"/>
        </w:rPr>
        <w:t xml:space="preserve">). </w:t>
      </w:r>
      <w:r w:rsidR="00804331">
        <w:rPr>
          <w:rFonts w:ascii="Arial Narrow" w:hAnsi="Arial Narrow" w:cs="Times New Roman"/>
          <w:sz w:val="24"/>
          <w:szCs w:val="24"/>
          <w:lang w:val="en-US"/>
        </w:rPr>
        <w:t>T</w:t>
      </w:r>
      <w:r w:rsidR="00804331">
        <w:rPr>
          <w:rFonts w:ascii="Arial Narrow" w:hAnsi="Arial Narrow" w:cs="Times New Roman"/>
          <w:sz w:val="24"/>
          <w:szCs w:val="24"/>
        </w:rPr>
        <w:t xml:space="preserve">α Προγράμματα που εκτελούνται και αφορούν όλο τον πρωτογενή τομέα είναι </w:t>
      </w:r>
      <w:r w:rsidR="00804331">
        <w:rPr>
          <w:rFonts w:ascii="Arial Narrow" w:hAnsi="Arial Narrow" w:cs="Times New Roman"/>
          <w:b/>
          <w:sz w:val="24"/>
          <w:szCs w:val="24"/>
        </w:rPr>
        <w:t>οι επιδοτήσεις των γεωργών και αγροτών, η χρηματοδότηση των θερμοκηπίων, οι υδροπονικές καλλιέργειες, ή έξυπνη γεωργία, η βελτίωση του ζωϊκού κεφαλαίου και η προστασία των αλιευτικών αποθεμάτων.</w:t>
      </w:r>
    </w:p>
    <w:p w14:paraId="01693E21" w14:textId="0880995E" w:rsidR="00804331" w:rsidRPr="00484EDD" w:rsidRDefault="002937C8" w:rsidP="00212416">
      <w:pPr>
        <w:jc w:val="both"/>
        <w:rPr>
          <w:rFonts w:ascii="Arial Narrow" w:hAnsi="Arial Narrow" w:cs="Times New Roman"/>
          <w:b/>
          <w:color w:val="1F497D" w:themeColor="text2"/>
          <w:sz w:val="24"/>
          <w:szCs w:val="24"/>
        </w:rPr>
      </w:pPr>
      <w:r>
        <w:rPr>
          <w:rFonts w:ascii="Arial Narrow" w:hAnsi="Arial Narrow" w:cs="Times New Roman"/>
          <w:b/>
          <w:sz w:val="24"/>
          <w:szCs w:val="24"/>
        </w:rPr>
        <w:t xml:space="preserve">      </w:t>
      </w:r>
      <w:r>
        <w:rPr>
          <w:rFonts w:ascii="Arial Narrow" w:hAnsi="Arial Narrow" w:cs="Times New Roman"/>
          <w:b/>
          <w:sz w:val="24"/>
          <w:szCs w:val="24"/>
        </w:rPr>
        <w:tab/>
      </w:r>
      <w:r w:rsidRPr="002937C8">
        <w:rPr>
          <w:rFonts w:ascii="Arial Narrow" w:hAnsi="Arial Narrow" w:cs="Times New Roman"/>
          <w:b/>
          <w:color w:val="4F81BD" w:themeColor="accent1"/>
          <w:sz w:val="24"/>
          <w:szCs w:val="24"/>
        </w:rPr>
        <w:t>11.5.16.</w:t>
      </w:r>
      <w:r w:rsidR="00804331" w:rsidRPr="002937C8">
        <w:rPr>
          <w:rFonts w:ascii="Arial Narrow" w:hAnsi="Arial Narrow" w:cs="Times New Roman"/>
          <w:b/>
          <w:color w:val="4F81BD" w:themeColor="accent1"/>
          <w:sz w:val="24"/>
          <w:szCs w:val="24"/>
        </w:rPr>
        <w:t xml:space="preserve"> Προκλήσεις Πρωτογενούς Τομέα </w:t>
      </w:r>
    </w:p>
    <w:p w14:paraId="12D93C34" w14:textId="6C8576FE" w:rsidR="00804331" w:rsidRDefault="00804331" w:rsidP="00212416">
      <w:pPr>
        <w:jc w:val="both"/>
        <w:rPr>
          <w:rFonts w:ascii="Arial Narrow" w:hAnsi="Arial Narrow" w:cs="Times New Roman"/>
          <w:sz w:val="24"/>
          <w:szCs w:val="24"/>
        </w:rPr>
      </w:pPr>
      <w:r>
        <w:rPr>
          <w:rFonts w:ascii="Arial Narrow" w:hAnsi="Arial Narrow" w:cs="Times New Roman"/>
          <w:b/>
          <w:color w:val="1F497D" w:themeColor="text2"/>
          <w:sz w:val="24"/>
          <w:szCs w:val="24"/>
        </w:rPr>
        <w:tab/>
      </w:r>
      <w:r>
        <w:rPr>
          <w:rFonts w:ascii="Arial Narrow" w:hAnsi="Arial Narrow" w:cs="Times New Roman"/>
          <w:sz w:val="24"/>
          <w:szCs w:val="24"/>
        </w:rPr>
        <w:t xml:space="preserve">Οι προκλήσεις με τις οποίες έρχονται οι διάφοροι τομείς, για τη Γεωργία είναι η έλλειψη νερού, </w:t>
      </w:r>
      <w:r w:rsidR="002601E1">
        <w:rPr>
          <w:rFonts w:ascii="Arial Narrow" w:hAnsi="Arial Narrow" w:cs="Times New Roman"/>
          <w:sz w:val="24"/>
          <w:szCs w:val="24"/>
        </w:rPr>
        <w:t xml:space="preserve">η υψηλή  αλατότητα των εδαφών, η κλιματική αλλαγή και το υψηλό κόστος παραγωγής, Στη Κτηνοτροφία οι προκλήσεις εστιάζονται στην εξάρτηση από εισαγόμενες ζωοτροφές και το υψηλό κόστος ψύξης και στέγασης. Για την Αλιεία οι προκλησεις είναι η υπεραλίευση ορισμένων ειδών, η υποβάθμιση θαλάσσιων οικοσυστημάτων και η συνεχής αύξηση της θερμοκρασίας των θαλασσών. </w:t>
      </w:r>
    </w:p>
    <w:p w14:paraId="5732D0CE" w14:textId="080E1AFB" w:rsidR="002601E1" w:rsidRPr="002937C8" w:rsidRDefault="002601E1" w:rsidP="00212416">
      <w:pPr>
        <w:jc w:val="both"/>
        <w:rPr>
          <w:rFonts w:ascii="Arial Narrow" w:hAnsi="Arial Narrow" w:cs="Times New Roman"/>
          <w:b/>
          <w:color w:val="4F81BD" w:themeColor="accent1"/>
          <w:sz w:val="24"/>
          <w:szCs w:val="24"/>
        </w:rPr>
      </w:pPr>
      <w:r w:rsidRPr="002601E1">
        <w:rPr>
          <w:rFonts w:ascii="Arial Narrow" w:hAnsi="Arial Narrow" w:cs="Times New Roman"/>
          <w:color w:val="548DD4" w:themeColor="text2" w:themeTint="99"/>
          <w:sz w:val="24"/>
          <w:szCs w:val="24"/>
        </w:rPr>
        <w:tab/>
      </w:r>
      <w:r w:rsidR="002937C8" w:rsidRPr="002937C8">
        <w:rPr>
          <w:rFonts w:ascii="Arial Narrow" w:hAnsi="Arial Narrow" w:cs="Times New Roman"/>
          <w:b/>
          <w:color w:val="4F81BD" w:themeColor="accent1"/>
          <w:sz w:val="24"/>
          <w:szCs w:val="24"/>
        </w:rPr>
        <w:t xml:space="preserve">11.5.17. </w:t>
      </w:r>
      <w:r w:rsidRPr="002937C8">
        <w:rPr>
          <w:rFonts w:ascii="Arial Narrow" w:hAnsi="Arial Narrow" w:cs="Times New Roman"/>
          <w:b/>
          <w:color w:val="4F81BD" w:themeColor="accent1"/>
          <w:sz w:val="24"/>
          <w:szCs w:val="24"/>
        </w:rPr>
        <w:t>Προοπτκές έως το 2035</w:t>
      </w:r>
    </w:p>
    <w:p w14:paraId="57FF62C5" w14:textId="7B7D138D" w:rsidR="00CD456F" w:rsidRDefault="002601E1" w:rsidP="00212416">
      <w:pPr>
        <w:jc w:val="both"/>
        <w:rPr>
          <w:rFonts w:ascii="Arial Narrow" w:hAnsi="Arial Narrow" w:cs="Times New Roman"/>
          <w:sz w:val="24"/>
          <w:szCs w:val="24"/>
        </w:rPr>
      </w:pPr>
      <w:r>
        <w:rPr>
          <w:rFonts w:ascii="Arial Narrow" w:hAnsi="Arial Narrow" w:cs="Times New Roman"/>
          <w:sz w:val="24"/>
          <w:szCs w:val="24"/>
        </w:rPr>
        <w:tab/>
        <w:t>Οι σημαντικότερες αναπτυξιακές τάσεις αναμένεται να είναι: για μεν τη Γεωργία η επέκταση της κάθετης γεωργίας, η ρομποτική συγκομιδή και η Τεχνητή Νοημοσύνη στη διαχείριση καλλιεργειών. Για την Κτηνοτροφία η γενετική βελτίωση του ζωϊκού κεφαλαίου και η αυτοματοποίηση μονάδων παραγωγής. Για την Αλιεία</w:t>
      </w:r>
      <w:r w:rsidR="00CD456F">
        <w:rPr>
          <w:rFonts w:ascii="Arial Narrow" w:hAnsi="Arial Narrow" w:cs="Times New Roman"/>
          <w:sz w:val="24"/>
          <w:szCs w:val="24"/>
        </w:rPr>
        <w:t xml:space="preserve"> οι προοπτικές ανάπτυξης είναι άρρηκτα συνδεδεμένες με την ανάπτυξη των υδατοκαλλιεργειών και η βιώσιμη διαχείριση αλιευτικών πόρων. </w:t>
      </w:r>
    </w:p>
    <w:p w14:paraId="2EC0CB25" w14:textId="08640F52" w:rsidR="00CD456F" w:rsidRPr="002937C8" w:rsidRDefault="00CD456F" w:rsidP="00212416">
      <w:pPr>
        <w:jc w:val="both"/>
        <w:rPr>
          <w:rFonts w:ascii="Arial Narrow" w:hAnsi="Arial Narrow" w:cs="Times New Roman"/>
          <w:b/>
          <w:color w:val="4F81BD" w:themeColor="accent1"/>
          <w:sz w:val="24"/>
          <w:szCs w:val="24"/>
        </w:rPr>
      </w:pPr>
      <w:r>
        <w:rPr>
          <w:rFonts w:ascii="Arial Narrow" w:hAnsi="Arial Narrow" w:cs="Times New Roman"/>
          <w:sz w:val="24"/>
          <w:szCs w:val="24"/>
        </w:rPr>
        <w:tab/>
      </w:r>
      <w:r w:rsidRPr="002937C8">
        <w:rPr>
          <w:rFonts w:ascii="Arial Narrow" w:hAnsi="Arial Narrow" w:cs="Times New Roman"/>
          <w:b/>
          <w:color w:val="4F81BD" w:themeColor="accent1"/>
          <w:sz w:val="24"/>
          <w:szCs w:val="24"/>
        </w:rPr>
        <w:t xml:space="preserve">ΣΥΜΠΕΡΑΣΜΑ </w:t>
      </w:r>
    </w:p>
    <w:p w14:paraId="0E9067C7" w14:textId="18293260" w:rsidR="009F5C09" w:rsidRDefault="00CD456F" w:rsidP="00C1502E">
      <w:pPr>
        <w:jc w:val="both"/>
        <w:rPr>
          <w:rFonts w:ascii="Arial Narrow" w:hAnsi="Arial Narrow" w:cs="Times New Roman"/>
          <w:sz w:val="24"/>
          <w:szCs w:val="24"/>
        </w:rPr>
      </w:pPr>
      <w:r>
        <w:rPr>
          <w:rFonts w:ascii="Arial Narrow" w:hAnsi="Arial Narrow" w:cs="Times New Roman"/>
          <w:color w:val="1F497D" w:themeColor="text2"/>
          <w:sz w:val="24"/>
          <w:szCs w:val="24"/>
        </w:rPr>
        <w:tab/>
      </w:r>
      <w:r w:rsidR="00783C49">
        <w:rPr>
          <w:rFonts w:ascii="Arial Narrow" w:hAnsi="Arial Narrow" w:cs="Times New Roman"/>
          <w:sz w:val="24"/>
          <w:szCs w:val="24"/>
        </w:rPr>
        <w:t>Παρά τους φυσικούς περιορισμούς του ερημικού περιβάλλοντος, τα Ηνωμένα Αραβικά Εμιράτα έχουν αναπτύξει έναν τεχνολογικά προηγμένο πρωτογενή τομέα, ο οποίος στηρίζεται σε σύγχρονες μεθόδους παραγωγής,  κρατικές επενδύσεις και καινοτομία. Η γεωργία υψηλής τεχνολογίας, η εκσυγχρονισμένη κτηνοτροφία και η αναπτυσσόμενη υδατοκαλλιέργεια αποτελούν βασικούς πυλώνες της στρατηγικής επισιτιστικής ασφάλειας της χώρας. Παρόλο που η συμμετοχή του τομέα στο ΑΕΠ της χώρας παραμένει περιορισμένη, η γεωπολιτική και οικονομική του σημασία αυξάνεται διαρκώς, καθιστώντας τον έναν από τους πλέον στρατηγικούς τομείς της οικονομίας των ΗΑΕ για τις επόμενες δεκαετίες.</w:t>
      </w:r>
    </w:p>
    <w:p w14:paraId="4B63E401" w14:textId="2D94E052" w:rsidR="00E923A4" w:rsidRPr="00205BE4" w:rsidRDefault="00BF33F0" w:rsidP="00C1502E">
      <w:pPr>
        <w:jc w:val="both"/>
        <w:rPr>
          <w:rFonts w:ascii="Arial Narrow" w:hAnsi="Arial Narrow" w:cs="Times New Roman"/>
          <w:b/>
          <w:sz w:val="28"/>
          <w:szCs w:val="28"/>
        </w:rPr>
      </w:pPr>
      <w:r>
        <w:rPr>
          <w:rFonts w:ascii="Arial Narrow" w:hAnsi="Arial Narrow" w:cs="Times New Roman"/>
          <w:b/>
          <w:color w:val="548DD4" w:themeColor="text2" w:themeTint="99"/>
          <w:sz w:val="28"/>
          <w:szCs w:val="28"/>
        </w:rPr>
        <w:t xml:space="preserve">3. </w:t>
      </w:r>
      <w:r w:rsidR="00C1502E" w:rsidRPr="00205BE4">
        <w:rPr>
          <w:rFonts w:ascii="Arial Narrow" w:hAnsi="Arial Narrow" w:cs="Times New Roman"/>
          <w:b/>
          <w:color w:val="548DD4" w:themeColor="text2" w:themeTint="99"/>
          <w:sz w:val="28"/>
          <w:szCs w:val="28"/>
        </w:rPr>
        <w:t>Ο κλάδος της Ενέργειας στα Ηνωμένα Αραβικά Εμιράτα (ΗΑΕ)</w:t>
      </w:r>
    </w:p>
    <w:p w14:paraId="78CE916E" w14:textId="67DD5952" w:rsidR="00C1502E" w:rsidRPr="00A960E9" w:rsidRDefault="00BF33F0" w:rsidP="00C1502E">
      <w:pPr>
        <w:jc w:val="both"/>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3.1. </w:t>
      </w:r>
      <w:r w:rsidR="00C1502E" w:rsidRPr="00A960E9">
        <w:rPr>
          <w:rFonts w:ascii="Arial Narrow" w:hAnsi="Arial Narrow" w:cs="Times New Roman"/>
          <w:b/>
          <w:color w:val="548DD4" w:themeColor="text2" w:themeTint="99"/>
          <w:sz w:val="24"/>
          <w:szCs w:val="24"/>
        </w:rPr>
        <w:t>Γενική Επισκόπηση</w:t>
      </w:r>
    </w:p>
    <w:p w14:paraId="1D0BA5D0" w14:textId="60125C6C" w:rsidR="00C1502E" w:rsidRDefault="00C1502E" w:rsidP="00C1502E">
      <w:pPr>
        <w:jc w:val="both"/>
        <w:rPr>
          <w:rFonts w:ascii="Arial Narrow" w:hAnsi="Arial Narrow" w:cs="Times New Roman"/>
          <w:sz w:val="24"/>
          <w:szCs w:val="24"/>
        </w:rPr>
      </w:pPr>
      <w:r>
        <w:rPr>
          <w:rFonts w:ascii="Arial Narrow" w:hAnsi="Arial Narrow" w:cs="Times New Roman"/>
          <w:sz w:val="24"/>
          <w:szCs w:val="24"/>
        </w:rPr>
        <w:t xml:space="preserve">Ο τομέας της ενέργειας </w:t>
      </w:r>
      <w:r w:rsidR="002521B7">
        <w:rPr>
          <w:rFonts w:ascii="Arial Narrow" w:hAnsi="Arial Narrow" w:cs="Times New Roman"/>
          <w:sz w:val="24"/>
          <w:szCs w:val="24"/>
        </w:rPr>
        <w:t>αποτελεί έναν από τους σημαντικότερους πυλώνες της οικονομίας των Ηνωμένων Αραβικών Εμιράτων, συμβάλλοντας σημαντικά στο ΑΕΠ, στα δημόσια έσοδα, στις εξαγωγές και στην προ</w:t>
      </w:r>
      <w:r w:rsidR="00C76A35">
        <w:rPr>
          <w:rFonts w:ascii="Arial Narrow" w:hAnsi="Arial Narrow" w:cs="Times New Roman"/>
          <w:sz w:val="24"/>
          <w:szCs w:val="24"/>
        </w:rPr>
        <w:t>σ</w:t>
      </w:r>
      <w:r w:rsidR="002521B7">
        <w:rPr>
          <w:rFonts w:ascii="Arial Narrow" w:hAnsi="Arial Narrow" w:cs="Times New Roman"/>
          <w:sz w:val="24"/>
          <w:szCs w:val="24"/>
        </w:rPr>
        <w:t>έλευση ξένων επενδύσεων. Τα Ηνωμένα Αραβικά Εμιράτα διαθέτουν ένα από τα πλέον διαφοροποιημένα ενεργειακά συστήματα στη Μέση Ανατολή, συνδυάζοντας το πετρέλαιο, το φ/α, την Ηλιακή Ενέργεια, τη Πυρηνική Ενέργεια, το Υδρογόνο και τις Τεχνολογίες δέσμευσης άνθρακα (</w:t>
      </w:r>
      <w:r w:rsidR="002521B7">
        <w:rPr>
          <w:rFonts w:ascii="Arial Narrow" w:hAnsi="Arial Narrow" w:cs="Times New Roman"/>
          <w:sz w:val="24"/>
          <w:szCs w:val="24"/>
          <w:lang w:val="en-US"/>
        </w:rPr>
        <w:t>CCUS</w:t>
      </w:r>
      <w:r w:rsidR="002521B7" w:rsidRPr="002521B7">
        <w:rPr>
          <w:rFonts w:ascii="Arial Narrow" w:hAnsi="Arial Narrow" w:cs="Times New Roman"/>
          <w:sz w:val="24"/>
          <w:szCs w:val="24"/>
        </w:rPr>
        <w:t>).</w:t>
      </w:r>
      <w:r w:rsidR="00AC3E8A">
        <w:rPr>
          <w:rFonts w:ascii="Arial Narrow" w:hAnsi="Arial Narrow" w:cs="Times New Roman"/>
          <w:sz w:val="24"/>
          <w:szCs w:val="24"/>
        </w:rPr>
        <w:t xml:space="preserve"> Παρόλο που οι μη πετρελαϊκοί κλάδοι αναπτύσσονται ταχύτερα, η ενέργεια εξακολουθεί να αποτελεί τη βάση της οικονομικής ισχύος των Ηνωμένων Αραβικών Εμιράτων.</w:t>
      </w:r>
    </w:p>
    <w:p w14:paraId="22EEFD0A" w14:textId="2DFD22E3" w:rsidR="002521B7" w:rsidRPr="00A960E9" w:rsidRDefault="00F139F2" w:rsidP="00F139F2">
      <w:pPr>
        <w:jc w:val="center"/>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ΠΙΝΑΚΑΣ </w:t>
      </w:r>
      <w:r w:rsidR="00E10259">
        <w:rPr>
          <w:rFonts w:ascii="Arial Narrow" w:hAnsi="Arial Narrow" w:cs="Times New Roman"/>
          <w:b/>
          <w:color w:val="548DD4" w:themeColor="text2" w:themeTint="99"/>
          <w:sz w:val="24"/>
          <w:szCs w:val="24"/>
        </w:rPr>
        <w:t>6</w:t>
      </w:r>
      <w:r w:rsidR="00026058" w:rsidRPr="00026058">
        <w:rPr>
          <w:rFonts w:ascii="Arial Narrow" w:hAnsi="Arial Narrow" w:cs="Times New Roman"/>
          <w:b/>
          <w:color w:val="548DD4" w:themeColor="text2" w:themeTint="99"/>
          <w:sz w:val="24"/>
          <w:szCs w:val="24"/>
        </w:rPr>
        <w:t xml:space="preserve"> </w:t>
      </w:r>
      <w:r w:rsidR="001458A6" w:rsidRPr="001458A6">
        <w:rPr>
          <w:rFonts w:ascii="Arial Narrow" w:hAnsi="Arial Narrow" w:cs="Times New Roman"/>
          <w:b/>
          <w:color w:val="548DD4" w:themeColor="text2" w:themeTint="99"/>
          <w:sz w:val="24"/>
          <w:szCs w:val="24"/>
        </w:rPr>
        <w:t xml:space="preserve"> </w:t>
      </w:r>
      <w:r w:rsidRPr="00F139F2">
        <w:rPr>
          <w:rFonts w:ascii="Arial Narrow" w:hAnsi="Arial Narrow" w:cs="Times New Roman"/>
          <w:b/>
          <w:color w:val="548DD4" w:themeColor="text2" w:themeTint="99"/>
          <w:sz w:val="24"/>
          <w:szCs w:val="24"/>
        </w:rPr>
        <w:t xml:space="preserve">- </w:t>
      </w:r>
      <w:r w:rsidR="002521B7" w:rsidRPr="00A960E9">
        <w:rPr>
          <w:rFonts w:ascii="Arial Narrow" w:hAnsi="Arial Narrow" w:cs="Times New Roman"/>
          <w:b/>
          <w:color w:val="548DD4" w:themeColor="text2" w:themeTint="99"/>
          <w:sz w:val="24"/>
          <w:szCs w:val="24"/>
        </w:rPr>
        <w:t>Συμβολή του Ενεργειακού Τομέα στην Οικονομία</w:t>
      </w:r>
    </w:p>
    <w:tbl>
      <w:tblPr>
        <w:tblStyle w:val="TableGrid"/>
        <w:tblW w:w="0" w:type="auto"/>
        <w:tblLook w:val="04A0" w:firstRow="1" w:lastRow="0" w:firstColumn="1" w:lastColumn="0" w:noHBand="0" w:noVBand="1"/>
      </w:tblPr>
      <w:tblGrid>
        <w:gridCol w:w="4885"/>
        <w:gridCol w:w="4886"/>
      </w:tblGrid>
      <w:tr w:rsidR="00AC3E8A" w14:paraId="3A1BE643" w14:textId="77777777" w:rsidTr="00AC3E8A">
        <w:tc>
          <w:tcPr>
            <w:tcW w:w="4885" w:type="dxa"/>
          </w:tcPr>
          <w:p w14:paraId="16BCB9A4" w14:textId="6AE63178" w:rsidR="00AC3E8A" w:rsidRPr="00A960E9" w:rsidRDefault="00AC3E8A" w:rsidP="00C1502E">
            <w:pPr>
              <w:jc w:val="both"/>
              <w:rPr>
                <w:rFonts w:ascii="Arial Narrow" w:hAnsi="Arial Narrow" w:cs="Times New Roman"/>
                <w:b/>
                <w:color w:val="548DD4" w:themeColor="text2" w:themeTint="99"/>
                <w:sz w:val="24"/>
                <w:szCs w:val="24"/>
              </w:rPr>
            </w:pPr>
            <w:r w:rsidRPr="00A960E9">
              <w:rPr>
                <w:rFonts w:ascii="Arial Narrow" w:hAnsi="Arial Narrow" w:cs="Times New Roman"/>
                <w:b/>
                <w:color w:val="548DD4" w:themeColor="text2" w:themeTint="99"/>
                <w:sz w:val="24"/>
                <w:szCs w:val="24"/>
              </w:rPr>
              <w:t xml:space="preserve">Δείκτης </w:t>
            </w:r>
          </w:p>
        </w:tc>
        <w:tc>
          <w:tcPr>
            <w:tcW w:w="4886" w:type="dxa"/>
          </w:tcPr>
          <w:p w14:paraId="612A9826" w14:textId="13BB91A3" w:rsidR="00AC3E8A" w:rsidRPr="00A960E9" w:rsidRDefault="00AC3E8A" w:rsidP="00C1502E">
            <w:pPr>
              <w:jc w:val="both"/>
              <w:rPr>
                <w:rFonts w:ascii="Arial Narrow" w:hAnsi="Arial Narrow" w:cs="Times New Roman"/>
                <w:b/>
                <w:color w:val="548DD4" w:themeColor="text2" w:themeTint="99"/>
                <w:sz w:val="24"/>
                <w:szCs w:val="24"/>
              </w:rPr>
            </w:pPr>
            <w:r w:rsidRPr="00A960E9">
              <w:rPr>
                <w:rFonts w:ascii="Arial Narrow" w:hAnsi="Arial Narrow" w:cs="Times New Roman"/>
                <w:b/>
                <w:color w:val="548DD4" w:themeColor="text2" w:themeTint="99"/>
                <w:sz w:val="24"/>
                <w:szCs w:val="24"/>
              </w:rPr>
              <w:t>Εκτίμηση 2025</w:t>
            </w:r>
          </w:p>
        </w:tc>
      </w:tr>
      <w:tr w:rsidR="00AC3E8A" w14:paraId="1A48B381" w14:textId="77777777" w:rsidTr="00AC3E8A">
        <w:tc>
          <w:tcPr>
            <w:tcW w:w="4885" w:type="dxa"/>
          </w:tcPr>
          <w:p w14:paraId="5B5D66DD" w14:textId="5BC97A61" w:rsidR="00AC3E8A" w:rsidRPr="00A960E9" w:rsidRDefault="00AC3E8A" w:rsidP="00C1502E">
            <w:pPr>
              <w:jc w:val="both"/>
              <w:rPr>
                <w:rFonts w:ascii="Arial Narrow" w:hAnsi="Arial Narrow" w:cs="Times New Roman"/>
                <w:b/>
                <w:color w:val="548DD4" w:themeColor="text2" w:themeTint="99"/>
                <w:sz w:val="24"/>
                <w:szCs w:val="24"/>
              </w:rPr>
            </w:pPr>
            <w:r w:rsidRPr="00A960E9">
              <w:rPr>
                <w:rFonts w:ascii="Arial Narrow" w:hAnsi="Arial Narrow" w:cs="Times New Roman"/>
                <w:b/>
                <w:color w:val="548DD4" w:themeColor="text2" w:themeTint="99"/>
                <w:sz w:val="24"/>
                <w:szCs w:val="24"/>
              </w:rPr>
              <w:t>Συμμετοχή Πετρελαίου και φ/α στο ΑΕΠ</w:t>
            </w:r>
          </w:p>
        </w:tc>
        <w:tc>
          <w:tcPr>
            <w:tcW w:w="4886" w:type="dxa"/>
          </w:tcPr>
          <w:p w14:paraId="294013EA" w14:textId="1A510964" w:rsidR="00AC3E8A" w:rsidRPr="00A960E9" w:rsidRDefault="00AC3E8A" w:rsidP="00C1502E">
            <w:pPr>
              <w:jc w:val="both"/>
              <w:rPr>
                <w:rFonts w:ascii="Arial Narrow" w:hAnsi="Arial Narrow" w:cs="Times New Roman"/>
                <w:b/>
                <w:color w:val="548DD4" w:themeColor="text2" w:themeTint="99"/>
                <w:sz w:val="24"/>
                <w:szCs w:val="24"/>
              </w:rPr>
            </w:pPr>
            <w:r w:rsidRPr="00A960E9">
              <w:rPr>
                <w:rFonts w:ascii="Arial Narrow" w:hAnsi="Arial Narrow" w:cs="Times New Roman"/>
                <w:b/>
                <w:color w:val="548DD4" w:themeColor="text2" w:themeTint="99"/>
                <w:sz w:val="24"/>
                <w:szCs w:val="24"/>
              </w:rPr>
              <w:t>24% έως και 28%</w:t>
            </w:r>
          </w:p>
        </w:tc>
      </w:tr>
      <w:tr w:rsidR="00AC3E8A" w14:paraId="27AAFAB8" w14:textId="77777777" w:rsidTr="00AC3E8A">
        <w:tc>
          <w:tcPr>
            <w:tcW w:w="4885" w:type="dxa"/>
          </w:tcPr>
          <w:p w14:paraId="721B17E1" w14:textId="21070CA5" w:rsidR="00AC3E8A" w:rsidRPr="00A960E9" w:rsidRDefault="00AC3E8A" w:rsidP="00C1502E">
            <w:pPr>
              <w:jc w:val="both"/>
              <w:rPr>
                <w:rFonts w:ascii="Arial Narrow" w:hAnsi="Arial Narrow" w:cs="Times New Roman"/>
                <w:b/>
                <w:color w:val="548DD4" w:themeColor="text2" w:themeTint="99"/>
                <w:sz w:val="24"/>
                <w:szCs w:val="24"/>
              </w:rPr>
            </w:pPr>
            <w:r w:rsidRPr="00A960E9">
              <w:rPr>
                <w:rFonts w:ascii="Arial Narrow" w:hAnsi="Arial Narrow" w:cs="Times New Roman"/>
                <w:b/>
                <w:color w:val="548DD4" w:themeColor="text2" w:themeTint="99"/>
                <w:sz w:val="24"/>
                <w:szCs w:val="24"/>
              </w:rPr>
              <w:t xml:space="preserve">Συμμετοχή στις εξαγωγές </w:t>
            </w:r>
          </w:p>
        </w:tc>
        <w:tc>
          <w:tcPr>
            <w:tcW w:w="4886" w:type="dxa"/>
          </w:tcPr>
          <w:p w14:paraId="146FFF8A" w14:textId="3CFF70D0" w:rsidR="00AC3E8A" w:rsidRPr="00A960E9" w:rsidRDefault="00AC3E8A" w:rsidP="00C1502E">
            <w:pPr>
              <w:jc w:val="both"/>
              <w:rPr>
                <w:rFonts w:ascii="Arial Narrow" w:hAnsi="Arial Narrow" w:cs="Times New Roman"/>
                <w:b/>
                <w:color w:val="548DD4" w:themeColor="text2" w:themeTint="99"/>
                <w:sz w:val="24"/>
                <w:szCs w:val="24"/>
              </w:rPr>
            </w:pPr>
            <w:r w:rsidRPr="00A960E9">
              <w:rPr>
                <w:rFonts w:ascii="Arial Narrow" w:hAnsi="Arial Narrow" w:cs="Times New Roman"/>
                <w:b/>
                <w:color w:val="548DD4" w:themeColor="text2" w:themeTint="99"/>
                <w:sz w:val="24"/>
                <w:szCs w:val="24"/>
              </w:rPr>
              <w:t>&gt;60%</w:t>
            </w:r>
          </w:p>
        </w:tc>
      </w:tr>
      <w:tr w:rsidR="00AC3E8A" w14:paraId="2158D7E2" w14:textId="77777777" w:rsidTr="00AC3E8A">
        <w:tc>
          <w:tcPr>
            <w:tcW w:w="4885" w:type="dxa"/>
          </w:tcPr>
          <w:p w14:paraId="6561376A" w14:textId="3B57C16B" w:rsidR="00AC3E8A" w:rsidRPr="00A960E9" w:rsidRDefault="00AC3E8A" w:rsidP="00C1502E">
            <w:pPr>
              <w:jc w:val="both"/>
              <w:rPr>
                <w:rFonts w:ascii="Arial Narrow" w:hAnsi="Arial Narrow" w:cs="Times New Roman"/>
                <w:b/>
                <w:color w:val="548DD4" w:themeColor="text2" w:themeTint="99"/>
                <w:sz w:val="24"/>
                <w:szCs w:val="24"/>
              </w:rPr>
            </w:pPr>
            <w:r w:rsidRPr="00A960E9">
              <w:rPr>
                <w:rFonts w:ascii="Arial Narrow" w:hAnsi="Arial Narrow" w:cs="Times New Roman"/>
                <w:b/>
                <w:color w:val="548DD4" w:themeColor="text2" w:themeTint="99"/>
                <w:sz w:val="24"/>
                <w:szCs w:val="24"/>
              </w:rPr>
              <w:t>Δημόσια Έσοδα από υδρογονάνθρακες</w:t>
            </w:r>
          </w:p>
        </w:tc>
        <w:tc>
          <w:tcPr>
            <w:tcW w:w="4886" w:type="dxa"/>
          </w:tcPr>
          <w:p w14:paraId="5D97BDCA" w14:textId="60C50438" w:rsidR="00AC3E8A" w:rsidRPr="00A960E9" w:rsidRDefault="00AC3E8A" w:rsidP="00C1502E">
            <w:pPr>
              <w:jc w:val="both"/>
              <w:rPr>
                <w:rFonts w:ascii="Arial Narrow" w:hAnsi="Arial Narrow" w:cs="Times New Roman"/>
                <w:b/>
                <w:color w:val="548DD4" w:themeColor="text2" w:themeTint="99"/>
                <w:sz w:val="24"/>
                <w:szCs w:val="24"/>
              </w:rPr>
            </w:pPr>
            <w:r w:rsidRPr="00A960E9">
              <w:rPr>
                <w:rFonts w:ascii="Arial Narrow" w:hAnsi="Arial Narrow" w:cs="Times New Roman"/>
                <w:b/>
                <w:color w:val="548DD4" w:themeColor="text2" w:themeTint="99"/>
                <w:sz w:val="24"/>
                <w:szCs w:val="24"/>
              </w:rPr>
              <w:t>45% έως και 55%</w:t>
            </w:r>
          </w:p>
        </w:tc>
      </w:tr>
      <w:tr w:rsidR="00AC3E8A" w14:paraId="3D9E2718" w14:textId="77777777" w:rsidTr="00AC3E8A">
        <w:tc>
          <w:tcPr>
            <w:tcW w:w="4885" w:type="dxa"/>
          </w:tcPr>
          <w:p w14:paraId="685EC959" w14:textId="571E2FA7" w:rsidR="00AC3E8A" w:rsidRPr="00A960E9" w:rsidRDefault="00AC3E8A" w:rsidP="00C1502E">
            <w:pPr>
              <w:jc w:val="both"/>
              <w:rPr>
                <w:rFonts w:ascii="Arial Narrow" w:hAnsi="Arial Narrow" w:cs="Times New Roman"/>
                <w:b/>
                <w:color w:val="548DD4" w:themeColor="text2" w:themeTint="99"/>
                <w:sz w:val="24"/>
                <w:szCs w:val="24"/>
              </w:rPr>
            </w:pPr>
            <w:r w:rsidRPr="00A960E9">
              <w:rPr>
                <w:rFonts w:ascii="Arial Narrow" w:hAnsi="Arial Narrow" w:cs="Times New Roman"/>
                <w:b/>
                <w:color w:val="548DD4" w:themeColor="text2" w:themeTint="99"/>
                <w:sz w:val="24"/>
                <w:szCs w:val="24"/>
              </w:rPr>
              <w:t xml:space="preserve">Συνολική Αξία ενεργειακού τομέα </w:t>
            </w:r>
          </w:p>
        </w:tc>
        <w:tc>
          <w:tcPr>
            <w:tcW w:w="4886" w:type="dxa"/>
          </w:tcPr>
          <w:p w14:paraId="175F49C7" w14:textId="7B7AF116" w:rsidR="00AC3E8A" w:rsidRPr="00A960E9" w:rsidRDefault="00AC3E8A" w:rsidP="00C1502E">
            <w:pPr>
              <w:jc w:val="both"/>
              <w:rPr>
                <w:rFonts w:ascii="Arial Narrow" w:hAnsi="Arial Narrow" w:cs="Times New Roman"/>
                <w:b/>
                <w:color w:val="548DD4" w:themeColor="text2" w:themeTint="99"/>
                <w:sz w:val="24"/>
                <w:szCs w:val="24"/>
              </w:rPr>
            </w:pPr>
            <w:r w:rsidRPr="00A960E9">
              <w:rPr>
                <w:rFonts w:ascii="Arial Narrow" w:hAnsi="Arial Narrow" w:cs="Times New Roman"/>
                <w:b/>
                <w:color w:val="548DD4" w:themeColor="text2" w:themeTint="99"/>
                <w:sz w:val="24"/>
                <w:szCs w:val="24"/>
              </w:rPr>
              <w:t xml:space="preserve">&gt;500 δις </w:t>
            </w:r>
            <w:r w:rsidRPr="00A960E9">
              <w:rPr>
                <w:rFonts w:ascii="Arial Narrow" w:hAnsi="Arial Narrow" w:cs="Times New Roman"/>
                <w:b/>
                <w:color w:val="548DD4" w:themeColor="text2" w:themeTint="99"/>
                <w:sz w:val="24"/>
                <w:szCs w:val="24"/>
                <w:lang w:val="en-US"/>
              </w:rPr>
              <w:t>AED (</w:t>
            </w:r>
            <w:r w:rsidRPr="00A960E9">
              <w:rPr>
                <w:rFonts w:ascii="Arial Narrow" w:hAnsi="Arial Narrow" w:cs="Times New Roman"/>
                <w:b/>
                <w:color w:val="548DD4" w:themeColor="text2" w:themeTint="99"/>
                <w:sz w:val="24"/>
                <w:szCs w:val="24"/>
              </w:rPr>
              <w:t>Ντίρχαμ)</w:t>
            </w:r>
          </w:p>
        </w:tc>
      </w:tr>
    </w:tbl>
    <w:p w14:paraId="17B95737" w14:textId="77777777" w:rsidR="00A960E9" w:rsidRDefault="00A960E9" w:rsidP="00C1502E">
      <w:pPr>
        <w:jc w:val="both"/>
        <w:rPr>
          <w:rFonts w:ascii="Arial Narrow" w:hAnsi="Arial Narrow" w:cs="Times New Roman"/>
          <w:b/>
          <w:color w:val="548DD4" w:themeColor="text2" w:themeTint="99"/>
          <w:sz w:val="24"/>
          <w:szCs w:val="24"/>
        </w:rPr>
      </w:pPr>
    </w:p>
    <w:p w14:paraId="0F483878" w14:textId="0567CEC0" w:rsidR="009F5C09" w:rsidRDefault="00F139F2" w:rsidP="00F139F2">
      <w:pPr>
        <w:jc w:val="center"/>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ΠΙΝΑΚΑΣ </w:t>
      </w:r>
      <w:r w:rsidR="00E10259">
        <w:rPr>
          <w:rFonts w:ascii="Arial Narrow" w:hAnsi="Arial Narrow" w:cs="Times New Roman"/>
          <w:b/>
          <w:color w:val="548DD4" w:themeColor="text2" w:themeTint="99"/>
          <w:sz w:val="24"/>
          <w:szCs w:val="24"/>
        </w:rPr>
        <w:t xml:space="preserve"> 7</w:t>
      </w:r>
      <w:r w:rsidR="00026058">
        <w:rPr>
          <w:rFonts w:ascii="Arial Narrow" w:hAnsi="Arial Narrow" w:cs="Times New Roman"/>
          <w:b/>
          <w:color w:val="548DD4" w:themeColor="text2" w:themeTint="99"/>
          <w:sz w:val="24"/>
          <w:szCs w:val="24"/>
          <w:lang w:val="en-US"/>
        </w:rPr>
        <w:t xml:space="preserve"> </w:t>
      </w:r>
      <w:r w:rsidR="001458A6">
        <w:rPr>
          <w:rFonts w:ascii="Arial Narrow" w:hAnsi="Arial Narrow" w:cs="Times New Roman"/>
          <w:b/>
          <w:color w:val="548DD4" w:themeColor="text2" w:themeTint="99"/>
          <w:sz w:val="24"/>
          <w:szCs w:val="24"/>
          <w:lang w:val="en-US"/>
        </w:rPr>
        <w:t xml:space="preserve"> </w:t>
      </w:r>
      <w:r>
        <w:rPr>
          <w:rFonts w:ascii="Arial Narrow" w:hAnsi="Arial Narrow" w:cs="Times New Roman"/>
          <w:b/>
          <w:color w:val="548DD4" w:themeColor="text2" w:themeTint="99"/>
          <w:sz w:val="24"/>
          <w:szCs w:val="24"/>
          <w:lang w:val="en-US"/>
        </w:rPr>
        <w:t xml:space="preserve"> - </w:t>
      </w:r>
      <w:r w:rsidR="00A960E9" w:rsidRPr="00A960E9">
        <w:rPr>
          <w:rFonts w:ascii="Arial Narrow" w:hAnsi="Arial Narrow" w:cs="Times New Roman"/>
          <w:b/>
          <w:color w:val="548DD4" w:themeColor="text2" w:themeTint="99"/>
          <w:sz w:val="24"/>
          <w:szCs w:val="24"/>
        </w:rPr>
        <w:t>Πετρέλαιο – Αποθέματα</w:t>
      </w:r>
    </w:p>
    <w:p w14:paraId="26016D87" w14:textId="3FAEBD10" w:rsidR="009F5C09" w:rsidRDefault="009F5C09" w:rsidP="00C1502E">
      <w:pPr>
        <w:jc w:val="both"/>
        <w:rPr>
          <w:rFonts w:ascii="Arial Narrow" w:hAnsi="Arial Narrow" w:cs="Times New Roman"/>
          <w:sz w:val="24"/>
          <w:szCs w:val="24"/>
        </w:rPr>
      </w:pPr>
      <w:r>
        <w:rPr>
          <w:rFonts w:ascii="Arial Narrow" w:hAnsi="Arial Narrow" w:cs="Times New Roman"/>
          <w:sz w:val="24"/>
          <w:szCs w:val="24"/>
        </w:rPr>
        <w:t>Τα αποθέματα των Ηνωμένων Αραβικών Εμιράτων διαθέτουν περίπου αποδεδειγμένα αποθέματα περί τα 113 δις βαρέλια, κατέχοντας επί του ποσοστού παγκόσμιων αποθεμάτων το 6% περίπου και στη παγκόσμια κατάταξη βρίσκονται στην 6</w:t>
      </w:r>
      <w:r w:rsidRPr="009F5C09">
        <w:rPr>
          <w:rFonts w:ascii="Arial Narrow" w:hAnsi="Arial Narrow" w:cs="Times New Roman"/>
          <w:sz w:val="24"/>
          <w:szCs w:val="24"/>
          <w:vertAlign w:val="superscript"/>
        </w:rPr>
        <w:t>η</w:t>
      </w:r>
      <w:r>
        <w:rPr>
          <w:rFonts w:ascii="Arial Narrow" w:hAnsi="Arial Narrow" w:cs="Times New Roman"/>
          <w:sz w:val="24"/>
          <w:szCs w:val="24"/>
        </w:rPr>
        <w:t xml:space="preserve"> θέση.</w:t>
      </w:r>
    </w:p>
    <w:tbl>
      <w:tblPr>
        <w:tblStyle w:val="TableGrid"/>
        <w:tblW w:w="0" w:type="auto"/>
        <w:tblLook w:val="04A0" w:firstRow="1" w:lastRow="0" w:firstColumn="1" w:lastColumn="0" w:noHBand="0" w:noVBand="1"/>
      </w:tblPr>
      <w:tblGrid>
        <w:gridCol w:w="2442"/>
        <w:gridCol w:w="2443"/>
        <w:gridCol w:w="2443"/>
        <w:gridCol w:w="2443"/>
      </w:tblGrid>
      <w:tr w:rsidR="009F5C09" w14:paraId="0D9C122A" w14:textId="77777777" w:rsidTr="009F5C09">
        <w:tc>
          <w:tcPr>
            <w:tcW w:w="2442" w:type="dxa"/>
          </w:tcPr>
          <w:p w14:paraId="255038C3" w14:textId="77777777" w:rsidR="003D3F43" w:rsidRDefault="003D3F43" w:rsidP="00C1502E">
            <w:pPr>
              <w:jc w:val="both"/>
              <w:rPr>
                <w:rFonts w:ascii="Arial Narrow" w:hAnsi="Arial Narrow" w:cs="Times New Roman"/>
                <w:sz w:val="24"/>
                <w:szCs w:val="24"/>
              </w:rPr>
            </w:pPr>
          </w:p>
          <w:p w14:paraId="287A95BE" w14:textId="1E1BA330" w:rsidR="009F5C09" w:rsidRDefault="003D3F43" w:rsidP="00C1502E">
            <w:pPr>
              <w:jc w:val="both"/>
              <w:rPr>
                <w:rFonts w:ascii="Arial Narrow" w:hAnsi="Arial Narrow" w:cs="Times New Roman"/>
                <w:sz w:val="24"/>
                <w:szCs w:val="24"/>
              </w:rPr>
            </w:pPr>
            <w:r>
              <w:rPr>
                <w:rFonts w:ascii="Arial Narrow" w:hAnsi="Arial Narrow" w:cs="Times New Roman"/>
                <w:sz w:val="24"/>
                <w:szCs w:val="24"/>
              </w:rPr>
              <w:t xml:space="preserve">Παραγωγή – Δείκτης </w:t>
            </w:r>
          </w:p>
        </w:tc>
        <w:tc>
          <w:tcPr>
            <w:tcW w:w="2443" w:type="dxa"/>
          </w:tcPr>
          <w:p w14:paraId="03D17982" w14:textId="77777777" w:rsidR="003D3F43" w:rsidRDefault="003D3F43" w:rsidP="00C1502E">
            <w:pPr>
              <w:jc w:val="both"/>
              <w:rPr>
                <w:rFonts w:ascii="Arial Narrow" w:hAnsi="Arial Narrow" w:cs="Times New Roman"/>
                <w:sz w:val="24"/>
                <w:szCs w:val="24"/>
              </w:rPr>
            </w:pPr>
          </w:p>
          <w:p w14:paraId="01CF6F85" w14:textId="119E5FE4" w:rsidR="009F5C09" w:rsidRDefault="003D3F43" w:rsidP="00C1502E">
            <w:pPr>
              <w:jc w:val="both"/>
              <w:rPr>
                <w:rFonts w:ascii="Arial Narrow" w:hAnsi="Arial Narrow" w:cs="Times New Roman"/>
                <w:sz w:val="24"/>
                <w:szCs w:val="24"/>
              </w:rPr>
            </w:pPr>
            <w:r>
              <w:rPr>
                <w:rFonts w:ascii="Arial Narrow" w:hAnsi="Arial Narrow" w:cs="Times New Roman"/>
                <w:sz w:val="24"/>
                <w:szCs w:val="24"/>
              </w:rPr>
              <w:t>2025</w:t>
            </w:r>
          </w:p>
        </w:tc>
        <w:tc>
          <w:tcPr>
            <w:tcW w:w="2443" w:type="dxa"/>
          </w:tcPr>
          <w:p w14:paraId="0DF5FE76" w14:textId="22D60489" w:rsidR="009F5C09" w:rsidRDefault="003D3F43" w:rsidP="00C1502E">
            <w:pPr>
              <w:jc w:val="both"/>
              <w:rPr>
                <w:rFonts w:ascii="Arial Narrow" w:hAnsi="Arial Narrow" w:cs="Times New Roman"/>
                <w:sz w:val="24"/>
                <w:szCs w:val="24"/>
              </w:rPr>
            </w:pPr>
            <w:r>
              <w:rPr>
                <w:rFonts w:ascii="Arial Narrow" w:hAnsi="Arial Narrow" w:cs="Times New Roman"/>
                <w:sz w:val="24"/>
                <w:szCs w:val="24"/>
              </w:rPr>
              <w:t xml:space="preserve">Κύρια Κοιτάσματα – Χερσαία </w:t>
            </w:r>
          </w:p>
        </w:tc>
        <w:tc>
          <w:tcPr>
            <w:tcW w:w="2443" w:type="dxa"/>
          </w:tcPr>
          <w:p w14:paraId="312FB0BD" w14:textId="65B970FC" w:rsidR="009F5C09" w:rsidRDefault="003D3F43" w:rsidP="00C1502E">
            <w:pPr>
              <w:jc w:val="both"/>
              <w:rPr>
                <w:rFonts w:ascii="Arial Narrow" w:hAnsi="Arial Narrow" w:cs="Times New Roman"/>
                <w:sz w:val="24"/>
                <w:szCs w:val="24"/>
              </w:rPr>
            </w:pPr>
            <w:r>
              <w:rPr>
                <w:rFonts w:ascii="Arial Narrow" w:hAnsi="Arial Narrow" w:cs="Times New Roman"/>
                <w:sz w:val="24"/>
                <w:szCs w:val="24"/>
              </w:rPr>
              <w:t xml:space="preserve">Κύρια Κοιτάσματα – Υπεράκτια </w:t>
            </w:r>
          </w:p>
        </w:tc>
      </w:tr>
      <w:tr w:rsidR="009F5C09" w14:paraId="73B0466A" w14:textId="77777777" w:rsidTr="009F5C09">
        <w:tc>
          <w:tcPr>
            <w:tcW w:w="2442" w:type="dxa"/>
          </w:tcPr>
          <w:p w14:paraId="37717E05" w14:textId="2D1CF880" w:rsidR="009F5C09" w:rsidRDefault="003D3F43" w:rsidP="00C1502E">
            <w:pPr>
              <w:jc w:val="both"/>
              <w:rPr>
                <w:rFonts w:ascii="Arial Narrow" w:hAnsi="Arial Narrow" w:cs="Times New Roman"/>
                <w:sz w:val="24"/>
                <w:szCs w:val="24"/>
              </w:rPr>
            </w:pPr>
            <w:r>
              <w:rPr>
                <w:rFonts w:ascii="Arial Narrow" w:hAnsi="Arial Narrow" w:cs="Times New Roman"/>
                <w:sz w:val="24"/>
                <w:szCs w:val="24"/>
              </w:rPr>
              <w:t>Παραγωγική Ικανότητα</w:t>
            </w:r>
          </w:p>
        </w:tc>
        <w:tc>
          <w:tcPr>
            <w:tcW w:w="2443" w:type="dxa"/>
          </w:tcPr>
          <w:p w14:paraId="17FC5877" w14:textId="5777C159" w:rsidR="009F5C09" w:rsidRDefault="003D3F43" w:rsidP="00C1502E">
            <w:pPr>
              <w:jc w:val="both"/>
              <w:rPr>
                <w:rFonts w:ascii="Arial Narrow" w:hAnsi="Arial Narrow" w:cs="Times New Roman"/>
                <w:sz w:val="24"/>
                <w:szCs w:val="24"/>
              </w:rPr>
            </w:pPr>
            <w:r>
              <w:rPr>
                <w:rFonts w:ascii="Arial Narrow" w:hAnsi="Arial Narrow" w:cs="Times New Roman"/>
                <w:sz w:val="24"/>
                <w:szCs w:val="24"/>
              </w:rPr>
              <w:t>4,85 εκατ.βαρέλια/ημέρα</w:t>
            </w:r>
          </w:p>
        </w:tc>
        <w:tc>
          <w:tcPr>
            <w:tcW w:w="2443" w:type="dxa"/>
          </w:tcPr>
          <w:p w14:paraId="46DA8E1E" w14:textId="3CA35A1E" w:rsidR="009F5C09" w:rsidRPr="003D3F43" w:rsidRDefault="003D3F43" w:rsidP="00C1502E">
            <w:pPr>
              <w:jc w:val="both"/>
              <w:rPr>
                <w:rFonts w:ascii="Arial Narrow" w:hAnsi="Arial Narrow" w:cs="Times New Roman"/>
                <w:sz w:val="24"/>
                <w:szCs w:val="24"/>
                <w:lang w:val="en-US"/>
              </w:rPr>
            </w:pPr>
            <w:r>
              <w:rPr>
                <w:rFonts w:ascii="Arial Narrow" w:hAnsi="Arial Narrow" w:cs="Times New Roman"/>
                <w:sz w:val="24"/>
                <w:szCs w:val="24"/>
                <w:lang w:val="en-US"/>
              </w:rPr>
              <w:t>Bu Hasa</w:t>
            </w:r>
          </w:p>
        </w:tc>
        <w:tc>
          <w:tcPr>
            <w:tcW w:w="2443" w:type="dxa"/>
          </w:tcPr>
          <w:p w14:paraId="498AFA47" w14:textId="4C340E73" w:rsidR="009F5C09" w:rsidRPr="00C76A35" w:rsidRDefault="00C76A35" w:rsidP="00C1502E">
            <w:pPr>
              <w:jc w:val="both"/>
              <w:rPr>
                <w:rFonts w:ascii="Arial Narrow" w:hAnsi="Arial Narrow" w:cs="Times New Roman"/>
                <w:sz w:val="24"/>
                <w:szCs w:val="24"/>
                <w:lang w:val="en-US"/>
              </w:rPr>
            </w:pPr>
            <w:r>
              <w:rPr>
                <w:rFonts w:ascii="Arial Narrow" w:hAnsi="Arial Narrow" w:cs="Times New Roman"/>
                <w:sz w:val="24"/>
                <w:szCs w:val="24"/>
                <w:lang w:val="en-US"/>
              </w:rPr>
              <w:t>Upper Zakum</w:t>
            </w:r>
          </w:p>
        </w:tc>
      </w:tr>
      <w:tr w:rsidR="009F5C09" w14:paraId="6E5C9081" w14:textId="77777777" w:rsidTr="009F5C09">
        <w:tc>
          <w:tcPr>
            <w:tcW w:w="2442" w:type="dxa"/>
          </w:tcPr>
          <w:p w14:paraId="4C8A3B6E" w14:textId="28108EFE" w:rsidR="009F5C09" w:rsidRDefault="003D3F43" w:rsidP="00C1502E">
            <w:pPr>
              <w:jc w:val="both"/>
              <w:rPr>
                <w:rFonts w:ascii="Arial Narrow" w:hAnsi="Arial Narrow" w:cs="Times New Roman"/>
                <w:sz w:val="24"/>
                <w:szCs w:val="24"/>
              </w:rPr>
            </w:pPr>
            <w:r>
              <w:rPr>
                <w:rFonts w:ascii="Arial Narrow" w:hAnsi="Arial Narrow" w:cs="Times New Roman"/>
                <w:sz w:val="24"/>
                <w:szCs w:val="24"/>
              </w:rPr>
              <w:t>Στόχος 2027</w:t>
            </w:r>
          </w:p>
        </w:tc>
        <w:tc>
          <w:tcPr>
            <w:tcW w:w="2443" w:type="dxa"/>
          </w:tcPr>
          <w:p w14:paraId="6E16CC97" w14:textId="10271093" w:rsidR="009F5C09" w:rsidRDefault="003D3F43" w:rsidP="00C1502E">
            <w:pPr>
              <w:jc w:val="both"/>
              <w:rPr>
                <w:rFonts w:ascii="Arial Narrow" w:hAnsi="Arial Narrow" w:cs="Times New Roman"/>
                <w:sz w:val="24"/>
                <w:szCs w:val="24"/>
              </w:rPr>
            </w:pPr>
            <w:r>
              <w:rPr>
                <w:rFonts w:ascii="Arial Narrow" w:hAnsi="Arial Narrow" w:cs="Times New Roman"/>
                <w:sz w:val="24"/>
                <w:szCs w:val="24"/>
              </w:rPr>
              <w:t xml:space="preserve">5 εκατ. βαρέλια/ημέρα </w:t>
            </w:r>
          </w:p>
        </w:tc>
        <w:tc>
          <w:tcPr>
            <w:tcW w:w="2443" w:type="dxa"/>
          </w:tcPr>
          <w:p w14:paraId="7BB3B0B1" w14:textId="7D5F834E" w:rsidR="009F5C09" w:rsidRPr="003D3F43" w:rsidRDefault="003D3F43" w:rsidP="00C1502E">
            <w:pPr>
              <w:jc w:val="both"/>
              <w:rPr>
                <w:rFonts w:ascii="Arial Narrow" w:hAnsi="Arial Narrow" w:cs="Times New Roman"/>
                <w:sz w:val="24"/>
                <w:szCs w:val="24"/>
                <w:lang w:val="en-US"/>
              </w:rPr>
            </w:pPr>
            <w:r>
              <w:rPr>
                <w:rFonts w:ascii="Arial Narrow" w:hAnsi="Arial Narrow" w:cs="Times New Roman"/>
                <w:sz w:val="24"/>
                <w:szCs w:val="24"/>
                <w:lang w:val="en-US"/>
              </w:rPr>
              <w:t>Bab</w:t>
            </w:r>
          </w:p>
        </w:tc>
        <w:tc>
          <w:tcPr>
            <w:tcW w:w="2443" w:type="dxa"/>
          </w:tcPr>
          <w:p w14:paraId="378E6F9C" w14:textId="6B3B2441" w:rsidR="009F5C09" w:rsidRPr="00C76A35" w:rsidRDefault="00C76A35" w:rsidP="00C1502E">
            <w:pPr>
              <w:jc w:val="both"/>
              <w:rPr>
                <w:rFonts w:ascii="Arial Narrow" w:hAnsi="Arial Narrow" w:cs="Times New Roman"/>
                <w:sz w:val="24"/>
                <w:szCs w:val="24"/>
                <w:lang w:val="en-US"/>
              </w:rPr>
            </w:pPr>
            <w:r>
              <w:rPr>
                <w:rFonts w:ascii="Arial Narrow" w:hAnsi="Arial Narrow" w:cs="Times New Roman"/>
                <w:sz w:val="24"/>
                <w:szCs w:val="24"/>
                <w:lang w:val="en-US"/>
              </w:rPr>
              <w:t>Lower Zakum</w:t>
            </w:r>
          </w:p>
        </w:tc>
      </w:tr>
      <w:tr w:rsidR="009F5C09" w14:paraId="37DAA9D6" w14:textId="77777777" w:rsidTr="009F5C09">
        <w:tc>
          <w:tcPr>
            <w:tcW w:w="2442" w:type="dxa"/>
          </w:tcPr>
          <w:p w14:paraId="13FCF5FF" w14:textId="77777777" w:rsidR="003D3F43" w:rsidRDefault="003D3F43" w:rsidP="00C1502E">
            <w:pPr>
              <w:jc w:val="both"/>
              <w:rPr>
                <w:rFonts w:ascii="Arial Narrow" w:hAnsi="Arial Narrow" w:cs="Times New Roman"/>
                <w:sz w:val="24"/>
                <w:szCs w:val="24"/>
              </w:rPr>
            </w:pPr>
          </w:p>
          <w:p w14:paraId="7020A716" w14:textId="75F00501" w:rsidR="009F5C09" w:rsidRPr="003D3F43" w:rsidRDefault="003D3F43" w:rsidP="00C1502E">
            <w:pPr>
              <w:jc w:val="both"/>
              <w:rPr>
                <w:rFonts w:ascii="Arial Narrow" w:hAnsi="Arial Narrow" w:cs="Times New Roman"/>
                <w:sz w:val="24"/>
                <w:szCs w:val="24"/>
              </w:rPr>
            </w:pPr>
            <w:r>
              <w:rPr>
                <w:rFonts w:ascii="Arial Narrow" w:hAnsi="Arial Narrow" w:cs="Times New Roman"/>
                <w:sz w:val="24"/>
                <w:szCs w:val="24"/>
              </w:rPr>
              <w:t xml:space="preserve">Πραγματική παραγωγή </w:t>
            </w:r>
          </w:p>
        </w:tc>
        <w:tc>
          <w:tcPr>
            <w:tcW w:w="2443" w:type="dxa"/>
          </w:tcPr>
          <w:p w14:paraId="2FB6EB82" w14:textId="52DBF0EB" w:rsidR="009F5C09" w:rsidRDefault="003D3F43" w:rsidP="00C1502E">
            <w:pPr>
              <w:jc w:val="both"/>
              <w:rPr>
                <w:rFonts w:ascii="Arial Narrow" w:hAnsi="Arial Narrow" w:cs="Times New Roman"/>
                <w:sz w:val="24"/>
                <w:szCs w:val="24"/>
              </w:rPr>
            </w:pPr>
            <w:r>
              <w:rPr>
                <w:rFonts w:ascii="Arial Narrow" w:hAnsi="Arial Narrow" w:cs="Times New Roman"/>
                <w:sz w:val="24"/>
                <w:szCs w:val="24"/>
              </w:rPr>
              <w:t>3,2 έως 3,5 εκατ.βαρέλια/ημέρα</w:t>
            </w:r>
          </w:p>
        </w:tc>
        <w:tc>
          <w:tcPr>
            <w:tcW w:w="2443" w:type="dxa"/>
          </w:tcPr>
          <w:p w14:paraId="48A70AC2" w14:textId="77777777" w:rsidR="009F5C09" w:rsidRDefault="009F5C09" w:rsidP="00C1502E">
            <w:pPr>
              <w:jc w:val="both"/>
              <w:rPr>
                <w:rFonts w:ascii="Arial Narrow" w:hAnsi="Arial Narrow" w:cs="Times New Roman"/>
                <w:sz w:val="24"/>
                <w:szCs w:val="24"/>
              </w:rPr>
            </w:pPr>
          </w:p>
          <w:p w14:paraId="17759F17" w14:textId="2421FE0E" w:rsidR="003D3F43" w:rsidRPr="00C76A35" w:rsidRDefault="00C76A35" w:rsidP="00C1502E">
            <w:pPr>
              <w:jc w:val="both"/>
              <w:rPr>
                <w:rFonts w:ascii="Arial Narrow" w:hAnsi="Arial Narrow" w:cs="Times New Roman"/>
                <w:sz w:val="24"/>
                <w:szCs w:val="24"/>
                <w:lang w:val="en-US"/>
              </w:rPr>
            </w:pPr>
            <w:r>
              <w:rPr>
                <w:rFonts w:ascii="Arial Narrow" w:hAnsi="Arial Narrow" w:cs="Times New Roman"/>
                <w:sz w:val="24"/>
                <w:szCs w:val="24"/>
                <w:lang w:val="en-US"/>
              </w:rPr>
              <w:t>Asab</w:t>
            </w:r>
          </w:p>
        </w:tc>
        <w:tc>
          <w:tcPr>
            <w:tcW w:w="2443" w:type="dxa"/>
          </w:tcPr>
          <w:p w14:paraId="07D3C405" w14:textId="77777777" w:rsidR="009F5C09" w:rsidRDefault="009F5C09" w:rsidP="00C1502E">
            <w:pPr>
              <w:jc w:val="both"/>
              <w:rPr>
                <w:rFonts w:ascii="Arial Narrow" w:hAnsi="Arial Narrow" w:cs="Times New Roman"/>
                <w:sz w:val="24"/>
                <w:szCs w:val="24"/>
              </w:rPr>
            </w:pPr>
          </w:p>
          <w:p w14:paraId="1664E610" w14:textId="3D3732BF" w:rsidR="00C76A35" w:rsidRPr="00C76A35" w:rsidRDefault="00C76A35" w:rsidP="00C1502E">
            <w:pPr>
              <w:jc w:val="both"/>
              <w:rPr>
                <w:rFonts w:ascii="Arial Narrow" w:hAnsi="Arial Narrow" w:cs="Times New Roman"/>
                <w:sz w:val="24"/>
                <w:szCs w:val="24"/>
                <w:lang w:val="en-US"/>
              </w:rPr>
            </w:pPr>
            <w:r>
              <w:rPr>
                <w:rFonts w:ascii="Arial Narrow" w:hAnsi="Arial Narrow" w:cs="Times New Roman"/>
                <w:sz w:val="24"/>
                <w:szCs w:val="24"/>
                <w:lang w:val="en-US"/>
              </w:rPr>
              <w:t>Umm Shaif</w:t>
            </w:r>
          </w:p>
        </w:tc>
      </w:tr>
      <w:tr w:rsidR="009F5C09" w14:paraId="41840F55" w14:textId="77777777" w:rsidTr="009F5C09">
        <w:tc>
          <w:tcPr>
            <w:tcW w:w="2442" w:type="dxa"/>
          </w:tcPr>
          <w:p w14:paraId="5AB24F28" w14:textId="77777777" w:rsidR="009F5C09" w:rsidRDefault="009F5C09" w:rsidP="00C1502E">
            <w:pPr>
              <w:jc w:val="both"/>
              <w:rPr>
                <w:rFonts w:ascii="Arial Narrow" w:hAnsi="Arial Narrow" w:cs="Times New Roman"/>
                <w:sz w:val="24"/>
                <w:szCs w:val="24"/>
              </w:rPr>
            </w:pPr>
          </w:p>
        </w:tc>
        <w:tc>
          <w:tcPr>
            <w:tcW w:w="2443" w:type="dxa"/>
          </w:tcPr>
          <w:p w14:paraId="05939843" w14:textId="77777777" w:rsidR="009F5C09" w:rsidRDefault="009F5C09" w:rsidP="00C1502E">
            <w:pPr>
              <w:jc w:val="both"/>
              <w:rPr>
                <w:rFonts w:ascii="Arial Narrow" w:hAnsi="Arial Narrow" w:cs="Times New Roman"/>
                <w:sz w:val="24"/>
                <w:szCs w:val="24"/>
              </w:rPr>
            </w:pPr>
          </w:p>
        </w:tc>
        <w:tc>
          <w:tcPr>
            <w:tcW w:w="2443" w:type="dxa"/>
          </w:tcPr>
          <w:p w14:paraId="0A44F6F1" w14:textId="4888C0F7" w:rsidR="009F5C09" w:rsidRPr="00C76A35" w:rsidRDefault="00C76A35" w:rsidP="00C1502E">
            <w:pPr>
              <w:jc w:val="both"/>
              <w:rPr>
                <w:rFonts w:ascii="Arial Narrow" w:hAnsi="Arial Narrow" w:cs="Times New Roman"/>
                <w:sz w:val="24"/>
                <w:szCs w:val="24"/>
                <w:lang w:val="en-US"/>
              </w:rPr>
            </w:pPr>
            <w:r>
              <w:rPr>
                <w:rFonts w:ascii="Arial Narrow" w:hAnsi="Arial Narrow" w:cs="Times New Roman"/>
                <w:sz w:val="24"/>
                <w:szCs w:val="24"/>
                <w:lang w:val="en-US"/>
              </w:rPr>
              <w:t>Shah</w:t>
            </w:r>
          </w:p>
        </w:tc>
        <w:tc>
          <w:tcPr>
            <w:tcW w:w="2443" w:type="dxa"/>
          </w:tcPr>
          <w:p w14:paraId="12C242A9" w14:textId="5E479B75" w:rsidR="009F5C09" w:rsidRPr="00C76A35" w:rsidRDefault="00C76A35" w:rsidP="00C1502E">
            <w:pPr>
              <w:jc w:val="both"/>
              <w:rPr>
                <w:rFonts w:ascii="Arial Narrow" w:hAnsi="Arial Narrow" w:cs="Times New Roman"/>
                <w:sz w:val="24"/>
                <w:szCs w:val="24"/>
                <w:lang w:val="en-US"/>
              </w:rPr>
            </w:pPr>
            <w:r>
              <w:rPr>
                <w:rFonts w:ascii="Arial Narrow" w:hAnsi="Arial Narrow" w:cs="Times New Roman"/>
                <w:sz w:val="24"/>
                <w:szCs w:val="24"/>
                <w:lang w:val="en-US"/>
              </w:rPr>
              <w:t>Nasr</w:t>
            </w:r>
          </w:p>
        </w:tc>
      </w:tr>
      <w:tr w:rsidR="009F5C09" w14:paraId="445170B2" w14:textId="77777777" w:rsidTr="009F5C09">
        <w:tc>
          <w:tcPr>
            <w:tcW w:w="2442" w:type="dxa"/>
          </w:tcPr>
          <w:p w14:paraId="024D03BA" w14:textId="77777777" w:rsidR="009F5C09" w:rsidRDefault="009F5C09" w:rsidP="00C1502E">
            <w:pPr>
              <w:jc w:val="both"/>
              <w:rPr>
                <w:rFonts w:ascii="Arial Narrow" w:hAnsi="Arial Narrow" w:cs="Times New Roman"/>
                <w:sz w:val="24"/>
                <w:szCs w:val="24"/>
              </w:rPr>
            </w:pPr>
          </w:p>
        </w:tc>
        <w:tc>
          <w:tcPr>
            <w:tcW w:w="2443" w:type="dxa"/>
          </w:tcPr>
          <w:p w14:paraId="5F94B3DC" w14:textId="77777777" w:rsidR="009F5C09" w:rsidRDefault="009F5C09" w:rsidP="00C1502E">
            <w:pPr>
              <w:jc w:val="both"/>
              <w:rPr>
                <w:rFonts w:ascii="Arial Narrow" w:hAnsi="Arial Narrow" w:cs="Times New Roman"/>
                <w:sz w:val="24"/>
                <w:szCs w:val="24"/>
              </w:rPr>
            </w:pPr>
          </w:p>
        </w:tc>
        <w:tc>
          <w:tcPr>
            <w:tcW w:w="2443" w:type="dxa"/>
          </w:tcPr>
          <w:p w14:paraId="66C4EF17" w14:textId="77777777" w:rsidR="009F5C09" w:rsidRDefault="009F5C09" w:rsidP="00C1502E">
            <w:pPr>
              <w:jc w:val="both"/>
              <w:rPr>
                <w:rFonts w:ascii="Arial Narrow" w:hAnsi="Arial Narrow" w:cs="Times New Roman"/>
                <w:sz w:val="24"/>
                <w:szCs w:val="24"/>
              </w:rPr>
            </w:pPr>
          </w:p>
        </w:tc>
        <w:tc>
          <w:tcPr>
            <w:tcW w:w="2443" w:type="dxa"/>
          </w:tcPr>
          <w:p w14:paraId="2C1532FA" w14:textId="46A96959" w:rsidR="00C76A35" w:rsidRPr="00C76A35" w:rsidRDefault="00C76A35" w:rsidP="00C1502E">
            <w:pPr>
              <w:jc w:val="both"/>
              <w:rPr>
                <w:rFonts w:ascii="Arial Narrow" w:hAnsi="Arial Narrow" w:cs="Times New Roman"/>
                <w:sz w:val="24"/>
                <w:szCs w:val="24"/>
                <w:lang w:val="en-US"/>
              </w:rPr>
            </w:pPr>
            <w:r>
              <w:rPr>
                <w:rFonts w:ascii="Arial Narrow" w:hAnsi="Arial Narrow" w:cs="Times New Roman"/>
                <w:sz w:val="24"/>
                <w:szCs w:val="24"/>
                <w:lang w:val="en-US"/>
              </w:rPr>
              <w:t>Umm Lulu</w:t>
            </w:r>
          </w:p>
        </w:tc>
      </w:tr>
    </w:tbl>
    <w:p w14:paraId="1A97BD8F" w14:textId="3C45E296" w:rsidR="009F5C09" w:rsidRPr="00C76A35" w:rsidRDefault="00C76A35" w:rsidP="00C1502E">
      <w:pPr>
        <w:jc w:val="both"/>
        <w:rPr>
          <w:rFonts w:ascii="Arial Narrow" w:hAnsi="Arial Narrow" w:cs="Times New Roman"/>
          <w:sz w:val="24"/>
          <w:szCs w:val="24"/>
        </w:rPr>
      </w:pPr>
      <w:r>
        <w:rPr>
          <w:rFonts w:ascii="Arial Narrow" w:hAnsi="Arial Narrow" w:cs="Times New Roman"/>
          <w:sz w:val="24"/>
          <w:szCs w:val="24"/>
        </w:rPr>
        <w:t xml:space="preserve">Το κοίτασμα </w:t>
      </w:r>
      <w:r>
        <w:rPr>
          <w:rFonts w:ascii="Arial Narrow" w:hAnsi="Arial Narrow" w:cs="Times New Roman"/>
          <w:sz w:val="24"/>
          <w:szCs w:val="24"/>
          <w:lang w:val="en-US"/>
        </w:rPr>
        <w:t>Upper</w:t>
      </w:r>
      <w:r w:rsidRPr="00C76A35">
        <w:rPr>
          <w:rFonts w:ascii="Arial Narrow" w:hAnsi="Arial Narrow" w:cs="Times New Roman"/>
          <w:sz w:val="24"/>
          <w:szCs w:val="24"/>
        </w:rPr>
        <w:t xml:space="preserve"> </w:t>
      </w:r>
      <w:r>
        <w:rPr>
          <w:rFonts w:ascii="Arial Narrow" w:hAnsi="Arial Narrow" w:cs="Times New Roman"/>
          <w:sz w:val="24"/>
          <w:szCs w:val="24"/>
          <w:lang w:val="en-US"/>
        </w:rPr>
        <w:t>Zakum</w:t>
      </w:r>
      <w:r w:rsidRPr="00C76A35">
        <w:rPr>
          <w:rFonts w:ascii="Arial Narrow" w:hAnsi="Arial Narrow" w:cs="Times New Roman"/>
          <w:sz w:val="24"/>
          <w:szCs w:val="24"/>
        </w:rPr>
        <w:t xml:space="preserve"> </w:t>
      </w:r>
      <w:r>
        <w:rPr>
          <w:rFonts w:ascii="Arial Narrow" w:hAnsi="Arial Narrow" w:cs="Times New Roman"/>
          <w:sz w:val="24"/>
          <w:szCs w:val="24"/>
        </w:rPr>
        <w:t>θεωρείται ένα από τα μεγαλύτερα υπεράκτια πεδία πετρελαίου σε παγκόσμια κλίμακα</w:t>
      </w:r>
    </w:p>
    <w:p w14:paraId="2E00B123" w14:textId="77777777" w:rsidR="00AC3E8A" w:rsidRPr="002521B7" w:rsidRDefault="00AC3E8A" w:rsidP="00C1502E">
      <w:pPr>
        <w:jc w:val="both"/>
        <w:rPr>
          <w:rFonts w:ascii="Arial Narrow" w:hAnsi="Arial Narrow" w:cs="Times New Roman"/>
          <w:b/>
          <w:sz w:val="24"/>
          <w:szCs w:val="24"/>
        </w:rPr>
      </w:pPr>
    </w:p>
    <w:p w14:paraId="7961EE39" w14:textId="25A2C11A" w:rsidR="00CE670C" w:rsidRPr="000834C4" w:rsidRDefault="00BF33F0" w:rsidP="00E923A4">
      <w:pPr>
        <w:spacing w:before="120" w:after="120"/>
        <w:jc w:val="both"/>
        <w:rPr>
          <w:rFonts w:ascii="Arial Narrow" w:hAnsi="Arial Narrow" w:cs="Times New Roman"/>
          <w:b/>
          <w:color w:val="548DD4" w:themeColor="text2" w:themeTint="99"/>
          <w:sz w:val="28"/>
          <w:szCs w:val="28"/>
        </w:rPr>
      </w:pPr>
      <w:r>
        <w:rPr>
          <w:rFonts w:ascii="Arial Narrow" w:hAnsi="Arial Narrow" w:cs="Times New Roman"/>
          <w:b/>
          <w:color w:val="548DD4" w:themeColor="text2" w:themeTint="99"/>
          <w:sz w:val="28"/>
          <w:szCs w:val="28"/>
        </w:rPr>
        <w:t xml:space="preserve">3.2. </w:t>
      </w:r>
      <w:r w:rsidR="00AD3664" w:rsidRPr="000834C4">
        <w:rPr>
          <w:rFonts w:ascii="Arial Narrow" w:hAnsi="Arial Narrow" w:cs="Times New Roman"/>
          <w:b/>
          <w:color w:val="548DD4" w:themeColor="text2" w:themeTint="99"/>
          <w:sz w:val="28"/>
          <w:szCs w:val="28"/>
        </w:rPr>
        <w:t xml:space="preserve">Φυσικό Αέριο </w:t>
      </w:r>
      <w:r w:rsidR="00CE670C" w:rsidRPr="000834C4">
        <w:rPr>
          <w:rFonts w:ascii="Arial Narrow" w:hAnsi="Arial Narrow" w:cs="Times New Roman"/>
          <w:b/>
          <w:color w:val="548DD4" w:themeColor="text2" w:themeTint="99"/>
          <w:sz w:val="28"/>
          <w:szCs w:val="28"/>
        </w:rPr>
        <w:t xml:space="preserve"> </w:t>
      </w:r>
    </w:p>
    <w:p w14:paraId="03047BE8" w14:textId="7598ADF8" w:rsidR="00AD3664" w:rsidRPr="000834C4" w:rsidRDefault="00AD3664" w:rsidP="00E923A4">
      <w:pPr>
        <w:spacing w:before="120" w:after="120"/>
        <w:jc w:val="both"/>
        <w:rPr>
          <w:rFonts w:ascii="Arial Narrow" w:eastAsia="Times New Roman" w:hAnsi="Arial Narrow" w:cs="Times New Roman"/>
          <w:b/>
          <w:color w:val="548DD4" w:themeColor="text2" w:themeTint="99"/>
          <w:sz w:val="24"/>
          <w:szCs w:val="24"/>
          <w:lang w:eastAsia="en-GB"/>
        </w:rPr>
      </w:pPr>
      <w:r w:rsidRPr="000834C4">
        <w:rPr>
          <w:rFonts w:ascii="Arial Narrow" w:eastAsia="Times New Roman" w:hAnsi="Arial Narrow" w:cs="Times New Roman"/>
          <w:b/>
          <w:color w:val="548DD4" w:themeColor="text2" w:themeTint="99"/>
          <w:sz w:val="24"/>
          <w:szCs w:val="24"/>
          <w:lang w:eastAsia="en-GB"/>
        </w:rPr>
        <w:t xml:space="preserve">   </w:t>
      </w:r>
      <w:r w:rsidR="00BF33F0">
        <w:rPr>
          <w:rFonts w:ascii="Arial Narrow" w:eastAsia="Times New Roman" w:hAnsi="Arial Narrow" w:cs="Times New Roman"/>
          <w:b/>
          <w:color w:val="548DD4" w:themeColor="text2" w:themeTint="99"/>
          <w:sz w:val="24"/>
          <w:szCs w:val="24"/>
          <w:lang w:eastAsia="en-GB"/>
        </w:rPr>
        <w:t xml:space="preserve">3.2.1. </w:t>
      </w:r>
      <w:r w:rsidRPr="000834C4">
        <w:rPr>
          <w:rFonts w:ascii="Arial Narrow" w:eastAsia="Times New Roman" w:hAnsi="Arial Narrow" w:cs="Times New Roman"/>
          <w:b/>
          <w:color w:val="548DD4" w:themeColor="text2" w:themeTint="99"/>
          <w:sz w:val="24"/>
          <w:szCs w:val="24"/>
          <w:lang w:eastAsia="en-GB"/>
        </w:rPr>
        <w:t xml:space="preserve">Αποθέματα </w:t>
      </w:r>
    </w:p>
    <w:p w14:paraId="5C7B90CC" w14:textId="0A1102FE" w:rsidR="00E923A4" w:rsidRDefault="00AD3664" w:rsidP="00E923A4">
      <w:pPr>
        <w:spacing w:before="120" w:after="120"/>
        <w:jc w:val="both"/>
        <w:rPr>
          <w:rFonts w:ascii="Arial Narrow" w:hAnsi="Arial Narrow" w:cs="Times New Roman"/>
          <w:sz w:val="24"/>
          <w:szCs w:val="24"/>
        </w:rPr>
      </w:pPr>
      <w:r>
        <w:rPr>
          <w:rFonts w:ascii="Arial Narrow" w:hAnsi="Arial Narrow" w:cs="Times New Roman"/>
          <w:sz w:val="24"/>
          <w:szCs w:val="24"/>
        </w:rPr>
        <w:t>Τα Ηνωμένα Αραβικά Εμιράτα διαθέτουν τα τέταρτα μεγαλύτερα αποθέματα φυσικού αερίου στον ΟΠΕΚ, από τον οποίον πρόσφατα αποχώρησαν. Στη παγκόσμια κατάταξη κατέχουν την 7</w:t>
      </w:r>
      <w:r w:rsidRPr="00AD3664">
        <w:rPr>
          <w:rFonts w:ascii="Arial Narrow" w:hAnsi="Arial Narrow" w:cs="Times New Roman"/>
          <w:sz w:val="24"/>
          <w:szCs w:val="24"/>
          <w:vertAlign w:val="superscript"/>
        </w:rPr>
        <w:t>η</w:t>
      </w:r>
      <w:r>
        <w:rPr>
          <w:rFonts w:ascii="Arial Narrow" w:hAnsi="Arial Narrow" w:cs="Times New Roman"/>
          <w:sz w:val="24"/>
          <w:szCs w:val="24"/>
        </w:rPr>
        <w:t xml:space="preserve"> θέση και τα αποδεδειγμένα αποθέματα ανέρχονται περίπου σε 290 τρις κυβικά πόδια. </w:t>
      </w:r>
    </w:p>
    <w:p w14:paraId="49AC8C23" w14:textId="518E5455" w:rsidR="00AD3664" w:rsidRPr="000834C4" w:rsidRDefault="00BF33F0" w:rsidP="00E923A4">
      <w:pPr>
        <w:spacing w:before="120" w:after="120"/>
        <w:jc w:val="both"/>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3.2.2. </w:t>
      </w:r>
      <w:r w:rsidR="00AD3664" w:rsidRPr="000834C4">
        <w:rPr>
          <w:rFonts w:ascii="Arial Narrow" w:hAnsi="Arial Narrow" w:cs="Times New Roman"/>
          <w:b/>
          <w:color w:val="548DD4" w:themeColor="text2" w:themeTint="99"/>
          <w:sz w:val="24"/>
          <w:szCs w:val="24"/>
        </w:rPr>
        <w:t xml:space="preserve">Παραγωγή </w:t>
      </w:r>
    </w:p>
    <w:p w14:paraId="7550CE6E" w14:textId="709CAB01" w:rsidR="00AD3664" w:rsidRDefault="00AD3664" w:rsidP="00E923A4">
      <w:pPr>
        <w:spacing w:before="120" w:after="120"/>
        <w:jc w:val="both"/>
        <w:rPr>
          <w:rFonts w:ascii="Arial Narrow" w:hAnsi="Arial Narrow" w:cs="Times New Roman"/>
          <w:sz w:val="24"/>
          <w:szCs w:val="24"/>
        </w:rPr>
      </w:pPr>
      <w:r>
        <w:rPr>
          <w:rFonts w:ascii="Arial Narrow" w:hAnsi="Arial Narrow" w:cs="Times New Roman"/>
          <w:sz w:val="24"/>
          <w:szCs w:val="24"/>
        </w:rPr>
        <w:t>Για το 2025 η παραγωγή εκτιμάται ότι έφτασε περίπου στα 11,5 δις κυβικά πόδια ημερησίως. Αντίστοιχα η κατανάλωση έφτασε περίπου στα 8-9 δις κυβικά πόδια ημερησίως.</w:t>
      </w:r>
    </w:p>
    <w:p w14:paraId="45593229" w14:textId="783D3F18" w:rsidR="00AD3664" w:rsidRPr="000834C4" w:rsidRDefault="00BF33F0" w:rsidP="00E923A4">
      <w:pPr>
        <w:spacing w:before="120" w:after="120"/>
        <w:jc w:val="both"/>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3.2.3. </w:t>
      </w:r>
      <w:r w:rsidR="00AD3664" w:rsidRPr="000834C4">
        <w:rPr>
          <w:rFonts w:ascii="Arial Narrow" w:hAnsi="Arial Narrow" w:cs="Times New Roman"/>
          <w:b/>
          <w:color w:val="548DD4" w:themeColor="text2" w:themeTint="99"/>
          <w:sz w:val="24"/>
          <w:szCs w:val="24"/>
        </w:rPr>
        <w:t>Μεγάλα Έργα Φ/Α</w:t>
      </w:r>
    </w:p>
    <w:p w14:paraId="3E9D20A8" w14:textId="3CE7980A" w:rsidR="00FE12E8" w:rsidRDefault="00B7345A" w:rsidP="00E923A4">
      <w:pPr>
        <w:spacing w:before="120" w:after="120"/>
        <w:jc w:val="both"/>
        <w:rPr>
          <w:rFonts w:ascii="Arial Narrow" w:hAnsi="Arial Narrow" w:cs="Times New Roman"/>
          <w:sz w:val="24"/>
          <w:szCs w:val="24"/>
        </w:rPr>
      </w:pPr>
      <w:r>
        <w:rPr>
          <w:rFonts w:ascii="Arial Narrow" w:hAnsi="Arial Narrow" w:cs="Times New Roman"/>
          <w:sz w:val="24"/>
          <w:szCs w:val="24"/>
        </w:rPr>
        <w:t>Τα μεγαλύτερα έργα φ</w:t>
      </w:r>
      <w:r w:rsidR="00FE12E8">
        <w:rPr>
          <w:rFonts w:ascii="Arial Narrow" w:hAnsi="Arial Narrow" w:cs="Times New Roman"/>
          <w:sz w:val="24"/>
          <w:szCs w:val="24"/>
        </w:rPr>
        <w:t xml:space="preserve">/α στα Ηνωμένα Αραβικά Εμιράτα είναι το Κοίτασμα </w:t>
      </w:r>
      <w:r w:rsidR="00FE12E8">
        <w:rPr>
          <w:rFonts w:ascii="Arial Narrow" w:hAnsi="Arial Narrow" w:cs="Times New Roman"/>
          <w:sz w:val="24"/>
          <w:szCs w:val="24"/>
          <w:lang w:val="en-US"/>
        </w:rPr>
        <w:t>Shah</w:t>
      </w:r>
      <w:r w:rsidR="00FE12E8">
        <w:rPr>
          <w:rFonts w:ascii="Arial Narrow" w:hAnsi="Arial Narrow" w:cs="Times New Roman"/>
          <w:sz w:val="24"/>
          <w:szCs w:val="24"/>
        </w:rPr>
        <w:t xml:space="preserve">, από τα μεγαλύτερα έργα παραγωγής </w:t>
      </w:r>
      <w:r w:rsidR="00444187">
        <w:rPr>
          <w:rFonts w:ascii="Arial Narrow" w:hAnsi="Arial Narrow" w:cs="Times New Roman"/>
          <w:sz w:val="24"/>
          <w:szCs w:val="24"/>
          <w:lang w:val="en-US"/>
        </w:rPr>
        <w:t>sour</w:t>
      </w:r>
      <w:r w:rsidR="00444187" w:rsidRPr="00444187">
        <w:rPr>
          <w:rFonts w:ascii="Arial Narrow" w:hAnsi="Arial Narrow" w:cs="Times New Roman"/>
          <w:sz w:val="24"/>
          <w:szCs w:val="24"/>
        </w:rPr>
        <w:t xml:space="preserve"> </w:t>
      </w:r>
      <w:r w:rsidR="00444187">
        <w:rPr>
          <w:rFonts w:ascii="Arial Narrow" w:hAnsi="Arial Narrow" w:cs="Times New Roman"/>
          <w:sz w:val="24"/>
          <w:szCs w:val="24"/>
          <w:lang w:val="en-US"/>
        </w:rPr>
        <w:t>gas</w:t>
      </w:r>
      <w:r w:rsidR="00444187" w:rsidRPr="00444187">
        <w:rPr>
          <w:rFonts w:ascii="Arial Narrow" w:hAnsi="Arial Narrow" w:cs="Times New Roman"/>
          <w:sz w:val="24"/>
          <w:szCs w:val="24"/>
        </w:rPr>
        <w:t xml:space="preserve"> </w:t>
      </w:r>
      <w:r w:rsidR="00444187">
        <w:rPr>
          <w:rFonts w:ascii="Arial Narrow" w:hAnsi="Arial Narrow" w:cs="Times New Roman"/>
          <w:sz w:val="24"/>
          <w:szCs w:val="24"/>
        </w:rPr>
        <w:t xml:space="preserve">παγκοσμίως, το Κοίτασμα </w:t>
      </w:r>
      <w:r w:rsidR="00444187">
        <w:rPr>
          <w:rFonts w:ascii="Arial Narrow" w:hAnsi="Arial Narrow" w:cs="Times New Roman"/>
          <w:sz w:val="24"/>
          <w:szCs w:val="24"/>
          <w:lang w:val="en-US"/>
        </w:rPr>
        <w:t>Jebel</w:t>
      </w:r>
      <w:r w:rsidR="00444187" w:rsidRPr="00444187">
        <w:rPr>
          <w:rFonts w:ascii="Arial Narrow" w:hAnsi="Arial Narrow" w:cs="Times New Roman"/>
          <w:sz w:val="24"/>
          <w:szCs w:val="24"/>
        </w:rPr>
        <w:t xml:space="preserve"> </w:t>
      </w:r>
      <w:r w:rsidR="00444187">
        <w:rPr>
          <w:rFonts w:ascii="Arial Narrow" w:hAnsi="Arial Narrow" w:cs="Times New Roman"/>
          <w:sz w:val="24"/>
          <w:szCs w:val="24"/>
          <w:lang w:val="en-US"/>
        </w:rPr>
        <w:t>Ali</w:t>
      </w:r>
      <w:r w:rsidR="00444187" w:rsidRPr="00444187">
        <w:rPr>
          <w:rFonts w:ascii="Arial Narrow" w:hAnsi="Arial Narrow" w:cs="Times New Roman"/>
          <w:sz w:val="24"/>
          <w:szCs w:val="24"/>
        </w:rPr>
        <w:t xml:space="preserve">, </w:t>
      </w:r>
      <w:r w:rsidR="00444187">
        <w:rPr>
          <w:rFonts w:ascii="Arial Narrow" w:hAnsi="Arial Narrow" w:cs="Times New Roman"/>
          <w:sz w:val="24"/>
          <w:szCs w:val="24"/>
        </w:rPr>
        <w:t xml:space="preserve">ανακαλύφθηκε το 2020 και αποτελεί ένα από τα σημαντικότερα νέα κοιτάσματα της χώρας και το Κοίτασμα </w:t>
      </w:r>
      <w:r w:rsidR="00444187">
        <w:rPr>
          <w:rFonts w:ascii="Arial Narrow" w:hAnsi="Arial Narrow" w:cs="Times New Roman"/>
          <w:sz w:val="24"/>
          <w:szCs w:val="24"/>
          <w:lang w:val="en-US"/>
        </w:rPr>
        <w:t>Hail</w:t>
      </w:r>
      <w:r w:rsidR="00444187" w:rsidRPr="00444187">
        <w:rPr>
          <w:rFonts w:ascii="Arial Narrow" w:hAnsi="Arial Narrow" w:cs="Times New Roman"/>
          <w:sz w:val="24"/>
          <w:szCs w:val="24"/>
        </w:rPr>
        <w:t xml:space="preserve"> &amp; </w:t>
      </w:r>
      <w:r w:rsidR="00444187">
        <w:rPr>
          <w:rFonts w:ascii="Arial Narrow" w:hAnsi="Arial Narrow" w:cs="Times New Roman"/>
          <w:sz w:val="24"/>
          <w:szCs w:val="24"/>
          <w:lang w:val="en-US"/>
        </w:rPr>
        <w:t>Ghasha</w:t>
      </w:r>
      <w:r w:rsidR="00444187" w:rsidRPr="00444187">
        <w:rPr>
          <w:rFonts w:ascii="Arial Narrow" w:hAnsi="Arial Narrow" w:cs="Times New Roman"/>
          <w:sz w:val="24"/>
          <w:szCs w:val="24"/>
        </w:rPr>
        <w:t xml:space="preserve">, </w:t>
      </w:r>
      <w:r w:rsidR="00AB0832">
        <w:rPr>
          <w:rFonts w:ascii="Arial Narrow" w:hAnsi="Arial Narrow" w:cs="Times New Roman"/>
          <w:sz w:val="24"/>
          <w:szCs w:val="24"/>
        </w:rPr>
        <w:t>ένα από τα μεγαλύτερα αναπτυξιακά έργα φ/α παγκοσμίως.</w:t>
      </w:r>
    </w:p>
    <w:p w14:paraId="1414B6F6" w14:textId="17DB483A" w:rsidR="00AB0832" w:rsidRPr="000834C4" w:rsidRDefault="00BF33F0" w:rsidP="00E923A4">
      <w:pPr>
        <w:spacing w:before="120" w:after="120"/>
        <w:jc w:val="both"/>
        <w:rPr>
          <w:rFonts w:ascii="Arial Narrow" w:hAnsi="Arial Narrow" w:cs="Times New Roman"/>
          <w:b/>
          <w:color w:val="548DD4" w:themeColor="text2" w:themeTint="99"/>
          <w:sz w:val="28"/>
          <w:szCs w:val="28"/>
        </w:rPr>
      </w:pPr>
      <w:r>
        <w:rPr>
          <w:rFonts w:ascii="Arial Narrow" w:hAnsi="Arial Narrow" w:cs="Times New Roman"/>
          <w:b/>
          <w:color w:val="548DD4" w:themeColor="text2" w:themeTint="99"/>
          <w:sz w:val="28"/>
          <w:szCs w:val="28"/>
        </w:rPr>
        <w:t xml:space="preserve">3.3. </w:t>
      </w:r>
      <w:r w:rsidR="00AB0832" w:rsidRPr="000834C4">
        <w:rPr>
          <w:rFonts w:ascii="Arial Narrow" w:hAnsi="Arial Narrow" w:cs="Times New Roman"/>
          <w:b/>
          <w:color w:val="548DD4" w:themeColor="text2" w:themeTint="99"/>
          <w:sz w:val="28"/>
          <w:szCs w:val="28"/>
        </w:rPr>
        <w:t xml:space="preserve">Ηλεκτρική Ενέργεια </w:t>
      </w:r>
    </w:p>
    <w:p w14:paraId="250CB289" w14:textId="77777777" w:rsidR="00BF33F0" w:rsidRDefault="00AB0832"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Η εγκατεστημένη ισχύς από φ/α ανέρχεται σε ποσοστό 70% έως 75%, από πυρηνική ενέργεια σε ποσοστό 15% έως 20% και από Ανανεώσιμες Πηγές Ενέργειας σε ποσοστό 10% έως 15%. Η ζήτηση ηλεκτρικής ενέργειας αυξάνεται σε ετήσια βάση κατά περίπου 4% έως 5% ετησίως λόγω: πληθυσμιακής αύξησης, βιομηχανικής ανάπτυξης, αφαλάτωσης νερού και ψύξης κτιρίων. </w:t>
      </w:r>
    </w:p>
    <w:p w14:paraId="60872226" w14:textId="1C274BA9" w:rsidR="00AB0832" w:rsidRPr="00BF33F0" w:rsidRDefault="00BF33F0" w:rsidP="00E923A4">
      <w:pPr>
        <w:spacing w:before="120" w:after="120"/>
        <w:jc w:val="both"/>
        <w:rPr>
          <w:rFonts w:ascii="Arial Narrow" w:hAnsi="Arial Narrow" w:cs="Times New Roman"/>
          <w:sz w:val="24"/>
          <w:szCs w:val="24"/>
        </w:rPr>
      </w:pPr>
      <w:r>
        <w:rPr>
          <w:rFonts w:ascii="Arial Narrow" w:hAnsi="Arial Narrow" w:cs="Times New Roman"/>
          <w:b/>
          <w:color w:val="548DD4" w:themeColor="text2" w:themeTint="99"/>
          <w:sz w:val="28"/>
          <w:szCs w:val="28"/>
        </w:rPr>
        <w:t xml:space="preserve">3.4. </w:t>
      </w:r>
      <w:r w:rsidR="00AB0832" w:rsidRPr="000834C4">
        <w:rPr>
          <w:rFonts w:ascii="Arial Narrow" w:hAnsi="Arial Narrow" w:cs="Times New Roman"/>
          <w:b/>
          <w:color w:val="548DD4" w:themeColor="text2" w:themeTint="99"/>
          <w:sz w:val="28"/>
          <w:szCs w:val="28"/>
        </w:rPr>
        <w:t xml:space="preserve"> Πυρηνική Ενέργεια</w:t>
      </w:r>
    </w:p>
    <w:p w14:paraId="5A1C66A1" w14:textId="4B9C3EEB" w:rsidR="00AB0832" w:rsidRDefault="00AB0832"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Η μεγαλύτερη ενεργειακή επένδυση στην ιστορία των Ηνωμένων Αραβικών Εμιράτων είναι το πυρηνικό συγκρότημα </w:t>
      </w:r>
      <w:r>
        <w:rPr>
          <w:rFonts w:ascii="Arial Narrow" w:hAnsi="Arial Narrow" w:cs="Times New Roman"/>
          <w:sz w:val="24"/>
          <w:szCs w:val="24"/>
          <w:lang w:val="en-US"/>
        </w:rPr>
        <w:t>Barakah</w:t>
      </w:r>
      <w:r w:rsidRPr="00AB0832">
        <w:rPr>
          <w:rFonts w:ascii="Arial Narrow" w:hAnsi="Arial Narrow" w:cs="Times New Roman"/>
          <w:sz w:val="24"/>
          <w:szCs w:val="24"/>
        </w:rPr>
        <w:t xml:space="preserve"> </w:t>
      </w:r>
      <w:r>
        <w:rPr>
          <w:rFonts w:ascii="Arial Narrow" w:hAnsi="Arial Narrow" w:cs="Times New Roman"/>
          <w:sz w:val="24"/>
          <w:szCs w:val="24"/>
          <w:lang w:val="en-US"/>
        </w:rPr>
        <w:t>Nuclear</w:t>
      </w:r>
      <w:r w:rsidRPr="00AB0832">
        <w:rPr>
          <w:rFonts w:ascii="Arial Narrow" w:hAnsi="Arial Narrow" w:cs="Times New Roman"/>
          <w:sz w:val="24"/>
          <w:szCs w:val="24"/>
        </w:rPr>
        <w:t xml:space="preserve"> </w:t>
      </w:r>
      <w:r>
        <w:rPr>
          <w:rFonts w:ascii="Arial Narrow" w:hAnsi="Arial Narrow" w:cs="Times New Roman"/>
          <w:sz w:val="24"/>
          <w:szCs w:val="24"/>
          <w:lang w:val="en-US"/>
        </w:rPr>
        <w:t>Energy</w:t>
      </w:r>
      <w:r w:rsidRPr="00AB0832">
        <w:rPr>
          <w:rFonts w:ascii="Arial Narrow" w:hAnsi="Arial Narrow" w:cs="Times New Roman"/>
          <w:sz w:val="24"/>
          <w:szCs w:val="24"/>
        </w:rPr>
        <w:t xml:space="preserve"> </w:t>
      </w:r>
      <w:r>
        <w:rPr>
          <w:rFonts w:ascii="Arial Narrow" w:hAnsi="Arial Narrow" w:cs="Times New Roman"/>
          <w:sz w:val="24"/>
          <w:szCs w:val="24"/>
          <w:lang w:val="en-US"/>
        </w:rPr>
        <w:t>Plant</w:t>
      </w:r>
      <w:r w:rsidRPr="00AB0832">
        <w:rPr>
          <w:rFonts w:ascii="Arial Narrow" w:hAnsi="Arial Narrow" w:cs="Times New Roman"/>
          <w:sz w:val="24"/>
          <w:szCs w:val="24"/>
        </w:rPr>
        <w:t xml:space="preserve">. </w:t>
      </w:r>
      <w:r>
        <w:rPr>
          <w:rFonts w:ascii="Arial Narrow" w:hAnsi="Arial Narrow" w:cs="Times New Roman"/>
          <w:sz w:val="24"/>
          <w:szCs w:val="24"/>
        </w:rPr>
        <w:t xml:space="preserve">Τα βασικά του στοιχεία είναι οι τέσσερις αντιδραστήρες που διαθέτει συνολικής ισχύος 5.600 </w:t>
      </w:r>
      <w:r>
        <w:rPr>
          <w:rFonts w:ascii="Arial Narrow" w:hAnsi="Arial Narrow" w:cs="Times New Roman"/>
          <w:sz w:val="24"/>
          <w:szCs w:val="24"/>
          <w:lang w:val="en-US"/>
        </w:rPr>
        <w:t>MW</w:t>
      </w:r>
      <w:r w:rsidRPr="00AB0832">
        <w:rPr>
          <w:rFonts w:ascii="Arial Narrow" w:hAnsi="Arial Narrow" w:cs="Times New Roman"/>
          <w:sz w:val="24"/>
          <w:szCs w:val="24"/>
        </w:rPr>
        <w:t xml:space="preserve"> </w:t>
      </w:r>
      <w:r>
        <w:rPr>
          <w:rFonts w:ascii="Arial Narrow" w:hAnsi="Arial Narrow" w:cs="Times New Roman"/>
          <w:sz w:val="24"/>
          <w:szCs w:val="24"/>
        </w:rPr>
        <w:t xml:space="preserve">και συμμετοχή στην ηλεκτροπαραγωγή περίπου 25%. Η εγκατάσταση παράγει καθαρή ηλεκτρική ενέργεια χωρίς εκπομπές διοξειδίου του άνθρακα. </w:t>
      </w:r>
    </w:p>
    <w:p w14:paraId="15A6FA66" w14:textId="2182C740" w:rsidR="00AB0832" w:rsidRPr="000834C4" w:rsidRDefault="00BF33F0" w:rsidP="00E923A4">
      <w:pPr>
        <w:spacing w:before="120" w:after="120"/>
        <w:jc w:val="both"/>
        <w:rPr>
          <w:rFonts w:ascii="Arial Narrow" w:hAnsi="Arial Narrow" w:cs="Times New Roman"/>
          <w:b/>
          <w:color w:val="548DD4" w:themeColor="text2" w:themeTint="99"/>
          <w:sz w:val="28"/>
          <w:szCs w:val="28"/>
        </w:rPr>
      </w:pPr>
      <w:r>
        <w:rPr>
          <w:rFonts w:ascii="Arial Narrow" w:hAnsi="Arial Narrow" w:cs="Times New Roman"/>
          <w:b/>
          <w:color w:val="548DD4" w:themeColor="text2" w:themeTint="99"/>
          <w:sz w:val="28"/>
          <w:szCs w:val="28"/>
        </w:rPr>
        <w:t>3.5.</w:t>
      </w:r>
      <w:r w:rsidR="00805559" w:rsidRPr="000834C4">
        <w:rPr>
          <w:rFonts w:ascii="Arial Narrow" w:hAnsi="Arial Narrow" w:cs="Times New Roman"/>
          <w:b/>
          <w:color w:val="548DD4" w:themeColor="text2" w:themeTint="99"/>
          <w:sz w:val="28"/>
          <w:szCs w:val="28"/>
        </w:rPr>
        <w:t xml:space="preserve"> Ανανεώσιμες Πηγές Ενέργειας (Φ/Α)</w:t>
      </w:r>
    </w:p>
    <w:p w14:paraId="699BA7D9" w14:textId="25D4F8ED" w:rsidR="00805559" w:rsidRDefault="00DC7895"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Τα Ηνωμένα Αραβικά Εμιράτα </w:t>
      </w:r>
      <w:r w:rsidR="00B32198">
        <w:rPr>
          <w:rFonts w:ascii="Arial Narrow" w:hAnsi="Arial Narrow" w:cs="Times New Roman"/>
          <w:sz w:val="24"/>
          <w:szCs w:val="24"/>
        </w:rPr>
        <w:t xml:space="preserve">είναι ηγέτης στις ΑΠΕ για την ευρύτερη περιοχή της Μέσης Ανατολης. Πιο αναλυτικά στην Ηλιακή Ενέργεια το </w:t>
      </w:r>
      <w:r w:rsidR="00B32198">
        <w:rPr>
          <w:rFonts w:ascii="Arial Narrow" w:hAnsi="Arial Narrow" w:cs="Times New Roman"/>
          <w:sz w:val="24"/>
          <w:szCs w:val="24"/>
          <w:lang w:val="en-US"/>
        </w:rPr>
        <w:t>Mohammed</w:t>
      </w:r>
      <w:r w:rsidR="00B32198" w:rsidRPr="00B32198">
        <w:rPr>
          <w:rFonts w:ascii="Arial Narrow" w:hAnsi="Arial Narrow" w:cs="Times New Roman"/>
          <w:sz w:val="24"/>
          <w:szCs w:val="24"/>
        </w:rPr>
        <w:t xml:space="preserve"> </w:t>
      </w:r>
      <w:r w:rsidR="00B32198">
        <w:rPr>
          <w:rFonts w:ascii="Arial Narrow" w:hAnsi="Arial Narrow" w:cs="Times New Roman"/>
          <w:sz w:val="24"/>
          <w:szCs w:val="24"/>
          <w:lang w:val="en-US"/>
        </w:rPr>
        <w:t>bin</w:t>
      </w:r>
      <w:r w:rsidR="00B32198" w:rsidRPr="00B32198">
        <w:rPr>
          <w:rFonts w:ascii="Arial Narrow" w:hAnsi="Arial Narrow" w:cs="Times New Roman"/>
          <w:sz w:val="24"/>
          <w:szCs w:val="24"/>
        </w:rPr>
        <w:t xml:space="preserve"> </w:t>
      </w:r>
      <w:r w:rsidR="00B32198">
        <w:rPr>
          <w:rFonts w:ascii="Arial Narrow" w:hAnsi="Arial Narrow" w:cs="Times New Roman"/>
          <w:sz w:val="24"/>
          <w:szCs w:val="24"/>
          <w:lang w:val="en-US"/>
        </w:rPr>
        <w:t>Rashid</w:t>
      </w:r>
      <w:r w:rsidR="00B32198" w:rsidRPr="00B32198">
        <w:rPr>
          <w:rFonts w:ascii="Arial Narrow" w:hAnsi="Arial Narrow" w:cs="Times New Roman"/>
          <w:sz w:val="24"/>
          <w:szCs w:val="24"/>
        </w:rPr>
        <w:t xml:space="preserve"> </w:t>
      </w:r>
      <w:r w:rsidR="00B32198">
        <w:rPr>
          <w:rFonts w:ascii="Arial Narrow" w:hAnsi="Arial Narrow" w:cs="Times New Roman"/>
          <w:sz w:val="24"/>
          <w:szCs w:val="24"/>
          <w:lang w:val="en-US"/>
        </w:rPr>
        <w:t>Al</w:t>
      </w:r>
      <w:r w:rsidR="00B32198" w:rsidRPr="00B32198">
        <w:rPr>
          <w:rFonts w:ascii="Arial Narrow" w:hAnsi="Arial Narrow" w:cs="Times New Roman"/>
          <w:sz w:val="24"/>
          <w:szCs w:val="24"/>
        </w:rPr>
        <w:t xml:space="preserve"> </w:t>
      </w:r>
      <w:r w:rsidR="00B32198">
        <w:rPr>
          <w:rFonts w:ascii="Arial Narrow" w:hAnsi="Arial Narrow" w:cs="Times New Roman"/>
          <w:sz w:val="24"/>
          <w:szCs w:val="24"/>
          <w:lang w:val="en-US"/>
        </w:rPr>
        <w:t>Maktoum</w:t>
      </w:r>
      <w:r w:rsidR="00B32198" w:rsidRPr="00B32198">
        <w:rPr>
          <w:rFonts w:ascii="Arial Narrow" w:hAnsi="Arial Narrow" w:cs="Times New Roman"/>
          <w:sz w:val="24"/>
          <w:szCs w:val="24"/>
        </w:rPr>
        <w:t xml:space="preserve"> </w:t>
      </w:r>
      <w:r w:rsidR="00B32198">
        <w:rPr>
          <w:rFonts w:ascii="Arial Narrow" w:hAnsi="Arial Narrow" w:cs="Times New Roman"/>
          <w:sz w:val="24"/>
          <w:szCs w:val="24"/>
          <w:lang w:val="en-US"/>
        </w:rPr>
        <w:t>Solar</w:t>
      </w:r>
      <w:r w:rsidR="00B32198" w:rsidRPr="00B32198">
        <w:rPr>
          <w:rFonts w:ascii="Arial Narrow" w:hAnsi="Arial Narrow" w:cs="Times New Roman"/>
          <w:sz w:val="24"/>
          <w:szCs w:val="24"/>
        </w:rPr>
        <w:t xml:space="preserve"> </w:t>
      </w:r>
      <w:r w:rsidR="00B32198">
        <w:rPr>
          <w:rFonts w:ascii="Arial Narrow" w:hAnsi="Arial Narrow" w:cs="Times New Roman"/>
          <w:sz w:val="24"/>
          <w:szCs w:val="24"/>
          <w:lang w:val="en-US"/>
        </w:rPr>
        <w:t>park</w:t>
      </w:r>
      <w:r w:rsidR="00B32198" w:rsidRPr="00B32198">
        <w:rPr>
          <w:rFonts w:ascii="Arial Narrow" w:hAnsi="Arial Narrow" w:cs="Times New Roman"/>
          <w:sz w:val="24"/>
          <w:szCs w:val="24"/>
        </w:rPr>
        <w:t xml:space="preserve">, </w:t>
      </w:r>
      <w:r w:rsidR="00A93A03">
        <w:rPr>
          <w:rFonts w:ascii="Arial Narrow" w:hAnsi="Arial Narrow" w:cs="Times New Roman"/>
          <w:sz w:val="24"/>
          <w:szCs w:val="24"/>
        </w:rPr>
        <w:t xml:space="preserve">μεγέθους 7.260 </w:t>
      </w:r>
      <w:r w:rsidR="00A93A03">
        <w:rPr>
          <w:rFonts w:ascii="Arial Narrow" w:hAnsi="Arial Narrow" w:cs="Times New Roman"/>
          <w:sz w:val="24"/>
          <w:szCs w:val="24"/>
          <w:lang w:val="en-US"/>
        </w:rPr>
        <w:t>MW</w:t>
      </w:r>
      <w:r w:rsidR="00A93A03" w:rsidRPr="00A93A03">
        <w:rPr>
          <w:rFonts w:ascii="Arial Narrow" w:hAnsi="Arial Narrow" w:cs="Times New Roman"/>
          <w:sz w:val="24"/>
          <w:szCs w:val="24"/>
        </w:rPr>
        <w:t xml:space="preserve"> </w:t>
      </w:r>
      <w:r w:rsidR="00A93A03">
        <w:rPr>
          <w:rFonts w:ascii="Arial Narrow" w:hAnsi="Arial Narrow" w:cs="Times New Roman"/>
          <w:sz w:val="24"/>
          <w:szCs w:val="24"/>
        </w:rPr>
        <w:t xml:space="preserve">έως το 2030 και συνολικής επένδυσης άνω των 50 δις </w:t>
      </w:r>
      <w:r w:rsidR="00A93A03">
        <w:rPr>
          <w:rFonts w:ascii="Arial Narrow" w:hAnsi="Arial Narrow" w:cs="Times New Roman"/>
          <w:sz w:val="24"/>
          <w:szCs w:val="24"/>
          <w:lang w:val="en-US"/>
        </w:rPr>
        <w:t>AED</w:t>
      </w:r>
      <w:r w:rsidR="00A93A03" w:rsidRPr="00A93A03">
        <w:rPr>
          <w:rFonts w:ascii="Arial Narrow" w:hAnsi="Arial Narrow" w:cs="Times New Roman"/>
          <w:sz w:val="24"/>
          <w:szCs w:val="24"/>
        </w:rPr>
        <w:t xml:space="preserve"> (</w:t>
      </w:r>
      <w:r w:rsidR="000979B0">
        <w:rPr>
          <w:rFonts w:ascii="Arial Narrow" w:hAnsi="Arial Narrow" w:cs="Times New Roman"/>
          <w:sz w:val="24"/>
          <w:szCs w:val="24"/>
        </w:rPr>
        <w:t xml:space="preserve">Ντίρχαμ), αποτελεί ένα από τα μεγαλύτερα φωτοβολταϊκά πάρκα στο κόσμο. Επίσης άλλο μεγάλο έργο στην Ηλιακή Ενέργεια είντι το </w:t>
      </w:r>
      <w:r w:rsidR="004C409B">
        <w:rPr>
          <w:rFonts w:ascii="Arial Narrow" w:hAnsi="Arial Narrow" w:cs="Times New Roman"/>
          <w:sz w:val="24"/>
          <w:szCs w:val="24"/>
          <w:lang w:val="en-US"/>
        </w:rPr>
        <w:t>Noor</w:t>
      </w:r>
      <w:r w:rsidR="004C409B" w:rsidRPr="004C409B">
        <w:rPr>
          <w:rFonts w:ascii="Arial Narrow" w:hAnsi="Arial Narrow" w:cs="Times New Roman"/>
          <w:sz w:val="24"/>
          <w:szCs w:val="24"/>
        </w:rPr>
        <w:t xml:space="preserve"> </w:t>
      </w:r>
      <w:r w:rsidR="004C409B">
        <w:rPr>
          <w:rFonts w:ascii="Arial Narrow" w:hAnsi="Arial Narrow" w:cs="Times New Roman"/>
          <w:sz w:val="24"/>
          <w:szCs w:val="24"/>
          <w:lang w:val="en-US"/>
        </w:rPr>
        <w:t>Abu</w:t>
      </w:r>
      <w:r w:rsidR="004C409B" w:rsidRPr="004C409B">
        <w:rPr>
          <w:rFonts w:ascii="Arial Narrow" w:hAnsi="Arial Narrow" w:cs="Times New Roman"/>
          <w:sz w:val="24"/>
          <w:szCs w:val="24"/>
        </w:rPr>
        <w:t xml:space="preserve"> </w:t>
      </w:r>
      <w:r w:rsidR="004C409B">
        <w:rPr>
          <w:rFonts w:ascii="Arial Narrow" w:hAnsi="Arial Narrow" w:cs="Times New Roman"/>
          <w:sz w:val="24"/>
          <w:szCs w:val="24"/>
          <w:lang w:val="en-US"/>
        </w:rPr>
        <w:t>Dhabi</w:t>
      </w:r>
      <w:r w:rsidR="004C409B" w:rsidRPr="004C409B">
        <w:rPr>
          <w:rFonts w:ascii="Arial Narrow" w:hAnsi="Arial Narrow" w:cs="Times New Roman"/>
          <w:sz w:val="24"/>
          <w:szCs w:val="24"/>
        </w:rPr>
        <w:t xml:space="preserve"> </w:t>
      </w:r>
      <w:r w:rsidR="004C409B">
        <w:rPr>
          <w:rFonts w:ascii="Arial Narrow" w:hAnsi="Arial Narrow" w:cs="Times New Roman"/>
          <w:sz w:val="24"/>
          <w:szCs w:val="24"/>
        </w:rPr>
        <w:t xml:space="preserve">ισχύος περίπου 1.177 </w:t>
      </w:r>
      <w:r w:rsidR="004C409B">
        <w:rPr>
          <w:rFonts w:ascii="Arial Narrow" w:hAnsi="Arial Narrow" w:cs="Times New Roman"/>
          <w:sz w:val="24"/>
          <w:szCs w:val="24"/>
          <w:lang w:val="en-US"/>
        </w:rPr>
        <w:t>MW</w:t>
      </w:r>
      <w:r w:rsidR="004C409B" w:rsidRPr="004C409B">
        <w:rPr>
          <w:rFonts w:ascii="Arial Narrow" w:hAnsi="Arial Narrow" w:cs="Times New Roman"/>
          <w:sz w:val="24"/>
          <w:szCs w:val="24"/>
        </w:rPr>
        <w:t xml:space="preserve"> </w:t>
      </w:r>
      <w:r w:rsidR="004C409B">
        <w:rPr>
          <w:rFonts w:ascii="Arial Narrow" w:hAnsi="Arial Narrow" w:cs="Times New Roman"/>
          <w:sz w:val="24"/>
          <w:szCs w:val="24"/>
        </w:rPr>
        <w:t>με 3,2 εκατομμύρια φωτοβολταϊκά πάνελ.</w:t>
      </w:r>
    </w:p>
    <w:p w14:paraId="765E6E5E" w14:textId="4178DA71" w:rsidR="004C409B" w:rsidRPr="000834C4" w:rsidRDefault="00BF33F0" w:rsidP="00E923A4">
      <w:pPr>
        <w:spacing w:before="120" w:after="120"/>
        <w:jc w:val="both"/>
        <w:rPr>
          <w:rFonts w:ascii="Arial Narrow" w:hAnsi="Arial Narrow" w:cs="Times New Roman"/>
          <w:b/>
          <w:color w:val="548DD4" w:themeColor="text2" w:themeTint="99"/>
          <w:sz w:val="28"/>
          <w:szCs w:val="28"/>
        </w:rPr>
      </w:pPr>
      <w:r>
        <w:rPr>
          <w:rFonts w:ascii="Arial Narrow" w:hAnsi="Arial Narrow" w:cs="Times New Roman"/>
          <w:b/>
          <w:color w:val="548DD4" w:themeColor="text2" w:themeTint="99"/>
          <w:sz w:val="28"/>
          <w:szCs w:val="28"/>
        </w:rPr>
        <w:t xml:space="preserve">3.6. </w:t>
      </w:r>
      <w:r w:rsidR="004C409B" w:rsidRPr="000834C4">
        <w:rPr>
          <w:rFonts w:ascii="Arial Narrow" w:hAnsi="Arial Narrow" w:cs="Times New Roman"/>
          <w:b/>
          <w:color w:val="548DD4" w:themeColor="text2" w:themeTint="99"/>
          <w:sz w:val="28"/>
          <w:szCs w:val="28"/>
        </w:rPr>
        <w:t xml:space="preserve">Υδρογόνο </w:t>
      </w:r>
    </w:p>
    <w:p w14:paraId="196DB28A" w14:textId="0242D4CC" w:rsidR="004C409B" w:rsidRDefault="004C409B" w:rsidP="00E923A4">
      <w:pPr>
        <w:spacing w:before="120" w:after="120"/>
        <w:jc w:val="both"/>
        <w:rPr>
          <w:rFonts w:ascii="Arial Narrow" w:hAnsi="Arial Narrow" w:cs="Times New Roman"/>
          <w:sz w:val="24"/>
          <w:szCs w:val="24"/>
        </w:rPr>
      </w:pPr>
      <w:r>
        <w:rPr>
          <w:rFonts w:ascii="Arial Narrow" w:hAnsi="Arial Narrow" w:cs="Times New Roman"/>
          <w:sz w:val="24"/>
          <w:szCs w:val="24"/>
        </w:rPr>
        <w:t>Τα Ηνωμένα Αραβικά Εμιράτα επιδιώκουν να καταστούν παγκόσμιος κόμβος παραγωγής στο πράσινο υδρογόνο, στο μπλέ υδρογόνο και στη πράσινη αμμωνία</w:t>
      </w:r>
      <w:r w:rsidR="009E5334">
        <w:rPr>
          <w:rFonts w:ascii="Arial Narrow" w:hAnsi="Arial Narrow" w:cs="Times New Roman"/>
          <w:sz w:val="24"/>
          <w:szCs w:val="24"/>
        </w:rPr>
        <w:t>. Κυριότεροι φορείς είναι</w:t>
      </w:r>
      <w:r w:rsidR="009E5334" w:rsidRPr="00534266">
        <w:rPr>
          <w:rFonts w:ascii="Arial Narrow" w:hAnsi="Arial Narrow" w:cs="Times New Roman"/>
          <w:sz w:val="24"/>
          <w:szCs w:val="24"/>
        </w:rPr>
        <w:t xml:space="preserve"> </w:t>
      </w:r>
      <w:r w:rsidR="009E5334">
        <w:rPr>
          <w:rFonts w:ascii="Arial Narrow" w:hAnsi="Arial Narrow" w:cs="Times New Roman"/>
          <w:sz w:val="24"/>
          <w:szCs w:val="24"/>
          <w:lang w:val="en-US"/>
        </w:rPr>
        <w:t>ADNOC</w:t>
      </w:r>
      <w:r w:rsidR="009E5334" w:rsidRPr="00534266">
        <w:rPr>
          <w:rFonts w:ascii="Arial Narrow" w:hAnsi="Arial Narrow" w:cs="Times New Roman"/>
          <w:sz w:val="24"/>
          <w:szCs w:val="24"/>
        </w:rPr>
        <w:t xml:space="preserve">, </w:t>
      </w:r>
      <w:r w:rsidR="009E5334">
        <w:rPr>
          <w:rFonts w:ascii="Arial Narrow" w:hAnsi="Arial Narrow" w:cs="Times New Roman"/>
          <w:sz w:val="24"/>
          <w:szCs w:val="24"/>
          <w:lang w:val="en-US"/>
        </w:rPr>
        <w:t>Masdar</w:t>
      </w:r>
      <w:r w:rsidR="009E5334" w:rsidRPr="00534266">
        <w:rPr>
          <w:rFonts w:ascii="Arial Narrow" w:hAnsi="Arial Narrow" w:cs="Times New Roman"/>
          <w:sz w:val="24"/>
          <w:szCs w:val="24"/>
        </w:rPr>
        <w:t xml:space="preserve"> </w:t>
      </w:r>
      <w:r w:rsidR="009E5334">
        <w:rPr>
          <w:rFonts w:ascii="Arial Narrow" w:hAnsi="Arial Narrow" w:cs="Times New Roman"/>
          <w:sz w:val="24"/>
          <w:szCs w:val="24"/>
        </w:rPr>
        <w:t xml:space="preserve">&amp; </w:t>
      </w:r>
      <w:r w:rsidR="00534266">
        <w:rPr>
          <w:rFonts w:ascii="Arial Narrow" w:hAnsi="Arial Narrow" w:cs="Times New Roman"/>
          <w:sz w:val="24"/>
          <w:szCs w:val="24"/>
          <w:lang w:val="en-US"/>
        </w:rPr>
        <w:t>TAQA</w:t>
      </w:r>
      <w:r w:rsidR="00534266">
        <w:rPr>
          <w:rFonts w:ascii="Arial Narrow" w:hAnsi="Arial Narrow" w:cs="Times New Roman"/>
          <w:sz w:val="24"/>
          <w:szCs w:val="24"/>
        </w:rPr>
        <w:t>. Αποκλειστικός στόχος είνοι οι εξαγωγές υδρογόνου στην ΕΕ, την Ιαπωνία και τη Νότιο Κορέα.</w:t>
      </w:r>
    </w:p>
    <w:p w14:paraId="58EA42EA" w14:textId="2E15FCAE" w:rsidR="00534266" w:rsidRDefault="00534266" w:rsidP="00E923A4">
      <w:pPr>
        <w:spacing w:before="120" w:after="120"/>
        <w:jc w:val="both"/>
        <w:rPr>
          <w:rFonts w:ascii="Arial Narrow" w:hAnsi="Arial Narrow" w:cs="Times New Roman"/>
          <w:sz w:val="24"/>
          <w:szCs w:val="24"/>
        </w:rPr>
      </w:pPr>
    </w:p>
    <w:p w14:paraId="1C8B5862" w14:textId="062610DE" w:rsidR="00534266" w:rsidRPr="000834C4" w:rsidRDefault="00BF33F0" w:rsidP="00E923A4">
      <w:pPr>
        <w:spacing w:before="120" w:after="120"/>
        <w:jc w:val="both"/>
        <w:rPr>
          <w:rFonts w:ascii="Arial Narrow" w:hAnsi="Arial Narrow" w:cs="Times New Roman"/>
          <w:b/>
          <w:color w:val="548DD4" w:themeColor="text2" w:themeTint="99"/>
          <w:sz w:val="28"/>
          <w:szCs w:val="28"/>
        </w:rPr>
      </w:pPr>
      <w:r>
        <w:rPr>
          <w:rFonts w:ascii="Arial Narrow" w:hAnsi="Arial Narrow" w:cs="Times New Roman"/>
          <w:b/>
          <w:color w:val="548DD4" w:themeColor="text2" w:themeTint="99"/>
          <w:sz w:val="28"/>
          <w:szCs w:val="28"/>
        </w:rPr>
        <w:t xml:space="preserve">3.7. </w:t>
      </w:r>
      <w:r w:rsidR="00534266" w:rsidRPr="000834C4">
        <w:rPr>
          <w:rFonts w:ascii="Arial Narrow" w:hAnsi="Arial Narrow" w:cs="Times New Roman"/>
          <w:b/>
          <w:color w:val="548DD4" w:themeColor="text2" w:themeTint="99"/>
          <w:sz w:val="28"/>
          <w:szCs w:val="28"/>
        </w:rPr>
        <w:t xml:space="preserve"> Κύριοι Ενεργειακοί Οργανισμοί</w:t>
      </w:r>
    </w:p>
    <w:p w14:paraId="726C420C" w14:textId="130B7771" w:rsidR="00534266" w:rsidRDefault="00534266" w:rsidP="00E923A4">
      <w:pPr>
        <w:spacing w:before="120" w:after="120"/>
        <w:jc w:val="both"/>
        <w:rPr>
          <w:rFonts w:ascii="Arial Narrow" w:hAnsi="Arial Narrow" w:cs="Times New Roman"/>
          <w:sz w:val="24"/>
          <w:szCs w:val="24"/>
        </w:rPr>
      </w:pPr>
      <w:r>
        <w:rPr>
          <w:rFonts w:ascii="Arial Narrow" w:hAnsi="Arial Narrow" w:cs="Times New Roman"/>
          <w:sz w:val="24"/>
          <w:szCs w:val="24"/>
          <w:lang w:val="en-US"/>
        </w:rPr>
        <w:t>ADNOC</w:t>
      </w:r>
      <w:r w:rsidRPr="00534266">
        <w:rPr>
          <w:rFonts w:ascii="Arial Narrow" w:hAnsi="Arial Narrow" w:cs="Times New Roman"/>
          <w:sz w:val="24"/>
          <w:szCs w:val="24"/>
        </w:rPr>
        <w:t xml:space="preserve"> – </w:t>
      </w:r>
      <w:r>
        <w:rPr>
          <w:rFonts w:ascii="Arial Narrow" w:hAnsi="Arial Narrow" w:cs="Times New Roman"/>
          <w:sz w:val="24"/>
          <w:szCs w:val="24"/>
        </w:rPr>
        <w:t xml:space="preserve">εθνική εταιρεία πετρελαίου και φ/α.Βασικά της στοιχεία είναι η ημερήσια παραγωγική της ικανότητα σε 4,85 εκατ. βαρέλια </w:t>
      </w:r>
      <w:proofErr w:type="gramStart"/>
      <w:r>
        <w:rPr>
          <w:rFonts w:ascii="Arial Narrow" w:hAnsi="Arial Narrow" w:cs="Times New Roman"/>
          <w:sz w:val="24"/>
          <w:szCs w:val="24"/>
        </w:rPr>
        <w:t>και  οι</w:t>
      </w:r>
      <w:proofErr w:type="gramEnd"/>
      <w:r>
        <w:rPr>
          <w:rFonts w:ascii="Arial Narrow" w:hAnsi="Arial Narrow" w:cs="Times New Roman"/>
          <w:sz w:val="24"/>
          <w:szCs w:val="24"/>
        </w:rPr>
        <w:t xml:space="preserve"> δραστηριότητές της σε όλη την αλυσίδα αξίας.</w:t>
      </w:r>
    </w:p>
    <w:p w14:paraId="39F1E911" w14:textId="4B02B906" w:rsidR="00534266" w:rsidRDefault="0024580C" w:rsidP="00E923A4">
      <w:pPr>
        <w:spacing w:before="120" w:after="120"/>
        <w:jc w:val="both"/>
        <w:rPr>
          <w:rFonts w:ascii="Arial Narrow" w:hAnsi="Arial Narrow" w:cs="Times New Roman"/>
          <w:sz w:val="24"/>
          <w:szCs w:val="24"/>
        </w:rPr>
      </w:pPr>
      <w:r>
        <w:rPr>
          <w:rFonts w:ascii="Arial Narrow" w:hAnsi="Arial Narrow" w:cs="Times New Roman"/>
          <w:sz w:val="24"/>
          <w:szCs w:val="24"/>
          <w:lang w:val="en-US"/>
        </w:rPr>
        <w:t>MASDAR</w:t>
      </w:r>
      <w:r w:rsidRPr="0024580C">
        <w:rPr>
          <w:rFonts w:ascii="Arial Narrow" w:hAnsi="Arial Narrow" w:cs="Times New Roman"/>
          <w:sz w:val="24"/>
          <w:szCs w:val="24"/>
        </w:rPr>
        <w:t xml:space="preserve"> – </w:t>
      </w:r>
      <w:r>
        <w:rPr>
          <w:rFonts w:ascii="Arial Narrow" w:hAnsi="Arial Narrow" w:cs="Times New Roman"/>
          <w:sz w:val="24"/>
          <w:szCs w:val="24"/>
        </w:rPr>
        <w:t>κορυφαία εταιρεία ανανεώσιμων πηγών ενέργειας και με παρουσία σε περισσότερες από 40 χώρες.</w:t>
      </w:r>
    </w:p>
    <w:p w14:paraId="42810727" w14:textId="1894AF46" w:rsidR="0024580C" w:rsidRPr="0024580C" w:rsidRDefault="0024580C" w:rsidP="00E923A4">
      <w:pPr>
        <w:spacing w:before="120" w:after="120"/>
        <w:jc w:val="both"/>
        <w:rPr>
          <w:rFonts w:ascii="Arial Narrow" w:hAnsi="Arial Narrow" w:cs="Times New Roman"/>
          <w:sz w:val="24"/>
          <w:szCs w:val="24"/>
        </w:rPr>
      </w:pPr>
      <w:r>
        <w:rPr>
          <w:rFonts w:ascii="Arial Narrow" w:hAnsi="Arial Narrow" w:cs="Times New Roman"/>
          <w:sz w:val="24"/>
          <w:szCs w:val="24"/>
          <w:lang w:val="en-US"/>
        </w:rPr>
        <w:t>EMIRATES</w:t>
      </w:r>
      <w:r w:rsidRPr="0024580C">
        <w:rPr>
          <w:rFonts w:ascii="Arial Narrow" w:hAnsi="Arial Narrow" w:cs="Times New Roman"/>
          <w:sz w:val="24"/>
          <w:szCs w:val="24"/>
        </w:rPr>
        <w:t xml:space="preserve"> </w:t>
      </w:r>
      <w:r>
        <w:rPr>
          <w:rFonts w:ascii="Arial Narrow" w:hAnsi="Arial Narrow" w:cs="Times New Roman"/>
          <w:sz w:val="24"/>
          <w:szCs w:val="24"/>
          <w:lang w:val="en-US"/>
        </w:rPr>
        <w:t>NUCLEAR</w:t>
      </w:r>
      <w:r w:rsidRPr="0024580C">
        <w:rPr>
          <w:rFonts w:ascii="Arial Narrow" w:hAnsi="Arial Narrow" w:cs="Times New Roman"/>
          <w:sz w:val="24"/>
          <w:szCs w:val="24"/>
        </w:rPr>
        <w:t xml:space="preserve"> </w:t>
      </w:r>
      <w:r>
        <w:rPr>
          <w:rFonts w:ascii="Arial Narrow" w:hAnsi="Arial Narrow" w:cs="Times New Roman"/>
          <w:sz w:val="24"/>
          <w:szCs w:val="24"/>
          <w:lang w:val="en-US"/>
        </w:rPr>
        <w:t>ENERGY</w:t>
      </w:r>
      <w:r w:rsidRPr="0024580C">
        <w:rPr>
          <w:rFonts w:ascii="Arial Narrow" w:hAnsi="Arial Narrow" w:cs="Times New Roman"/>
          <w:sz w:val="24"/>
          <w:szCs w:val="24"/>
        </w:rPr>
        <w:t xml:space="preserve"> </w:t>
      </w:r>
      <w:r>
        <w:rPr>
          <w:rFonts w:ascii="Arial Narrow" w:hAnsi="Arial Narrow" w:cs="Times New Roman"/>
          <w:sz w:val="24"/>
          <w:szCs w:val="24"/>
          <w:lang w:val="en-US"/>
        </w:rPr>
        <w:t>CORPORATION</w:t>
      </w:r>
      <w:r w:rsidRPr="0024580C">
        <w:rPr>
          <w:rFonts w:ascii="Arial Narrow" w:hAnsi="Arial Narrow" w:cs="Times New Roman"/>
          <w:sz w:val="24"/>
          <w:szCs w:val="24"/>
        </w:rPr>
        <w:t xml:space="preserve"> (</w:t>
      </w:r>
      <w:r>
        <w:rPr>
          <w:rFonts w:ascii="Arial Narrow" w:hAnsi="Arial Narrow" w:cs="Times New Roman"/>
          <w:sz w:val="24"/>
          <w:szCs w:val="24"/>
          <w:lang w:val="en-US"/>
        </w:rPr>
        <w:t>ENEC</w:t>
      </w:r>
      <w:r w:rsidRPr="0024580C">
        <w:rPr>
          <w:rFonts w:ascii="Arial Narrow" w:hAnsi="Arial Narrow" w:cs="Times New Roman"/>
          <w:sz w:val="24"/>
          <w:szCs w:val="24"/>
        </w:rPr>
        <w:t xml:space="preserve">) – </w:t>
      </w:r>
      <w:r>
        <w:rPr>
          <w:rFonts w:ascii="Arial Narrow" w:hAnsi="Arial Narrow" w:cs="Times New Roman"/>
          <w:sz w:val="24"/>
          <w:szCs w:val="24"/>
        </w:rPr>
        <w:t>διαχειρίζεται</w:t>
      </w:r>
      <w:r w:rsidRPr="0024580C">
        <w:rPr>
          <w:rFonts w:ascii="Arial Narrow" w:hAnsi="Arial Narrow" w:cs="Times New Roman"/>
          <w:sz w:val="24"/>
          <w:szCs w:val="24"/>
        </w:rPr>
        <w:t xml:space="preserve"> </w:t>
      </w:r>
      <w:r>
        <w:rPr>
          <w:rFonts w:ascii="Arial Narrow" w:hAnsi="Arial Narrow" w:cs="Times New Roman"/>
          <w:sz w:val="24"/>
          <w:szCs w:val="24"/>
        </w:rPr>
        <w:t>το</w:t>
      </w:r>
      <w:r w:rsidRPr="0024580C">
        <w:rPr>
          <w:rFonts w:ascii="Arial Narrow" w:hAnsi="Arial Narrow" w:cs="Times New Roman"/>
          <w:sz w:val="24"/>
          <w:szCs w:val="24"/>
        </w:rPr>
        <w:t xml:space="preserve"> </w:t>
      </w:r>
      <w:r>
        <w:rPr>
          <w:rFonts w:ascii="Arial Narrow" w:hAnsi="Arial Narrow" w:cs="Times New Roman"/>
          <w:sz w:val="24"/>
          <w:szCs w:val="24"/>
        </w:rPr>
        <w:t>πυρηνικό</w:t>
      </w:r>
      <w:r w:rsidRPr="0024580C">
        <w:rPr>
          <w:rFonts w:ascii="Arial Narrow" w:hAnsi="Arial Narrow" w:cs="Times New Roman"/>
          <w:sz w:val="24"/>
          <w:szCs w:val="24"/>
        </w:rPr>
        <w:t xml:space="preserve"> </w:t>
      </w:r>
      <w:r>
        <w:rPr>
          <w:rFonts w:ascii="Arial Narrow" w:hAnsi="Arial Narrow" w:cs="Times New Roman"/>
          <w:sz w:val="24"/>
          <w:szCs w:val="24"/>
        </w:rPr>
        <w:t>πρόγραμμα των Ηνωμένων Αραβικών Εμιράτων</w:t>
      </w:r>
    </w:p>
    <w:p w14:paraId="148BBF9F" w14:textId="08072413" w:rsidR="0024580C" w:rsidRDefault="0024580C" w:rsidP="00E923A4">
      <w:pPr>
        <w:spacing w:before="120" w:after="120"/>
        <w:jc w:val="both"/>
        <w:rPr>
          <w:rFonts w:ascii="Arial Narrow" w:hAnsi="Arial Narrow" w:cs="Times New Roman"/>
          <w:sz w:val="24"/>
          <w:szCs w:val="24"/>
        </w:rPr>
      </w:pPr>
      <w:r>
        <w:rPr>
          <w:rFonts w:ascii="Arial Narrow" w:hAnsi="Arial Narrow" w:cs="Times New Roman"/>
          <w:sz w:val="24"/>
          <w:szCs w:val="24"/>
          <w:lang w:val="en-US"/>
        </w:rPr>
        <w:t>DUBAI</w:t>
      </w:r>
      <w:r w:rsidRPr="0024580C">
        <w:rPr>
          <w:rFonts w:ascii="Arial Narrow" w:hAnsi="Arial Narrow" w:cs="Times New Roman"/>
          <w:sz w:val="24"/>
          <w:szCs w:val="24"/>
        </w:rPr>
        <w:t xml:space="preserve"> </w:t>
      </w:r>
      <w:r>
        <w:rPr>
          <w:rFonts w:ascii="Arial Narrow" w:hAnsi="Arial Narrow" w:cs="Times New Roman"/>
          <w:sz w:val="24"/>
          <w:szCs w:val="24"/>
          <w:lang w:val="en-US"/>
        </w:rPr>
        <w:t>ELECTRICITY</w:t>
      </w:r>
      <w:r w:rsidRPr="0024580C">
        <w:rPr>
          <w:rFonts w:ascii="Arial Narrow" w:hAnsi="Arial Narrow" w:cs="Times New Roman"/>
          <w:sz w:val="24"/>
          <w:szCs w:val="24"/>
        </w:rPr>
        <w:t xml:space="preserve"> </w:t>
      </w:r>
      <w:r>
        <w:rPr>
          <w:rFonts w:ascii="Arial Narrow" w:hAnsi="Arial Narrow" w:cs="Times New Roman"/>
          <w:sz w:val="24"/>
          <w:szCs w:val="24"/>
          <w:lang w:val="en-US"/>
        </w:rPr>
        <w:t>AND</w:t>
      </w:r>
      <w:r w:rsidRPr="0024580C">
        <w:rPr>
          <w:rFonts w:ascii="Arial Narrow" w:hAnsi="Arial Narrow" w:cs="Times New Roman"/>
          <w:sz w:val="24"/>
          <w:szCs w:val="24"/>
        </w:rPr>
        <w:t xml:space="preserve"> </w:t>
      </w:r>
      <w:r>
        <w:rPr>
          <w:rFonts w:ascii="Arial Narrow" w:hAnsi="Arial Narrow" w:cs="Times New Roman"/>
          <w:sz w:val="24"/>
          <w:szCs w:val="24"/>
          <w:lang w:val="en-US"/>
        </w:rPr>
        <w:t>WATER</w:t>
      </w:r>
      <w:r w:rsidRPr="0024580C">
        <w:rPr>
          <w:rFonts w:ascii="Arial Narrow" w:hAnsi="Arial Narrow" w:cs="Times New Roman"/>
          <w:sz w:val="24"/>
          <w:szCs w:val="24"/>
        </w:rPr>
        <w:t xml:space="preserve"> </w:t>
      </w:r>
      <w:r>
        <w:rPr>
          <w:rFonts w:ascii="Arial Narrow" w:hAnsi="Arial Narrow" w:cs="Times New Roman"/>
          <w:sz w:val="24"/>
          <w:szCs w:val="24"/>
          <w:lang w:val="en-US"/>
        </w:rPr>
        <w:t>AUTHORITY</w:t>
      </w:r>
      <w:r w:rsidRPr="0024580C">
        <w:rPr>
          <w:rFonts w:ascii="Arial Narrow" w:hAnsi="Arial Narrow" w:cs="Times New Roman"/>
          <w:sz w:val="24"/>
          <w:szCs w:val="24"/>
        </w:rPr>
        <w:t xml:space="preserve"> (</w:t>
      </w:r>
      <w:r>
        <w:rPr>
          <w:rFonts w:ascii="Arial Narrow" w:hAnsi="Arial Narrow" w:cs="Times New Roman"/>
          <w:sz w:val="24"/>
          <w:szCs w:val="24"/>
          <w:lang w:val="en-US"/>
        </w:rPr>
        <w:t>DEWA</w:t>
      </w:r>
      <w:r w:rsidRPr="0024580C">
        <w:rPr>
          <w:rFonts w:ascii="Arial Narrow" w:hAnsi="Arial Narrow" w:cs="Times New Roman"/>
          <w:sz w:val="24"/>
          <w:szCs w:val="24"/>
        </w:rPr>
        <w:t xml:space="preserve">) – </w:t>
      </w:r>
      <w:r>
        <w:rPr>
          <w:rFonts w:ascii="Arial Narrow" w:hAnsi="Arial Narrow" w:cs="Times New Roman"/>
          <w:sz w:val="24"/>
          <w:szCs w:val="24"/>
        </w:rPr>
        <w:t>κύριος</w:t>
      </w:r>
      <w:r w:rsidRPr="0024580C">
        <w:rPr>
          <w:rFonts w:ascii="Arial Narrow" w:hAnsi="Arial Narrow" w:cs="Times New Roman"/>
          <w:sz w:val="24"/>
          <w:szCs w:val="24"/>
        </w:rPr>
        <w:t xml:space="preserve"> </w:t>
      </w:r>
      <w:r>
        <w:rPr>
          <w:rFonts w:ascii="Arial Narrow" w:hAnsi="Arial Narrow" w:cs="Times New Roman"/>
          <w:sz w:val="24"/>
          <w:szCs w:val="24"/>
        </w:rPr>
        <w:t>πάροχος</w:t>
      </w:r>
      <w:r w:rsidRPr="0024580C">
        <w:rPr>
          <w:rFonts w:ascii="Arial Narrow" w:hAnsi="Arial Narrow" w:cs="Times New Roman"/>
          <w:sz w:val="24"/>
          <w:szCs w:val="24"/>
        </w:rPr>
        <w:t xml:space="preserve"> </w:t>
      </w:r>
      <w:r>
        <w:rPr>
          <w:rFonts w:ascii="Arial Narrow" w:hAnsi="Arial Narrow" w:cs="Times New Roman"/>
          <w:sz w:val="24"/>
          <w:szCs w:val="24"/>
        </w:rPr>
        <w:t>ηλεκτρισμού</w:t>
      </w:r>
      <w:r w:rsidRPr="0024580C">
        <w:rPr>
          <w:rFonts w:ascii="Arial Narrow" w:hAnsi="Arial Narrow" w:cs="Times New Roman"/>
          <w:sz w:val="24"/>
          <w:szCs w:val="24"/>
        </w:rPr>
        <w:t xml:space="preserve"> </w:t>
      </w:r>
      <w:r>
        <w:rPr>
          <w:rFonts w:ascii="Arial Narrow" w:hAnsi="Arial Narrow" w:cs="Times New Roman"/>
          <w:sz w:val="24"/>
          <w:szCs w:val="24"/>
        </w:rPr>
        <w:t>και</w:t>
      </w:r>
      <w:r w:rsidRPr="0024580C">
        <w:rPr>
          <w:rFonts w:ascii="Arial Narrow" w:hAnsi="Arial Narrow" w:cs="Times New Roman"/>
          <w:sz w:val="24"/>
          <w:szCs w:val="24"/>
        </w:rPr>
        <w:t xml:space="preserve"> </w:t>
      </w:r>
      <w:r>
        <w:rPr>
          <w:rFonts w:ascii="Arial Narrow" w:hAnsi="Arial Narrow" w:cs="Times New Roman"/>
          <w:sz w:val="24"/>
          <w:szCs w:val="24"/>
        </w:rPr>
        <w:t>ύδρευσης</w:t>
      </w:r>
      <w:r w:rsidRPr="0024580C">
        <w:rPr>
          <w:rFonts w:ascii="Arial Narrow" w:hAnsi="Arial Narrow" w:cs="Times New Roman"/>
          <w:sz w:val="24"/>
          <w:szCs w:val="24"/>
        </w:rPr>
        <w:t xml:space="preserve"> </w:t>
      </w:r>
      <w:r>
        <w:rPr>
          <w:rFonts w:ascii="Arial Narrow" w:hAnsi="Arial Narrow" w:cs="Times New Roman"/>
          <w:sz w:val="24"/>
          <w:szCs w:val="24"/>
        </w:rPr>
        <w:t>στο Ντουμπάϊ</w:t>
      </w:r>
    </w:p>
    <w:p w14:paraId="14FF9272" w14:textId="63D9043C" w:rsidR="0024580C" w:rsidRDefault="001A2C9B" w:rsidP="00E923A4">
      <w:pPr>
        <w:spacing w:before="120" w:after="120"/>
        <w:jc w:val="both"/>
        <w:rPr>
          <w:rFonts w:ascii="Arial Narrow" w:hAnsi="Arial Narrow" w:cs="Times New Roman"/>
          <w:sz w:val="24"/>
          <w:szCs w:val="24"/>
        </w:rPr>
      </w:pPr>
      <w:r>
        <w:rPr>
          <w:rFonts w:ascii="Arial Narrow" w:hAnsi="Arial Narrow" w:cs="Times New Roman"/>
          <w:sz w:val="24"/>
          <w:szCs w:val="24"/>
          <w:lang w:val="en-US"/>
        </w:rPr>
        <w:t>TAQA</w:t>
      </w:r>
      <w:r w:rsidRPr="001A2C9B">
        <w:rPr>
          <w:rFonts w:ascii="Arial Narrow" w:hAnsi="Arial Narrow" w:cs="Times New Roman"/>
          <w:sz w:val="24"/>
          <w:szCs w:val="24"/>
        </w:rPr>
        <w:t xml:space="preserve"> – </w:t>
      </w:r>
      <w:r>
        <w:rPr>
          <w:rFonts w:ascii="Arial Narrow" w:hAnsi="Arial Narrow" w:cs="Times New Roman"/>
          <w:sz w:val="24"/>
          <w:szCs w:val="24"/>
        </w:rPr>
        <w:t xml:space="preserve">ένας από τους μεγαλύτερους ενεργειακούς ομίλους της περιοχής </w:t>
      </w:r>
    </w:p>
    <w:p w14:paraId="708FFC5B" w14:textId="32EE76AD" w:rsidR="001A2C9B" w:rsidRPr="000834C4" w:rsidRDefault="00BF33F0" w:rsidP="00E923A4">
      <w:pPr>
        <w:spacing w:before="120" w:after="120"/>
        <w:jc w:val="both"/>
        <w:rPr>
          <w:rFonts w:ascii="Arial Narrow" w:hAnsi="Arial Narrow" w:cs="Times New Roman"/>
          <w:b/>
          <w:color w:val="548DD4" w:themeColor="text2" w:themeTint="99"/>
          <w:sz w:val="28"/>
          <w:szCs w:val="28"/>
        </w:rPr>
      </w:pPr>
      <w:r>
        <w:rPr>
          <w:rFonts w:ascii="Arial Narrow" w:hAnsi="Arial Narrow" w:cs="Times New Roman"/>
          <w:b/>
          <w:color w:val="548DD4" w:themeColor="text2" w:themeTint="99"/>
          <w:sz w:val="28"/>
          <w:szCs w:val="28"/>
        </w:rPr>
        <w:t xml:space="preserve">3.8. </w:t>
      </w:r>
      <w:r w:rsidR="00127E38" w:rsidRPr="000834C4">
        <w:rPr>
          <w:rFonts w:ascii="Arial Narrow" w:hAnsi="Arial Narrow" w:cs="Times New Roman"/>
          <w:b/>
          <w:color w:val="548DD4" w:themeColor="text2" w:themeTint="99"/>
          <w:sz w:val="28"/>
          <w:szCs w:val="28"/>
        </w:rPr>
        <w:t xml:space="preserve">Ενεργειακή Στρατηγική 2050 – Ηνωμένα Αραβικά Εμιράτα </w:t>
      </w:r>
    </w:p>
    <w:p w14:paraId="568F3B1E" w14:textId="1D734FA7" w:rsidR="00127E38" w:rsidRDefault="009C13DC" w:rsidP="00E923A4">
      <w:pPr>
        <w:spacing w:before="120" w:after="120"/>
        <w:jc w:val="both"/>
        <w:rPr>
          <w:rFonts w:ascii="Arial Narrow" w:hAnsi="Arial Narrow" w:cs="Times New Roman"/>
          <w:color w:val="000000" w:themeColor="text1"/>
          <w:sz w:val="24"/>
          <w:szCs w:val="24"/>
        </w:rPr>
      </w:pPr>
      <w:r>
        <w:rPr>
          <w:rFonts w:ascii="Arial Narrow" w:hAnsi="Arial Narrow" w:cs="Times New Roman"/>
          <w:color w:val="000000" w:themeColor="text1"/>
          <w:sz w:val="24"/>
          <w:szCs w:val="24"/>
        </w:rPr>
        <w:t xml:space="preserve">Η εν λόγω </w:t>
      </w:r>
      <w:r w:rsidR="001F4456">
        <w:rPr>
          <w:rFonts w:ascii="Arial Narrow" w:hAnsi="Arial Narrow" w:cs="Times New Roman"/>
          <w:color w:val="000000" w:themeColor="text1"/>
          <w:sz w:val="24"/>
          <w:szCs w:val="24"/>
        </w:rPr>
        <w:t xml:space="preserve">ενεργειακή στρατηγική προβλέπει οι Ανανεώσιμες Πηγές Ενέργειας να αποτελούν το 44% των ενεργειακών αναγκών της χώρας με χρονικό ορίζοντα έως το 2050. Άλλες πηγές κάλυψης των ενεργειακών αναγκών είναι το φ/α με ποσοστό 38% έως το 2050, η πυρηνική ενέργεια με ποσοστό 6% και οι καθαρές τεχνολογίες με ποσοστό 12%. Στόχος της συγεκριμένης ενεργειακής στρατηγικής είναι η μείωση των εκπομπών άνθρακα έως και 70%, η εξοικονόμηση άνω των 700 δις </w:t>
      </w:r>
      <w:r w:rsidR="001F4456">
        <w:rPr>
          <w:rFonts w:ascii="Arial Narrow" w:hAnsi="Arial Narrow" w:cs="Times New Roman"/>
          <w:color w:val="000000" w:themeColor="text1"/>
          <w:sz w:val="24"/>
          <w:szCs w:val="24"/>
          <w:lang w:val="en-US"/>
        </w:rPr>
        <w:t>AED</w:t>
      </w:r>
      <w:r w:rsidR="001F4456" w:rsidRPr="001F4456">
        <w:rPr>
          <w:rFonts w:ascii="Arial Narrow" w:hAnsi="Arial Narrow" w:cs="Times New Roman"/>
          <w:color w:val="000000" w:themeColor="text1"/>
          <w:sz w:val="24"/>
          <w:szCs w:val="24"/>
        </w:rPr>
        <w:t xml:space="preserve"> (</w:t>
      </w:r>
      <w:r w:rsidR="0026205A">
        <w:rPr>
          <w:rFonts w:ascii="Arial Narrow" w:hAnsi="Arial Narrow" w:cs="Times New Roman"/>
          <w:color w:val="000000" w:themeColor="text1"/>
          <w:sz w:val="24"/>
          <w:szCs w:val="24"/>
        </w:rPr>
        <w:t>Ντίρχαμ) και η κλιματική ουδετερότητα έως το 2050.</w:t>
      </w:r>
    </w:p>
    <w:p w14:paraId="7A6C5EF7" w14:textId="078FAF59" w:rsidR="0026205A" w:rsidRPr="000834C4" w:rsidRDefault="00BF33F0" w:rsidP="00E923A4">
      <w:pPr>
        <w:spacing w:before="120" w:after="120"/>
        <w:jc w:val="both"/>
        <w:rPr>
          <w:rFonts w:ascii="Arial Narrow" w:hAnsi="Arial Narrow" w:cs="Times New Roman"/>
          <w:b/>
          <w:color w:val="548DD4" w:themeColor="text2" w:themeTint="99"/>
          <w:sz w:val="28"/>
          <w:szCs w:val="28"/>
        </w:rPr>
      </w:pPr>
      <w:r>
        <w:rPr>
          <w:rFonts w:ascii="Arial Narrow" w:hAnsi="Arial Narrow" w:cs="Times New Roman"/>
          <w:b/>
          <w:color w:val="548DD4" w:themeColor="text2" w:themeTint="99"/>
          <w:sz w:val="28"/>
          <w:szCs w:val="28"/>
        </w:rPr>
        <w:t xml:space="preserve">3.9. </w:t>
      </w:r>
      <w:r w:rsidR="0026205A" w:rsidRPr="000834C4">
        <w:rPr>
          <w:rFonts w:ascii="Arial Narrow" w:hAnsi="Arial Narrow" w:cs="Times New Roman"/>
          <w:b/>
          <w:color w:val="548DD4" w:themeColor="text2" w:themeTint="99"/>
          <w:sz w:val="28"/>
          <w:szCs w:val="28"/>
        </w:rPr>
        <w:t>Ενεργειακές Επενδύσεις 2025-2035</w:t>
      </w:r>
    </w:p>
    <w:p w14:paraId="6EBD63D9" w14:textId="60A4310D" w:rsidR="0026205A" w:rsidRDefault="0026205A" w:rsidP="00E923A4">
      <w:pPr>
        <w:spacing w:before="120" w:after="120"/>
        <w:jc w:val="both"/>
        <w:rPr>
          <w:rFonts w:ascii="Arial Narrow" w:hAnsi="Arial Narrow" w:cs="Times New Roman"/>
          <w:sz w:val="24"/>
          <w:szCs w:val="24"/>
        </w:rPr>
      </w:pPr>
      <w:r>
        <w:rPr>
          <w:rFonts w:ascii="Arial Narrow" w:hAnsi="Arial Narrow" w:cs="Times New Roman"/>
          <w:sz w:val="24"/>
          <w:szCs w:val="24"/>
        </w:rPr>
        <w:t>Οι εκτιμώμενες επενδύσεις στη προσεχή δεκαετία, 2025-2035, ανά τομέα εκτιμώνται ως εξής: για το πετρέλαιο και το φ/α έως 150 δις $</w:t>
      </w:r>
      <w:r w:rsidR="00A753CD">
        <w:rPr>
          <w:rFonts w:ascii="Arial Narrow" w:hAnsi="Arial Narrow" w:cs="Times New Roman"/>
          <w:sz w:val="24"/>
          <w:szCs w:val="24"/>
        </w:rPr>
        <w:t>, για τις ΑΠΕ έως 50+ δις $</w:t>
      </w:r>
      <w:r w:rsidR="00E117BE">
        <w:rPr>
          <w:rFonts w:ascii="Arial Narrow" w:hAnsi="Arial Narrow" w:cs="Times New Roman"/>
          <w:sz w:val="24"/>
          <w:szCs w:val="24"/>
        </w:rPr>
        <w:t xml:space="preserve">, για το υδρογόνο </w:t>
      </w:r>
      <w:r w:rsidR="00681574">
        <w:rPr>
          <w:rFonts w:ascii="Arial Narrow" w:hAnsi="Arial Narrow" w:cs="Times New Roman"/>
          <w:sz w:val="24"/>
          <w:szCs w:val="24"/>
        </w:rPr>
        <w:t>έως και 15+ δις $ και για τα δίκτυα ηλεκτρισμού έως και 20+ δις $.</w:t>
      </w:r>
    </w:p>
    <w:p w14:paraId="15FAA5C7" w14:textId="40685747" w:rsidR="00681574" w:rsidRPr="000834C4" w:rsidRDefault="00BF33F0" w:rsidP="00E923A4">
      <w:pPr>
        <w:spacing w:before="120" w:after="120"/>
        <w:jc w:val="both"/>
        <w:rPr>
          <w:rFonts w:ascii="Arial Narrow" w:hAnsi="Arial Narrow" w:cs="Times New Roman"/>
          <w:b/>
          <w:color w:val="548DD4" w:themeColor="text2" w:themeTint="99"/>
          <w:sz w:val="28"/>
          <w:szCs w:val="28"/>
        </w:rPr>
      </w:pPr>
      <w:r>
        <w:rPr>
          <w:rFonts w:ascii="Arial Narrow" w:hAnsi="Arial Narrow" w:cs="Times New Roman"/>
          <w:b/>
          <w:color w:val="548DD4" w:themeColor="text2" w:themeTint="99"/>
          <w:sz w:val="28"/>
          <w:szCs w:val="28"/>
        </w:rPr>
        <w:t>3.10.</w:t>
      </w:r>
      <w:r w:rsidR="00681574" w:rsidRPr="000834C4">
        <w:rPr>
          <w:rFonts w:ascii="Arial Narrow" w:hAnsi="Arial Narrow" w:cs="Times New Roman"/>
          <w:b/>
          <w:color w:val="548DD4" w:themeColor="text2" w:themeTint="99"/>
          <w:sz w:val="28"/>
          <w:szCs w:val="28"/>
        </w:rPr>
        <w:t xml:space="preserve"> Προκλήσεις – Εξωτερικές – Εσωτερικές </w:t>
      </w:r>
    </w:p>
    <w:p w14:paraId="41555C20" w14:textId="77777777" w:rsidR="00681574" w:rsidRDefault="00681574" w:rsidP="00E923A4">
      <w:pPr>
        <w:spacing w:before="120" w:after="120"/>
        <w:jc w:val="both"/>
        <w:rPr>
          <w:rFonts w:ascii="Arial Narrow" w:hAnsi="Arial Narrow" w:cs="Times New Roman"/>
          <w:sz w:val="24"/>
          <w:szCs w:val="24"/>
        </w:rPr>
      </w:pPr>
      <w:r>
        <w:rPr>
          <w:rFonts w:ascii="Arial Narrow" w:hAnsi="Arial Narrow" w:cs="Times New Roman"/>
          <w:sz w:val="24"/>
          <w:szCs w:val="24"/>
        </w:rPr>
        <w:t>Στις εξωτερικές προκλήσεις συγκαταλέγονται η μεταβλητότητα των τιμών του πετρελαίου, η ενεργειακή μετάβαση και ο ανταγωνισμός από νέους παραγωγούς.</w:t>
      </w:r>
    </w:p>
    <w:p w14:paraId="1A6C0313" w14:textId="77777777" w:rsidR="00681574" w:rsidRDefault="00681574" w:rsidP="00E923A4">
      <w:pPr>
        <w:spacing w:before="120" w:after="120"/>
        <w:jc w:val="both"/>
        <w:rPr>
          <w:rFonts w:ascii="Arial Narrow" w:hAnsi="Arial Narrow" w:cs="Times New Roman"/>
          <w:sz w:val="24"/>
          <w:szCs w:val="24"/>
        </w:rPr>
      </w:pPr>
      <w:r>
        <w:rPr>
          <w:rFonts w:ascii="Arial Narrow" w:hAnsi="Arial Narrow" w:cs="Times New Roman"/>
          <w:sz w:val="24"/>
          <w:szCs w:val="24"/>
        </w:rPr>
        <w:t>Στις εσωτερικές προκλησεις συγκαταλέγονται η υψηλή κατανάλωση ηλεκτρικής ενέργειας, η ανάγκη αποθήκευσης ενέργειας και η αυξανόμενη ζήτηση και αφαλάτωσης.</w:t>
      </w:r>
    </w:p>
    <w:p w14:paraId="13D7B5B9" w14:textId="101EC9AE" w:rsidR="00681574" w:rsidRPr="000834C4" w:rsidRDefault="00BF33F0" w:rsidP="00E923A4">
      <w:pPr>
        <w:spacing w:before="120" w:after="120"/>
        <w:jc w:val="both"/>
        <w:rPr>
          <w:rFonts w:ascii="Arial Narrow" w:hAnsi="Arial Narrow" w:cs="Times New Roman"/>
          <w:b/>
          <w:color w:val="548DD4" w:themeColor="text2" w:themeTint="99"/>
          <w:sz w:val="28"/>
          <w:szCs w:val="28"/>
        </w:rPr>
      </w:pPr>
      <w:r>
        <w:rPr>
          <w:rFonts w:ascii="Arial Narrow" w:hAnsi="Arial Narrow" w:cs="Times New Roman"/>
          <w:b/>
          <w:color w:val="548DD4" w:themeColor="text2" w:themeTint="99"/>
          <w:sz w:val="28"/>
          <w:szCs w:val="28"/>
        </w:rPr>
        <w:t xml:space="preserve">3.11. </w:t>
      </w:r>
      <w:r w:rsidR="00681574" w:rsidRPr="000834C4">
        <w:rPr>
          <w:rFonts w:ascii="Arial Narrow" w:hAnsi="Arial Narrow" w:cs="Times New Roman"/>
          <w:b/>
          <w:color w:val="548DD4" w:themeColor="text2" w:themeTint="99"/>
          <w:sz w:val="28"/>
          <w:szCs w:val="28"/>
        </w:rPr>
        <w:t xml:space="preserve"> Προοπτικές έως το 2035 – Συμπέρασμα </w:t>
      </w:r>
    </w:p>
    <w:p w14:paraId="66F8273E" w14:textId="16C0FCE8" w:rsidR="00681574" w:rsidRDefault="00681574" w:rsidP="00E923A4">
      <w:pPr>
        <w:spacing w:before="120" w:after="120"/>
        <w:jc w:val="both"/>
        <w:rPr>
          <w:rFonts w:ascii="Arial Narrow" w:hAnsi="Arial Narrow" w:cs="Times New Roman"/>
          <w:sz w:val="24"/>
          <w:szCs w:val="24"/>
        </w:rPr>
      </w:pPr>
      <w:r>
        <w:rPr>
          <w:rFonts w:ascii="Arial Narrow" w:hAnsi="Arial Narrow" w:cs="Times New Roman"/>
          <w:sz w:val="24"/>
          <w:szCs w:val="24"/>
        </w:rPr>
        <w:t>Ο ενεργειακός τομέας των Ηνωμένων Αραβκών Εμιράτων αναμένεται να εξελιχθεί σε ένα από τα πλέον διαφοροποιημένα ενεργειακά συστήματα παγκοσμίως. Η χώρα θα συνεχίσει να αποτελεί κορυφαίο εξαγωγέα πετρελαίου και φ/α, ενώ παράλληλα θα ενισχύσει τη θέση της στις ΑΠΕ, στην πυρηνική ενέργεια και στο υδρογόνο.</w:t>
      </w:r>
    </w:p>
    <w:p w14:paraId="04B313F2" w14:textId="1E05628E" w:rsidR="00681574" w:rsidRPr="00BD2312" w:rsidRDefault="00681574" w:rsidP="00E923A4">
      <w:pPr>
        <w:spacing w:before="120" w:after="120"/>
        <w:jc w:val="both"/>
        <w:rPr>
          <w:rFonts w:ascii="Arial Narrow" w:hAnsi="Arial Narrow" w:cs="Times New Roman"/>
          <w:sz w:val="24"/>
          <w:szCs w:val="24"/>
        </w:rPr>
      </w:pPr>
      <w:r>
        <w:rPr>
          <w:rFonts w:ascii="Arial Narrow" w:hAnsi="Arial Narrow" w:cs="Times New Roman"/>
          <w:sz w:val="24"/>
          <w:szCs w:val="24"/>
        </w:rPr>
        <w:t>Τα Ηνωμένα Αραβικά Εμιράτα διαθέτουν έναν από τους ισχυρότερους και πλέον στρατηγικούς ενεργειακούς τομείς διεθνώς. Με αποθέματα άνω των 113 δις βαρελιών πετρελαίου, περίπου 290 δις κυβικών ποδών φ/α</w:t>
      </w:r>
      <w:r w:rsidR="00BD2312">
        <w:rPr>
          <w:rFonts w:ascii="Arial Narrow" w:hAnsi="Arial Narrow" w:cs="Times New Roman"/>
          <w:sz w:val="24"/>
          <w:szCs w:val="24"/>
        </w:rPr>
        <w:t xml:space="preserve">, προηγμένες ενεργειακές υποδομές, το πυρηνικό πρόγραμμα </w:t>
      </w:r>
      <w:r w:rsidR="00BD2312">
        <w:rPr>
          <w:rFonts w:ascii="Arial Narrow" w:hAnsi="Arial Narrow" w:cs="Times New Roman"/>
          <w:sz w:val="24"/>
          <w:szCs w:val="24"/>
          <w:lang w:val="en-US"/>
        </w:rPr>
        <w:t>Barakah</w:t>
      </w:r>
      <w:r w:rsidR="00BD2312" w:rsidRPr="00BD2312">
        <w:rPr>
          <w:rFonts w:ascii="Arial Narrow" w:hAnsi="Arial Narrow" w:cs="Times New Roman"/>
          <w:sz w:val="24"/>
          <w:szCs w:val="24"/>
        </w:rPr>
        <w:t xml:space="preserve"> </w:t>
      </w:r>
      <w:r w:rsidR="00BD2312">
        <w:rPr>
          <w:rFonts w:ascii="Arial Narrow" w:hAnsi="Arial Narrow" w:cs="Times New Roman"/>
          <w:sz w:val="24"/>
          <w:szCs w:val="24"/>
        </w:rPr>
        <w:t>και τεράστιες επενδύσεις στις ΑΠΕ και το υδρογόνο, τα Ηνωμένα Αραβικά Εμιράτα διαμορφώνουν ένα ενεργειακό μοντέλο που συνδυάζει την παραδοσιακή ισχύ των υδρογονανθράκων με την ενεργειακή μετάβαση και τη πράσινη ανάπτυξη.</w:t>
      </w:r>
    </w:p>
    <w:p w14:paraId="200249E3" w14:textId="5F1EF14A" w:rsidR="000F4F42" w:rsidRPr="00205BE4" w:rsidRDefault="00BF33F0" w:rsidP="00BF33F0">
      <w:pPr>
        <w:spacing w:before="120" w:after="120"/>
        <w:jc w:val="center"/>
        <w:rPr>
          <w:rFonts w:ascii="Arial Narrow" w:hAnsi="Arial Narrow" w:cs="Times New Roman"/>
          <w:b/>
          <w:color w:val="548DD4" w:themeColor="text2" w:themeTint="99"/>
          <w:sz w:val="28"/>
          <w:szCs w:val="28"/>
        </w:rPr>
      </w:pPr>
      <w:r>
        <w:rPr>
          <w:rFonts w:ascii="Arial Narrow" w:hAnsi="Arial Narrow" w:cs="Times New Roman"/>
          <w:b/>
          <w:color w:val="548DD4" w:themeColor="text2" w:themeTint="99"/>
          <w:sz w:val="28"/>
          <w:szCs w:val="28"/>
        </w:rPr>
        <w:t xml:space="preserve">4.1. </w:t>
      </w:r>
      <w:r w:rsidR="000F4F42" w:rsidRPr="00205BE4">
        <w:rPr>
          <w:rFonts w:ascii="Arial Narrow" w:hAnsi="Arial Narrow" w:cs="Times New Roman"/>
          <w:b/>
          <w:color w:val="548DD4" w:themeColor="text2" w:themeTint="99"/>
          <w:sz w:val="28"/>
          <w:szCs w:val="28"/>
        </w:rPr>
        <w:t>ΤΟΜΕΑΣ ΠΕΤΡΕΛΑΙΟΥ ΣΤΑ ΗΝΩΜΕΝΑ ΑΡΑΒΙΚΑ ΕΜΙΡΑΤΑ</w:t>
      </w:r>
    </w:p>
    <w:p w14:paraId="6BCE987B" w14:textId="4E787354" w:rsidR="000F4F42" w:rsidRPr="000834C4" w:rsidRDefault="00BF33F0" w:rsidP="00E923A4">
      <w:pPr>
        <w:spacing w:before="120" w:after="120"/>
        <w:jc w:val="both"/>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4.1.1. </w:t>
      </w:r>
      <w:r w:rsidR="000F4F42" w:rsidRPr="000834C4">
        <w:rPr>
          <w:rFonts w:ascii="Arial Narrow" w:hAnsi="Arial Narrow" w:cs="Times New Roman"/>
          <w:b/>
          <w:color w:val="548DD4" w:themeColor="text2" w:themeTint="99"/>
          <w:sz w:val="24"/>
          <w:szCs w:val="24"/>
        </w:rPr>
        <w:t xml:space="preserve">Γενική Επισκόπηση </w:t>
      </w:r>
    </w:p>
    <w:p w14:paraId="416826A8" w14:textId="0D59D4C8" w:rsidR="000F4F42" w:rsidRDefault="000F4F42"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Ο πετρελαϊκός τομέας αποτελεί διαχρονικά τον σημαντικότερο στρατηγικό κλάδο της οικονομίας των Ηνωμένων Αραβικών Εμιράτων παρόλο </w:t>
      </w:r>
      <w:r w:rsidR="00F02DED">
        <w:rPr>
          <w:rFonts w:ascii="Arial Narrow" w:hAnsi="Arial Narrow" w:cs="Times New Roman"/>
          <w:sz w:val="24"/>
          <w:szCs w:val="24"/>
        </w:rPr>
        <w:t xml:space="preserve">που τα τελευταία χρόνια η χώρα ακολουθεί πολιτική οικονομικής διαφοροποίησης. Τα Ηνωμένα Αραβικά Εμιράτα συγκαταλέγονται μεταξύ των μεγαλύτερων παραγωγών και εξαγωγέων πετρελαίου παγκοσμίως, διαθέτοντας τα έκτα μεγαλύτερα αποδεδειγμένα αποθέματα αργού πετρελαίου στο κόσμο. Κυρίαρχος φορέας του κλάδου είναι η </w:t>
      </w:r>
      <w:r w:rsidR="00F02DED">
        <w:rPr>
          <w:rFonts w:ascii="Arial Narrow" w:hAnsi="Arial Narrow" w:cs="Times New Roman"/>
          <w:sz w:val="24"/>
          <w:szCs w:val="24"/>
          <w:lang w:val="en-US"/>
        </w:rPr>
        <w:t>Abu</w:t>
      </w:r>
      <w:r w:rsidR="00F02DED" w:rsidRPr="00F02DED">
        <w:rPr>
          <w:rFonts w:ascii="Arial Narrow" w:hAnsi="Arial Narrow" w:cs="Times New Roman"/>
          <w:sz w:val="24"/>
          <w:szCs w:val="24"/>
        </w:rPr>
        <w:t xml:space="preserve"> </w:t>
      </w:r>
      <w:r w:rsidR="00F02DED">
        <w:rPr>
          <w:rFonts w:ascii="Arial Narrow" w:hAnsi="Arial Narrow" w:cs="Times New Roman"/>
          <w:sz w:val="24"/>
          <w:szCs w:val="24"/>
          <w:lang w:val="en-US"/>
        </w:rPr>
        <w:t>Dhabi</w:t>
      </w:r>
      <w:r w:rsidR="00F02DED" w:rsidRPr="00F02DED">
        <w:rPr>
          <w:rFonts w:ascii="Arial Narrow" w:hAnsi="Arial Narrow" w:cs="Times New Roman"/>
          <w:sz w:val="24"/>
          <w:szCs w:val="24"/>
        </w:rPr>
        <w:t xml:space="preserve"> </w:t>
      </w:r>
      <w:r w:rsidR="00F02DED">
        <w:rPr>
          <w:rFonts w:ascii="Arial Narrow" w:hAnsi="Arial Narrow" w:cs="Times New Roman"/>
          <w:sz w:val="24"/>
          <w:szCs w:val="24"/>
          <w:lang w:val="en-US"/>
        </w:rPr>
        <w:t>National</w:t>
      </w:r>
      <w:r w:rsidR="00F02DED" w:rsidRPr="00F02DED">
        <w:rPr>
          <w:rFonts w:ascii="Arial Narrow" w:hAnsi="Arial Narrow" w:cs="Times New Roman"/>
          <w:sz w:val="24"/>
          <w:szCs w:val="24"/>
        </w:rPr>
        <w:t xml:space="preserve"> </w:t>
      </w:r>
      <w:r w:rsidR="00F02DED">
        <w:rPr>
          <w:rFonts w:ascii="Arial Narrow" w:hAnsi="Arial Narrow" w:cs="Times New Roman"/>
          <w:sz w:val="24"/>
          <w:szCs w:val="24"/>
          <w:lang w:val="en-US"/>
        </w:rPr>
        <w:t>Oil</w:t>
      </w:r>
      <w:r w:rsidR="00F02DED" w:rsidRPr="00F02DED">
        <w:rPr>
          <w:rFonts w:ascii="Arial Narrow" w:hAnsi="Arial Narrow" w:cs="Times New Roman"/>
          <w:sz w:val="24"/>
          <w:szCs w:val="24"/>
        </w:rPr>
        <w:t xml:space="preserve"> </w:t>
      </w:r>
      <w:r w:rsidR="00F02DED">
        <w:rPr>
          <w:rFonts w:ascii="Arial Narrow" w:hAnsi="Arial Narrow" w:cs="Times New Roman"/>
          <w:sz w:val="24"/>
          <w:szCs w:val="24"/>
          <w:lang w:val="en-US"/>
        </w:rPr>
        <w:t>Company</w:t>
      </w:r>
      <w:r w:rsidR="00F02DED" w:rsidRPr="00F02DED">
        <w:rPr>
          <w:rFonts w:ascii="Arial Narrow" w:hAnsi="Arial Narrow" w:cs="Times New Roman"/>
          <w:sz w:val="24"/>
          <w:szCs w:val="24"/>
        </w:rPr>
        <w:t xml:space="preserve"> (</w:t>
      </w:r>
      <w:r w:rsidR="00F02DED">
        <w:rPr>
          <w:rFonts w:ascii="Arial Narrow" w:hAnsi="Arial Narrow" w:cs="Times New Roman"/>
          <w:sz w:val="24"/>
          <w:szCs w:val="24"/>
          <w:lang w:val="en-US"/>
        </w:rPr>
        <w:t>ADNOC</w:t>
      </w:r>
      <w:r w:rsidR="00F02DED" w:rsidRPr="00F02DED">
        <w:rPr>
          <w:rFonts w:ascii="Arial Narrow" w:hAnsi="Arial Narrow" w:cs="Times New Roman"/>
          <w:sz w:val="24"/>
          <w:szCs w:val="24"/>
        </w:rPr>
        <w:t>),</w:t>
      </w:r>
      <w:r w:rsidR="00532F68">
        <w:rPr>
          <w:rFonts w:ascii="Arial Narrow" w:hAnsi="Arial Narrow" w:cs="Times New Roman"/>
          <w:sz w:val="24"/>
          <w:szCs w:val="24"/>
        </w:rPr>
        <w:t xml:space="preserve"> η οποία ελέγχει το μεγαλύτερο μέρος της έρευνας, παραγωγής, διϋλισης, εμπορίας και εξαγωγών πετρελαίου της χώρας. Τα Ηνωμένα Αραβικά Εμιράτα διαθέτουν ως αποδεδειγμένα αποθέματα πετρελαίου έως και 113 δις βαρέλια, τοποθετώντας τη χώρα στην 6</w:t>
      </w:r>
      <w:r w:rsidR="00532F68" w:rsidRPr="00532F68">
        <w:rPr>
          <w:rFonts w:ascii="Arial Narrow" w:hAnsi="Arial Narrow" w:cs="Times New Roman"/>
          <w:sz w:val="24"/>
          <w:szCs w:val="24"/>
          <w:vertAlign w:val="superscript"/>
        </w:rPr>
        <w:t>η</w:t>
      </w:r>
      <w:r w:rsidR="00532F68">
        <w:rPr>
          <w:rFonts w:ascii="Arial Narrow" w:hAnsi="Arial Narrow" w:cs="Times New Roman"/>
          <w:sz w:val="24"/>
          <w:szCs w:val="24"/>
        </w:rPr>
        <w:t xml:space="preserve"> θέση παγκοσμίως, με μερίδιο παγκόσμιων αποθεμάτων 6,4%. Τα μεγαλύτερα κοιτάσματα βρίσκονται στο Εμιράτο του</w:t>
      </w:r>
      <w:r w:rsidR="00900B0E" w:rsidRPr="00900B0E">
        <w:rPr>
          <w:rFonts w:ascii="Arial Narrow" w:hAnsi="Arial Narrow" w:cs="Times New Roman"/>
          <w:sz w:val="24"/>
          <w:szCs w:val="24"/>
        </w:rPr>
        <w:t xml:space="preserve"> </w:t>
      </w:r>
      <w:r w:rsidR="00900B0E">
        <w:rPr>
          <w:rFonts w:ascii="Arial Narrow" w:hAnsi="Arial Narrow" w:cs="Times New Roman"/>
          <w:sz w:val="24"/>
          <w:szCs w:val="24"/>
          <w:lang w:val="en-US"/>
        </w:rPr>
        <w:t>Abu</w:t>
      </w:r>
      <w:r w:rsidR="00900B0E" w:rsidRPr="00900B0E">
        <w:rPr>
          <w:rFonts w:ascii="Arial Narrow" w:hAnsi="Arial Narrow" w:cs="Times New Roman"/>
          <w:sz w:val="24"/>
          <w:szCs w:val="24"/>
        </w:rPr>
        <w:t xml:space="preserve"> – </w:t>
      </w:r>
      <w:r w:rsidR="00900B0E">
        <w:rPr>
          <w:rFonts w:ascii="Arial Narrow" w:hAnsi="Arial Narrow" w:cs="Times New Roman"/>
          <w:sz w:val="24"/>
          <w:szCs w:val="24"/>
          <w:lang w:val="en-US"/>
        </w:rPr>
        <w:t>Dhabi</w:t>
      </w:r>
      <w:r w:rsidR="00900B0E" w:rsidRPr="00900B0E">
        <w:rPr>
          <w:rFonts w:ascii="Arial Narrow" w:hAnsi="Arial Narrow" w:cs="Times New Roman"/>
          <w:sz w:val="24"/>
          <w:szCs w:val="24"/>
        </w:rPr>
        <w:t xml:space="preserve">, </w:t>
      </w:r>
      <w:r w:rsidR="00900B0E">
        <w:rPr>
          <w:rFonts w:ascii="Arial Narrow" w:hAnsi="Arial Narrow" w:cs="Times New Roman"/>
          <w:sz w:val="24"/>
          <w:szCs w:val="24"/>
        </w:rPr>
        <w:t xml:space="preserve">το οποίο κατέχει περίπου το 95% των συνολικών αποθεμάτων της χώρας. </w:t>
      </w:r>
    </w:p>
    <w:p w14:paraId="4A44A32B" w14:textId="262667DB" w:rsidR="00900B0E" w:rsidRDefault="00900B0E"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Η παραγωγική ικανότητα των Ηνωμένων Αραβικών Εμιράτων αυξάνεται σταθερά μέσω κυρίως μεγάλων επενδύσεων στις οποίες δραστηριοποιείται η </w:t>
      </w:r>
      <w:r>
        <w:rPr>
          <w:rFonts w:ascii="Arial Narrow" w:hAnsi="Arial Narrow" w:cs="Times New Roman"/>
          <w:sz w:val="24"/>
          <w:szCs w:val="24"/>
          <w:lang w:val="en-US"/>
        </w:rPr>
        <w:t>ADNOC</w:t>
      </w:r>
      <w:r w:rsidRPr="00900B0E">
        <w:rPr>
          <w:rFonts w:ascii="Arial Narrow" w:hAnsi="Arial Narrow" w:cs="Times New Roman"/>
          <w:sz w:val="24"/>
          <w:szCs w:val="24"/>
        </w:rPr>
        <w:t>.</w:t>
      </w:r>
      <w:r w:rsidR="00324594">
        <w:rPr>
          <w:rFonts w:ascii="Arial Narrow" w:hAnsi="Arial Narrow" w:cs="Times New Roman"/>
          <w:sz w:val="24"/>
          <w:szCs w:val="24"/>
        </w:rPr>
        <w:t xml:space="preserve"> Η παραγωγική της ικανότητα εξελλίσσετα</w:t>
      </w:r>
      <w:r w:rsidR="005F15B2">
        <w:rPr>
          <w:rFonts w:ascii="Arial Narrow" w:hAnsi="Arial Narrow" w:cs="Times New Roman"/>
          <w:sz w:val="24"/>
          <w:szCs w:val="24"/>
        </w:rPr>
        <w:t xml:space="preserve">ι χρονολογικά: για το 2016 η ικανότητα παραγωγής ανερχόταν σε 3,1 εκατ. βαρέλια ημερησίως, για το 2024 η ικανότητα παραγωγής ανήλθε σε 4,5 εκατ. βαρέλια ημερησίως, για το 2025 σε 4,85 εκατ. βαρέλια ημερησίως και ο στόχος για το 2027 ανέρχεται στα 5,0 εκατ. βαρέλια ημερησίως. Η </w:t>
      </w:r>
      <w:r w:rsidR="005F15B2">
        <w:rPr>
          <w:rFonts w:ascii="Arial Narrow" w:hAnsi="Arial Narrow" w:cs="Times New Roman"/>
          <w:sz w:val="24"/>
          <w:szCs w:val="24"/>
          <w:lang w:val="en-US"/>
        </w:rPr>
        <w:t>ADNOC</w:t>
      </w:r>
      <w:r w:rsidR="005F15B2" w:rsidRPr="00322C65">
        <w:rPr>
          <w:rFonts w:ascii="Arial Narrow" w:hAnsi="Arial Narrow" w:cs="Times New Roman"/>
          <w:sz w:val="24"/>
          <w:szCs w:val="24"/>
        </w:rPr>
        <w:t xml:space="preserve"> </w:t>
      </w:r>
      <w:r w:rsidR="005F15B2">
        <w:rPr>
          <w:rFonts w:ascii="Arial Narrow" w:hAnsi="Arial Narrow" w:cs="Times New Roman"/>
          <w:sz w:val="24"/>
          <w:szCs w:val="24"/>
        </w:rPr>
        <w:t>έχει ήδη αυξήσει την παραγωγικ</w:t>
      </w:r>
      <w:r w:rsidR="00322C65">
        <w:rPr>
          <w:rFonts w:ascii="Arial Narrow" w:hAnsi="Arial Narrow" w:cs="Times New Roman"/>
          <w:sz w:val="24"/>
          <w:szCs w:val="24"/>
        </w:rPr>
        <w:t>ή της ικανότητα στα 4,85 εκατ. βαρέλια ημερησίως και επιδιώκει την επίτευξη δυναμικότητας 5 εκατ. βαρελιών ημερησίως έως το 2027. Σύμφωνα δε με τον Διεθνή Οργανισμό Ενέργειας (</w:t>
      </w:r>
      <w:r w:rsidR="00322C65">
        <w:rPr>
          <w:rFonts w:ascii="Arial Narrow" w:hAnsi="Arial Narrow" w:cs="Times New Roman"/>
          <w:sz w:val="24"/>
          <w:szCs w:val="24"/>
          <w:lang w:val="en-US"/>
        </w:rPr>
        <w:t>IEA</w:t>
      </w:r>
      <w:r w:rsidR="00322C65" w:rsidRPr="00566EF6">
        <w:rPr>
          <w:rFonts w:ascii="Arial Narrow" w:hAnsi="Arial Narrow" w:cs="Times New Roman"/>
          <w:sz w:val="24"/>
          <w:szCs w:val="24"/>
        </w:rPr>
        <w:t xml:space="preserve">), </w:t>
      </w:r>
      <w:r w:rsidR="00566EF6">
        <w:rPr>
          <w:rFonts w:ascii="Arial Narrow" w:hAnsi="Arial Narrow" w:cs="Times New Roman"/>
          <w:sz w:val="24"/>
          <w:szCs w:val="24"/>
        </w:rPr>
        <w:t xml:space="preserve">η παραγωγή ενδέχεται να ξεπεράσει τα 5,2 εκατ. βαρέλια ημερησίως έως το 2027. </w:t>
      </w:r>
    </w:p>
    <w:p w14:paraId="2A6B0398" w14:textId="0C6B7C36" w:rsidR="00566EF6" w:rsidRDefault="00566EF6" w:rsidP="00E923A4">
      <w:pPr>
        <w:spacing w:before="120" w:after="120"/>
        <w:jc w:val="both"/>
        <w:rPr>
          <w:rFonts w:ascii="Arial Narrow" w:hAnsi="Arial Narrow" w:cs="Times New Roman"/>
          <w:sz w:val="24"/>
          <w:szCs w:val="24"/>
        </w:rPr>
      </w:pPr>
      <w:r>
        <w:rPr>
          <w:rFonts w:ascii="Arial Narrow" w:hAnsi="Arial Narrow" w:cs="Times New Roman"/>
          <w:sz w:val="24"/>
          <w:szCs w:val="24"/>
        </w:rPr>
        <w:t>Τα σημαντικότερα κοιτάσματα διαφοροποιούνται σε χερσαία (</w:t>
      </w:r>
      <w:r>
        <w:rPr>
          <w:rFonts w:ascii="Arial Narrow" w:hAnsi="Arial Narrow" w:cs="Times New Roman"/>
          <w:sz w:val="24"/>
          <w:szCs w:val="24"/>
          <w:lang w:val="en-US"/>
        </w:rPr>
        <w:t>Onshore</w:t>
      </w:r>
      <w:r w:rsidRPr="00566EF6">
        <w:rPr>
          <w:rFonts w:ascii="Arial Narrow" w:hAnsi="Arial Narrow" w:cs="Times New Roman"/>
          <w:sz w:val="24"/>
          <w:szCs w:val="24"/>
        </w:rPr>
        <w:t xml:space="preserve">) </w:t>
      </w:r>
      <w:r>
        <w:rPr>
          <w:rFonts w:ascii="Arial Narrow" w:hAnsi="Arial Narrow" w:cs="Times New Roman"/>
          <w:sz w:val="24"/>
          <w:szCs w:val="24"/>
        </w:rPr>
        <w:t>και σε υπεράκτια (</w:t>
      </w:r>
      <w:r>
        <w:rPr>
          <w:rFonts w:ascii="Arial Narrow" w:hAnsi="Arial Narrow" w:cs="Times New Roman"/>
          <w:sz w:val="24"/>
          <w:szCs w:val="24"/>
          <w:lang w:val="en-US"/>
        </w:rPr>
        <w:t>Offshore</w:t>
      </w:r>
      <w:r w:rsidRPr="00566EF6">
        <w:rPr>
          <w:rFonts w:ascii="Arial Narrow" w:hAnsi="Arial Narrow" w:cs="Times New Roman"/>
          <w:sz w:val="24"/>
          <w:szCs w:val="24"/>
        </w:rPr>
        <w:t xml:space="preserve">). </w:t>
      </w:r>
      <w:r w:rsidR="00B12EBD">
        <w:rPr>
          <w:rFonts w:ascii="Arial Narrow" w:hAnsi="Arial Narrow" w:cs="Times New Roman"/>
          <w:sz w:val="24"/>
          <w:szCs w:val="24"/>
        </w:rPr>
        <w:t>Τα</w:t>
      </w:r>
      <w:r w:rsidR="00B12EBD" w:rsidRPr="00781B51">
        <w:rPr>
          <w:rFonts w:ascii="Arial Narrow" w:hAnsi="Arial Narrow" w:cs="Times New Roman"/>
          <w:sz w:val="24"/>
          <w:szCs w:val="24"/>
          <w:lang w:val="en-AE"/>
        </w:rPr>
        <w:t xml:space="preserve"> </w:t>
      </w:r>
      <w:r w:rsidR="00B12EBD">
        <w:rPr>
          <w:rFonts w:ascii="Arial Narrow" w:hAnsi="Arial Narrow" w:cs="Times New Roman"/>
          <w:sz w:val="24"/>
          <w:szCs w:val="24"/>
        </w:rPr>
        <w:t>χερσαία</w:t>
      </w:r>
      <w:r w:rsidR="00B12EBD" w:rsidRPr="00781B51">
        <w:rPr>
          <w:rFonts w:ascii="Arial Narrow" w:hAnsi="Arial Narrow" w:cs="Times New Roman"/>
          <w:sz w:val="24"/>
          <w:szCs w:val="24"/>
          <w:lang w:val="en-AE"/>
        </w:rPr>
        <w:t xml:space="preserve"> </w:t>
      </w:r>
      <w:r w:rsidR="00B12EBD">
        <w:rPr>
          <w:rFonts w:ascii="Arial Narrow" w:hAnsi="Arial Narrow" w:cs="Times New Roman"/>
          <w:sz w:val="24"/>
          <w:szCs w:val="24"/>
        </w:rPr>
        <w:t>είναι</w:t>
      </w:r>
      <w:r w:rsidR="00781B51" w:rsidRPr="00781B51">
        <w:rPr>
          <w:rFonts w:ascii="Arial Narrow" w:hAnsi="Arial Narrow" w:cs="Times New Roman"/>
          <w:sz w:val="24"/>
          <w:szCs w:val="24"/>
          <w:lang w:val="en-AE"/>
        </w:rPr>
        <w:t xml:space="preserve"> </w:t>
      </w:r>
      <w:r w:rsidR="00781B51">
        <w:rPr>
          <w:rFonts w:ascii="Arial Narrow" w:hAnsi="Arial Narrow" w:cs="Times New Roman"/>
          <w:sz w:val="24"/>
          <w:szCs w:val="24"/>
        </w:rPr>
        <w:t>το</w:t>
      </w:r>
      <w:r w:rsidR="00781B51" w:rsidRPr="00781B51">
        <w:rPr>
          <w:rFonts w:ascii="Arial Narrow" w:hAnsi="Arial Narrow" w:cs="Times New Roman"/>
          <w:sz w:val="24"/>
          <w:szCs w:val="24"/>
          <w:lang w:val="en-AE"/>
        </w:rPr>
        <w:t xml:space="preserve"> </w:t>
      </w:r>
      <w:r w:rsidR="00781B51">
        <w:rPr>
          <w:rFonts w:ascii="Arial Narrow" w:hAnsi="Arial Narrow" w:cs="Times New Roman"/>
          <w:sz w:val="24"/>
          <w:szCs w:val="24"/>
          <w:lang w:val="en-US"/>
        </w:rPr>
        <w:t>Bu</w:t>
      </w:r>
      <w:r w:rsidR="00781B51" w:rsidRPr="00781B51">
        <w:rPr>
          <w:rFonts w:ascii="Arial Narrow" w:hAnsi="Arial Narrow" w:cs="Times New Roman"/>
          <w:sz w:val="24"/>
          <w:szCs w:val="24"/>
          <w:lang w:val="en-AE"/>
        </w:rPr>
        <w:t xml:space="preserve"> </w:t>
      </w:r>
      <w:r w:rsidR="00781B51">
        <w:rPr>
          <w:rFonts w:ascii="Arial Narrow" w:hAnsi="Arial Narrow" w:cs="Times New Roman"/>
          <w:sz w:val="24"/>
          <w:szCs w:val="24"/>
          <w:lang w:val="en-US"/>
        </w:rPr>
        <w:t>Hasa</w:t>
      </w:r>
      <w:r w:rsidR="00781B51" w:rsidRPr="00781B51">
        <w:rPr>
          <w:rFonts w:ascii="Arial Narrow" w:hAnsi="Arial Narrow" w:cs="Times New Roman"/>
          <w:sz w:val="24"/>
          <w:szCs w:val="24"/>
          <w:lang w:val="en-AE"/>
        </w:rPr>
        <w:t xml:space="preserve">, </w:t>
      </w:r>
      <w:r w:rsidR="00781B51">
        <w:rPr>
          <w:rFonts w:ascii="Arial Narrow" w:hAnsi="Arial Narrow" w:cs="Times New Roman"/>
          <w:sz w:val="24"/>
          <w:szCs w:val="24"/>
          <w:lang w:val="en-US"/>
        </w:rPr>
        <w:t>Bab</w:t>
      </w:r>
      <w:r w:rsidR="00781B51" w:rsidRPr="00781B51">
        <w:rPr>
          <w:rFonts w:ascii="Arial Narrow" w:hAnsi="Arial Narrow" w:cs="Times New Roman"/>
          <w:sz w:val="24"/>
          <w:szCs w:val="24"/>
          <w:lang w:val="en-AE"/>
        </w:rPr>
        <w:t xml:space="preserve">, </w:t>
      </w:r>
      <w:r w:rsidR="00781B51">
        <w:rPr>
          <w:rFonts w:ascii="Arial Narrow" w:hAnsi="Arial Narrow" w:cs="Times New Roman"/>
          <w:sz w:val="24"/>
          <w:szCs w:val="24"/>
          <w:lang w:val="en-US"/>
        </w:rPr>
        <w:t>Asab</w:t>
      </w:r>
      <w:r w:rsidR="00781B51" w:rsidRPr="00781B51">
        <w:rPr>
          <w:rFonts w:ascii="Arial Narrow" w:hAnsi="Arial Narrow" w:cs="Times New Roman"/>
          <w:sz w:val="24"/>
          <w:szCs w:val="24"/>
          <w:lang w:val="en-AE"/>
        </w:rPr>
        <w:t xml:space="preserve">, </w:t>
      </w:r>
      <w:r w:rsidR="00781B51">
        <w:rPr>
          <w:rFonts w:ascii="Arial Narrow" w:hAnsi="Arial Narrow" w:cs="Times New Roman"/>
          <w:sz w:val="24"/>
          <w:szCs w:val="24"/>
          <w:lang w:val="en-US"/>
        </w:rPr>
        <w:t>Sahil</w:t>
      </w:r>
      <w:r w:rsidR="00781B51" w:rsidRPr="00781B51">
        <w:rPr>
          <w:rFonts w:ascii="Arial Narrow" w:hAnsi="Arial Narrow" w:cs="Times New Roman"/>
          <w:sz w:val="24"/>
          <w:szCs w:val="24"/>
          <w:lang w:val="en-AE"/>
        </w:rPr>
        <w:t xml:space="preserve">, </w:t>
      </w:r>
      <w:r w:rsidR="00781B51">
        <w:rPr>
          <w:rFonts w:ascii="Arial Narrow" w:hAnsi="Arial Narrow" w:cs="Times New Roman"/>
          <w:sz w:val="24"/>
          <w:szCs w:val="24"/>
          <w:lang w:val="en-US"/>
        </w:rPr>
        <w:t>Shah</w:t>
      </w:r>
      <w:r w:rsidR="00781B51" w:rsidRPr="00781B51">
        <w:rPr>
          <w:rFonts w:ascii="Arial Narrow" w:hAnsi="Arial Narrow" w:cs="Times New Roman"/>
          <w:sz w:val="24"/>
          <w:szCs w:val="24"/>
          <w:lang w:val="en-AE"/>
        </w:rPr>
        <w:t xml:space="preserve"> &amp; </w:t>
      </w:r>
      <w:r w:rsidR="00781B51">
        <w:rPr>
          <w:rFonts w:ascii="Arial Narrow" w:hAnsi="Arial Narrow" w:cs="Times New Roman"/>
          <w:sz w:val="24"/>
          <w:szCs w:val="24"/>
          <w:lang w:val="en-US"/>
        </w:rPr>
        <w:t>North</w:t>
      </w:r>
      <w:r w:rsidR="00781B51" w:rsidRPr="00781B51">
        <w:rPr>
          <w:rFonts w:ascii="Arial Narrow" w:hAnsi="Arial Narrow" w:cs="Times New Roman"/>
          <w:sz w:val="24"/>
          <w:szCs w:val="24"/>
          <w:lang w:val="en-AE"/>
        </w:rPr>
        <w:t xml:space="preserve"> </w:t>
      </w:r>
      <w:r w:rsidR="00781B51">
        <w:rPr>
          <w:rFonts w:ascii="Arial Narrow" w:hAnsi="Arial Narrow" w:cs="Times New Roman"/>
          <w:sz w:val="24"/>
          <w:szCs w:val="24"/>
          <w:lang w:val="en-US"/>
        </w:rPr>
        <w:t>East</w:t>
      </w:r>
      <w:r w:rsidR="00781B51" w:rsidRPr="00781B51">
        <w:rPr>
          <w:rFonts w:ascii="Arial Narrow" w:hAnsi="Arial Narrow" w:cs="Times New Roman"/>
          <w:sz w:val="24"/>
          <w:szCs w:val="24"/>
          <w:lang w:val="en-AE"/>
        </w:rPr>
        <w:t xml:space="preserve"> </w:t>
      </w:r>
      <w:r w:rsidR="00781B51">
        <w:rPr>
          <w:rFonts w:ascii="Arial Narrow" w:hAnsi="Arial Narrow" w:cs="Times New Roman"/>
          <w:sz w:val="24"/>
          <w:szCs w:val="24"/>
          <w:lang w:val="en-US"/>
        </w:rPr>
        <w:t xml:space="preserve">Bab. </w:t>
      </w:r>
      <w:r w:rsidR="008A2497">
        <w:rPr>
          <w:rFonts w:ascii="Arial Narrow" w:hAnsi="Arial Narrow" w:cs="Times New Roman"/>
          <w:sz w:val="24"/>
          <w:szCs w:val="24"/>
        </w:rPr>
        <w:t>Τα</w:t>
      </w:r>
      <w:r w:rsidR="008A2497" w:rsidRPr="008A2497">
        <w:rPr>
          <w:rFonts w:ascii="Arial Narrow" w:hAnsi="Arial Narrow" w:cs="Times New Roman"/>
          <w:sz w:val="24"/>
          <w:szCs w:val="24"/>
          <w:lang w:val="en-US"/>
        </w:rPr>
        <w:t xml:space="preserve"> </w:t>
      </w:r>
      <w:r w:rsidR="008A2497">
        <w:rPr>
          <w:rFonts w:ascii="Arial Narrow" w:hAnsi="Arial Narrow" w:cs="Times New Roman"/>
          <w:sz w:val="24"/>
          <w:szCs w:val="24"/>
        </w:rPr>
        <w:t>υπεράκτια</w:t>
      </w:r>
      <w:r w:rsidR="008A2497" w:rsidRPr="008A2497">
        <w:rPr>
          <w:rFonts w:ascii="Arial Narrow" w:hAnsi="Arial Narrow" w:cs="Times New Roman"/>
          <w:sz w:val="24"/>
          <w:szCs w:val="24"/>
          <w:lang w:val="en-US"/>
        </w:rPr>
        <w:t xml:space="preserve"> </w:t>
      </w:r>
      <w:r w:rsidR="008A2497">
        <w:rPr>
          <w:rFonts w:ascii="Arial Narrow" w:hAnsi="Arial Narrow" w:cs="Times New Roman"/>
          <w:sz w:val="24"/>
          <w:szCs w:val="24"/>
        </w:rPr>
        <w:t>είναι</w:t>
      </w:r>
      <w:r w:rsidR="008A2497" w:rsidRPr="008A2497">
        <w:rPr>
          <w:rFonts w:ascii="Arial Narrow" w:hAnsi="Arial Narrow" w:cs="Times New Roman"/>
          <w:sz w:val="24"/>
          <w:szCs w:val="24"/>
          <w:lang w:val="en-US"/>
        </w:rPr>
        <w:t xml:space="preserve"> </w:t>
      </w:r>
      <w:r w:rsidR="008A2497">
        <w:rPr>
          <w:rFonts w:ascii="Arial Narrow" w:hAnsi="Arial Narrow" w:cs="Times New Roman"/>
          <w:sz w:val="24"/>
          <w:szCs w:val="24"/>
        </w:rPr>
        <w:t>το</w:t>
      </w:r>
      <w:r w:rsidR="008A2497" w:rsidRPr="008A2497">
        <w:rPr>
          <w:rFonts w:ascii="Arial Narrow" w:hAnsi="Arial Narrow" w:cs="Times New Roman"/>
          <w:sz w:val="24"/>
          <w:szCs w:val="24"/>
          <w:lang w:val="en-US"/>
        </w:rPr>
        <w:t xml:space="preserve"> </w:t>
      </w:r>
      <w:r w:rsidR="008A2497">
        <w:rPr>
          <w:rFonts w:ascii="Arial Narrow" w:hAnsi="Arial Narrow" w:cs="Times New Roman"/>
          <w:sz w:val="24"/>
          <w:szCs w:val="24"/>
          <w:lang w:val="en-US"/>
        </w:rPr>
        <w:t>Upper</w:t>
      </w:r>
      <w:r w:rsidR="008A2497" w:rsidRPr="008A2497">
        <w:rPr>
          <w:rFonts w:ascii="Arial Narrow" w:hAnsi="Arial Narrow" w:cs="Times New Roman"/>
          <w:sz w:val="24"/>
          <w:szCs w:val="24"/>
          <w:lang w:val="en-US"/>
        </w:rPr>
        <w:t xml:space="preserve"> </w:t>
      </w:r>
      <w:r w:rsidR="008A2497">
        <w:rPr>
          <w:rFonts w:ascii="Arial Narrow" w:hAnsi="Arial Narrow" w:cs="Times New Roman"/>
          <w:sz w:val="24"/>
          <w:szCs w:val="24"/>
          <w:lang w:val="en-US"/>
        </w:rPr>
        <w:t>Zakum</w:t>
      </w:r>
      <w:r w:rsidR="008A2497" w:rsidRPr="008A2497">
        <w:rPr>
          <w:rFonts w:ascii="Arial Narrow" w:hAnsi="Arial Narrow" w:cs="Times New Roman"/>
          <w:sz w:val="24"/>
          <w:szCs w:val="24"/>
          <w:lang w:val="en-US"/>
        </w:rPr>
        <w:t xml:space="preserve">, </w:t>
      </w:r>
      <w:r w:rsidR="008A2497">
        <w:rPr>
          <w:rFonts w:ascii="Arial Narrow" w:hAnsi="Arial Narrow" w:cs="Times New Roman"/>
          <w:sz w:val="24"/>
          <w:szCs w:val="24"/>
          <w:lang w:val="en-US"/>
        </w:rPr>
        <w:t>Lower</w:t>
      </w:r>
      <w:r w:rsidR="008A2497" w:rsidRPr="008A2497">
        <w:rPr>
          <w:rFonts w:ascii="Arial Narrow" w:hAnsi="Arial Narrow" w:cs="Times New Roman"/>
          <w:sz w:val="24"/>
          <w:szCs w:val="24"/>
          <w:lang w:val="en-US"/>
        </w:rPr>
        <w:t xml:space="preserve"> </w:t>
      </w:r>
      <w:r w:rsidR="008A2497">
        <w:rPr>
          <w:rFonts w:ascii="Arial Narrow" w:hAnsi="Arial Narrow" w:cs="Times New Roman"/>
          <w:sz w:val="24"/>
          <w:szCs w:val="24"/>
          <w:lang w:val="en-US"/>
        </w:rPr>
        <w:t>Zakum</w:t>
      </w:r>
      <w:r w:rsidR="008A2497" w:rsidRPr="008A2497">
        <w:rPr>
          <w:rFonts w:ascii="Arial Narrow" w:hAnsi="Arial Narrow" w:cs="Times New Roman"/>
          <w:sz w:val="24"/>
          <w:szCs w:val="24"/>
          <w:lang w:val="en-US"/>
        </w:rPr>
        <w:t xml:space="preserve">, </w:t>
      </w:r>
      <w:r w:rsidR="008A2497">
        <w:rPr>
          <w:rFonts w:ascii="Arial Narrow" w:hAnsi="Arial Narrow" w:cs="Times New Roman"/>
          <w:sz w:val="24"/>
          <w:szCs w:val="24"/>
          <w:lang w:val="en-US"/>
        </w:rPr>
        <w:t>Umm</w:t>
      </w:r>
      <w:r w:rsidR="008A2497" w:rsidRPr="008A2497">
        <w:rPr>
          <w:rFonts w:ascii="Arial Narrow" w:hAnsi="Arial Narrow" w:cs="Times New Roman"/>
          <w:sz w:val="24"/>
          <w:szCs w:val="24"/>
          <w:lang w:val="en-US"/>
        </w:rPr>
        <w:t xml:space="preserve"> </w:t>
      </w:r>
      <w:r w:rsidR="008A2497">
        <w:rPr>
          <w:rFonts w:ascii="Arial Narrow" w:hAnsi="Arial Narrow" w:cs="Times New Roman"/>
          <w:sz w:val="24"/>
          <w:szCs w:val="24"/>
          <w:lang w:val="en-US"/>
        </w:rPr>
        <w:t xml:space="preserve">Shaif, Nasr, Umm Lulu &amp; Satah Al Razboot (SARB). </w:t>
      </w:r>
      <w:r w:rsidR="008A2497">
        <w:rPr>
          <w:rFonts w:ascii="Arial Narrow" w:hAnsi="Arial Narrow" w:cs="Times New Roman"/>
          <w:sz w:val="24"/>
          <w:szCs w:val="24"/>
        </w:rPr>
        <w:t xml:space="preserve">Τα πεδία </w:t>
      </w:r>
      <w:r w:rsidR="008A2497">
        <w:rPr>
          <w:rFonts w:ascii="Arial Narrow" w:hAnsi="Arial Narrow" w:cs="Times New Roman"/>
          <w:sz w:val="24"/>
          <w:szCs w:val="24"/>
          <w:lang w:val="en-US"/>
        </w:rPr>
        <w:t>Upper</w:t>
      </w:r>
      <w:r w:rsidR="008A2497" w:rsidRPr="00EB3DDA">
        <w:rPr>
          <w:rFonts w:ascii="Arial Narrow" w:hAnsi="Arial Narrow" w:cs="Times New Roman"/>
          <w:sz w:val="24"/>
          <w:szCs w:val="24"/>
        </w:rPr>
        <w:t xml:space="preserve"> </w:t>
      </w:r>
      <w:r w:rsidR="008A2497">
        <w:rPr>
          <w:rFonts w:ascii="Arial Narrow" w:hAnsi="Arial Narrow" w:cs="Times New Roman"/>
          <w:sz w:val="24"/>
          <w:szCs w:val="24"/>
          <w:lang w:val="en-US"/>
        </w:rPr>
        <w:t>Zakum</w:t>
      </w:r>
      <w:r w:rsidR="008A2497" w:rsidRPr="00EB3DDA">
        <w:rPr>
          <w:rFonts w:ascii="Arial Narrow" w:hAnsi="Arial Narrow" w:cs="Times New Roman"/>
          <w:sz w:val="24"/>
          <w:szCs w:val="24"/>
        </w:rPr>
        <w:t xml:space="preserve"> &amp; </w:t>
      </w:r>
      <w:r w:rsidR="000C4EEE">
        <w:rPr>
          <w:rFonts w:ascii="Arial Narrow" w:hAnsi="Arial Narrow" w:cs="Times New Roman"/>
          <w:sz w:val="24"/>
          <w:szCs w:val="24"/>
          <w:lang w:val="en-US"/>
        </w:rPr>
        <w:t>Lower</w:t>
      </w:r>
      <w:r w:rsidR="000C4EEE" w:rsidRPr="00EB3DDA">
        <w:rPr>
          <w:rFonts w:ascii="Arial Narrow" w:hAnsi="Arial Narrow" w:cs="Times New Roman"/>
          <w:sz w:val="24"/>
          <w:szCs w:val="24"/>
        </w:rPr>
        <w:t xml:space="preserve"> </w:t>
      </w:r>
      <w:r w:rsidR="000C4EEE">
        <w:rPr>
          <w:rFonts w:ascii="Arial Narrow" w:hAnsi="Arial Narrow" w:cs="Times New Roman"/>
          <w:sz w:val="24"/>
          <w:szCs w:val="24"/>
          <w:lang w:val="en-US"/>
        </w:rPr>
        <w:t>Zakum</w:t>
      </w:r>
      <w:r w:rsidR="000C4EEE" w:rsidRPr="00EB3DDA">
        <w:rPr>
          <w:rFonts w:ascii="Arial Narrow" w:hAnsi="Arial Narrow" w:cs="Times New Roman"/>
          <w:sz w:val="24"/>
          <w:szCs w:val="24"/>
        </w:rPr>
        <w:t xml:space="preserve"> </w:t>
      </w:r>
      <w:r w:rsidR="00EB3DDA">
        <w:rPr>
          <w:rFonts w:ascii="Arial Narrow" w:hAnsi="Arial Narrow" w:cs="Times New Roman"/>
          <w:sz w:val="24"/>
          <w:szCs w:val="24"/>
        </w:rPr>
        <w:t xml:space="preserve">συγκαταλέγονται στα μεγαλύτερα υπεράκτια πεδία πετρελαίου σε παγκόσμια κλίμακα. Σημαντικό ρόλο κατέχει στο τομέα του πετρελαίου και η </w:t>
      </w:r>
      <w:r w:rsidR="00EB3DDA">
        <w:rPr>
          <w:rFonts w:ascii="Arial Narrow" w:hAnsi="Arial Narrow" w:cs="Times New Roman"/>
          <w:sz w:val="24"/>
          <w:szCs w:val="24"/>
          <w:lang w:val="en-US"/>
        </w:rPr>
        <w:t>ADNOC</w:t>
      </w:r>
      <w:r w:rsidR="00EB3DDA" w:rsidRPr="00EB3DDA">
        <w:rPr>
          <w:rFonts w:ascii="Arial Narrow" w:hAnsi="Arial Narrow" w:cs="Times New Roman"/>
          <w:sz w:val="24"/>
          <w:szCs w:val="24"/>
        </w:rPr>
        <w:t xml:space="preserve"> </w:t>
      </w:r>
      <w:r w:rsidR="00EB3DDA">
        <w:rPr>
          <w:rFonts w:ascii="Arial Narrow" w:hAnsi="Arial Narrow" w:cs="Times New Roman"/>
          <w:sz w:val="24"/>
          <w:szCs w:val="24"/>
        </w:rPr>
        <w:t xml:space="preserve">που ιδρύθηκε το 1971 και αποτελεί έναν από τους μεγαλύτερους ενεργειακούς ομίλους σε παγκόσμιο επίπεδο. Βασικά χαρακτηριστικά της που την καταστούν ως σημαντικό στρατηγικό παίκτη στο πετρελαϊκό τομέα διεθνώς είναι η παραγωγική της ικανότητα σε 4,85 εκατ. βαρέλια ημερησίως, η παραγωγή φ/α σε 11,5 δις κυβικά πόδια ημερησίως και οι δραστηριότητές της σε όλη την αλυσίδα αξίας στην έρευνα και παραγωγή, διϋλιση, πετροχημικά, εμπορία, ναυτιλία και διανομή καυσίμων. Η εταιρεία λειτουργεί μέσω θυγατρικών όπως, </w:t>
      </w:r>
      <w:r w:rsidR="00EB3DDA">
        <w:rPr>
          <w:rFonts w:ascii="Arial Narrow" w:hAnsi="Arial Narrow" w:cs="Times New Roman"/>
          <w:sz w:val="24"/>
          <w:szCs w:val="24"/>
          <w:lang w:val="en-US"/>
        </w:rPr>
        <w:t>ADNOC</w:t>
      </w:r>
      <w:r w:rsidR="00EB3DDA" w:rsidRPr="00EB3DDA">
        <w:rPr>
          <w:rFonts w:ascii="Arial Narrow" w:hAnsi="Arial Narrow" w:cs="Times New Roman"/>
          <w:sz w:val="24"/>
          <w:szCs w:val="24"/>
        </w:rPr>
        <w:t xml:space="preserve"> </w:t>
      </w:r>
      <w:r w:rsidR="00EB3DDA">
        <w:rPr>
          <w:rFonts w:ascii="Arial Narrow" w:hAnsi="Arial Narrow" w:cs="Times New Roman"/>
          <w:sz w:val="24"/>
          <w:szCs w:val="24"/>
          <w:lang w:val="en-US"/>
        </w:rPr>
        <w:t>Onshore</w:t>
      </w:r>
      <w:r w:rsidR="00EB3DDA" w:rsidRPr="00EB3DDA">
        <w:rPr>
          <w:rFonts w:ascii="Arial Narrow" w:hAnsi="Arial Narrow" w:cs="Times New Roman"/>
          <w:sz w:val="24"/>
          <w:szCs w:val="24"/>
        </w:rPr>
        <w:t xml:space="preserve">, </w:t>
      </w:r>
      <w:r w:rsidR="00EB3DDA">
        <w:rPr>
          <w:rFonts w:ascii="Arial Narrow" w:hAnsi="Arial Narrow" w:cs="Times New Roman"/>
          <w:sz w:val="24"/>
          <w:szCs w:val="24"/>
          <w:lang w:val="en-US"/>
        </w:rPr>
        <w:t>ADNOC</w:t>
      </w:r>
      <w:r w:rsidR="00EB3DDA" w:rsidRPr="00EB3DDA">
        <w:rPr>
          <w:rFonts w:ascii="Arial Narrow" w:hAnsi="Arial Narrow" w:cs="Times New Roman"/>
          <w:sz w:val="24"/>
          <w:szCs w:val="24"/>
        </w:rPr>
        <w:t xml:space="preserve"> </w:t>
      </w:r>
      <w:r w:rsidR="00EB3DDA">
        <w:rPr>
          <w:rFonts w:ascii="Arial Narrow" w:hAnsi="Arial Narrow" w:cs="Times New Roman"/>
          <w:sz w:val="24"/>
          <w:szCs w:val="24"/>
          <w:lang w:val="en-US"/>
        </w:rPr>
        <w:t>Offshore</w:t>
      </w:r>
      <w:r w:rsidR="00EB3DDA" w:rsidRPr="00EB3DDA">
        <w:rPr>
          <w:rFonts w:ascii="Arial Narrow" w:hAnsi="Arial Narrow" w:cs="Times New Roman"/>
          <w:sz w:val="24"/>
          <w:szCs w:val="24"/>
        </w:rPr>
        <w:t xml:space="preserve">, </w:t>
      </w:r>
      <w:r w:rsidR="00EB3DDA">
        <w:rPr>
          <w:rFonts w:ascii="Arial Narrow" w:hAnsi="Arial Narrow" w:cs="Times New Roman"/>
          <w:sz w:val="24"/>
          <w:szCs w:val="24"/>
          <w:lang w:val="en-US"/>
        </w:rPr>
        <w:t>ADNOC</w:t>
      </w:r>
      <w:r w:rsidR="00EB3DDA" w:rsidRPr="00EB3DDA">
        <w:rPr>
          <w:rFonts w:ascii="Arial Narrow" w:hAnsi="Arial Narrow" w:cs="Times New Roman"/>
          <w:sz w:val="24"/>
          <w:szCs w:val="24"/>
        </w:rPr>
        <w:t xml:space="preserve"> </w:t>
      </w:r>
      <w:r w:rsidR="00EB3DDA">
        <w:rPr>
          <w:rFonts w:ascii="Arial Narrow" w:hAnsi="Arial Narrow" w:cs="Times New Roman"/>
          <w:sz w:val="24"/>
          <w:szCs w:val="24"/>
          <w:lang w:val="en-US"/>
        </w:rPr>
        <w:t>Drilling</w:t>
      </w:r>
      <w:r w:rsidR="00EB3DDA" w:rsidRPr="00EB3DDA">
        <w:rPr>
          <w:rFonts w:ascii="Arial Narrow" w:hAnsi="Arial Narrow" w:cs="Times New Roman"/>
          <w:sz w:val="24"/>
          <w:szCs w:val="24"/>
        </w:rPr>
        <w:t xml:space="preserve">, </w:t>
      </w:r>
      <w:r w:rsidR="00EB3DDA">
        <w:rPr>
          <w:rFonts w:ascii="Arial Narrow" w:hAnsi="Arial Narrow" w:cs="Times New Roman"/>
          <w:sz w:val="24"/>
          <w:szCs w:val="24"/>
          <w:lang w:val="en-US"/>
        </w:rPr>
        <w:t>ADNOC</w:t>
      </w:r>
      <w:r w:rsidR="00EB3DDA" w:rsidRPr="00EB3DDA">
        <w:rPr>
          <w:rFonts w:ascii="Arial Narrow" w:hAnsi="Arial Narrow" w:cs="Times New Roman"/>
          <w:sz w:val="24"/>
          <w:szCs w:val="24"/>
        </w:rPr>
        <w:t xml:space="preserve"> </w:t>
      </w:r>
      <w:r w:rsidR="00EB3DDA">
        <w:rPr>
          <w:rFonts w:ascii="Arial Narrow" w:hAnsi="Arial Narrow" w:cs="Times New Roman"/>
          <w:sz w:val="24"/>
          <w:szCs w:val="24"/>
          <w:lang w:val="en-US"/>
        </w:rPr>
        <w:t>Refining</w:t>
      </w:r>
      <w:r w:rsidR="00EB3DDA" w:rsidRPr="00EB3DDA">
        <w:rPr>
          <w:rFonts w:ascii="Arial Narrow" w:hAnsi="Arial Narrow" w:cs="Times New Roman"/>
          <w:sz w:val="24"/>
          <w:szCs w:val="24"/>
        </w:rPr>
        <w:t xml:space="preserve">, </w:t>
      </w:r>
      <w:r w:rsidR="00EB3DDA">
        <w:rPr>
          <w:rFonts w:ascii="Arial Narrow" w:hAnsi="Arial Narrow" w:cs="Times New Roman"/>
          <w:sz w:val="24"/>
          <w:szCs w:val="24"/>
          <w:lang w:val="en-US"/>
        </w:rPr>
        <w:t>ADNOC</w:t>
      </w:r>
      <w:r w:rsidR="00EB3DDA" w:rsidRPr="00EB3DDA">
        <w:rPr>
          <w:rFonts w:ascii="Arial Narrow" w:hAnsi="Arial Narrow" w:cs="Times New Roman"/>
          <w:sz w:val="24"/>
          <w:szCs w:val="24"/>
        </w:rPr>
        <w:t xml:space="preserve"> </w:t>
      </w:r>
      <w:r w:rsidR="00EB3DDA">
        <w:rPr>
          <w:rFonts w:ascii="Arial Narrow" w:hAnsi="Arial Narrow" w:cs="Times New Roman"/>
          <w:sz w:val="24"/>
          <w:szCs w:val="24"/>
          <w:lang w:val="en-US"/>
        </w:rPr>
        <w:t>Gas</w:t>
      </w:r>
      <w:r w:rsidR="00EB3DDA" w:rsidRPr="00EB3DDA">
        <w:rPr>
          <w:rFonts w:ascii="Arial Narrow" w:hAnsi="Arial Narrow" w:cs="Times New Roman"/>
          <w:sz w:val="24"/>
          <w:szCs w:val="24"/>
        </w:rPr>
        <w:t xml:space="preserve">, </w:t>
      </w:r>
      <w:r w:rsidR="00EB3DDA">
        <w:rPr>
          <w:rFonts w:ascii="Arial Narrow" w:hAnsi="Arial Narrow" w:cs="Times New Roman"/>
          <w:sz w:val="24"/>
          <w:szCs w:val="24"/>
          <w:lang w:val="en-US"/>
        </w:rPr>
        <w:t>Borouge</w:t>
      </w:r>
      <w:r w:rsidR="00EB3DDA" w:rsidRPr="00EB3DDA">
        <w:rPr>
          <w:rFonts w:ascii="Arial Narrow" w:hAnsi="Arial Narrow" w:cs="Times New Roman"/>
          <w:sz w:val="24"/>
          <w:szCs w:val="24"/>
        </w:rPr>
        <w:t xml:space="preserve">, </w:t>
      </w:r>
      <w:r w:rsidR="00EB3DDA">
        <w:rPr>
          <w:rFonts w:ascii="Arial Narrow" w:hAnsi="Arial Narrow" w:cs="Times New Roman"/>
          <w:sz w:val="24"/>
          <w:szCs w:val="24"/>
          <w:lang w:val="en-US"/>
        </w:rPr>
        <w:t>Fertiglobe</w:t>
      </w:r>
      <w:r w:rsidR="00EB3DDA" w:rsidRPr="00EB3DDA">
        <w:rPr>
          <w:rFonts w:ascii="Arial Narrow" w:hAnsi="Arial Narrow" w:cs="Times New Roman"/>
          <w:sz w:val="24"/>
          <w:szCs w:val="24"/>
        </w:rPr>
        <w:t xml:space="preserve"> &amp; </w:t>
      </w:r>
      <w:r w:rsidR="00EB3DDA">
        <w:rPr>
          <w:rFonts w:ascii="Arial Narrow" w:hAnsi="Arial Narrow" w:cs="Times New Roman"/>
          <w:sz w:val="24"/>
          <w:szCs w:val="24"/>
          <w:lang w:val="en-US"/>
        </w:rPr>
        <w:t>TA</w:t>
      </w:r>
      <w:r w:rsidR="00EB3DDA" w:rsidRPr="00EB3DDA">
        <w:rPr>
          <w:rFonts w:ascii="Arial Narrow" w:hAnsi="Arial Narrow" w:cs="Times New Roman"/>
          <w:sz w:val="24"/>
          <w:szCs w:val="24"/>
        </w:rPr>
        <w:t>”</w:t>
      </w:r>
      <w:r w:rsidR="00EB3DDA">
        <w:rPr>
          <w:rFonts w:ascii="Arial Narrow" w:hAnsi="Arial Narrow" w:cs="Times New Roman"/>
          <w:sz w:val="24"/>
          <w:szCs w:val="24"/>
          <w:lang w:val="en-US"/>
        </w:rPr>
        <w:t>ZIZ</w:t>
      </w:r>
      <w:r w:rsidR="00EB3DDA" w:rsidRPr="00EB3DDA">
        <w:rPr>
          <w:rFonts w:ascii="Arial Narrow" w:hAnsi="Arial Narrow" w:cs="Times New Roman"/>
          <w:sz w:val="24"/>
          <w:szCs w:val="24"/>
        </w:rPr>
        <w:t>..</w:t>
      </w:r>
    </w:p>
    <w:p w14:paraId="39A6179B" w14:textId="2E1F742A" w:rsidR="00EB3DDA" w:rsidRPr="000834C4" w:rsidRDefault="00BF33F0" w:rsidP="00E923A4">
      <w:pPr>
        <w:spacing w:before="120" w:after="120"/>
        <w:jc w:val="both"/>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4.1.2. </w:t>
      </w:r>
      <w:r w:rsidR="00954437" w:rsidRPr="000834C4">
        <w:rPr>
          <w:rFonts w:ascii="Arial Narrow" w:hAnsi="Arial Narrow" w:cs="Times New Roman"/>
          <w:b/>
          <w:color w:val="548DD4" w:themeColor="text2" w:themeTint="99"/>
          <w:sz w:val="24"/>
          <w:szCs w:val="24"/>
        </w:rPr>
        <w:t>Δι</w:t>
      </w:r>
      <w:r w:rsidR="000834C4">
        <w:rPr>
          <w:rFonts w:ascii="Arial Narrow" w:hAnsi="Arial Narrow" w:cs="Times New Roman"/>
          <w:b/>
          <w:color w:val="548DD4" w:themeColor="text2" w:themeTint="99"/>
          <w:sz w:val="24"/>
          <w:szCs w:val="24"/>
        </w:rPr>
        <w:t>ϋ</w:t>
      </w:r>
      <w:r w:rsidR="00954437" w:rsidRPr="000834C4">
        <w:rPr>
          <w:rFonts w:ascii="Arial Narrow" w:hAnsi="Arial Narrow" w:cs="Times New Roman"/>
          <w:b/>
          <w:color w:val="548DD4" w:themeColor="text2" w:themeTint="99"/>
          <w:sz w:val="24"/>
          <w:szCs w:val="24"/>
        </w:rPr>
        <w:t xml:space="preserve">λιση και Πετροχημικά </w:t>
      </w:r>
    </w:p>
    <w:p w14:paraId="0E891DFB" w14:textId="1CC4A271" w:rsidR="00954437" w:rsidRDefault="00C074A6" w:rsidP="00E923A4">
      <w:pPr>
        <w:spacing w:before="120" w:after="120"/>
        <w:jc w:val="both"/>
        <w:rPr>
          <w:rFonts w:ascii="Arial Narrow" w:hAnsi="Arial Narrow" w:cs="Times New Roman"/>
          <w:color w:val="000000" w:themeColor="text1"/>
          <w:sz w:val="24"/>
          <w:szCs w:val="24"/>
        </w:rPr>
      </w:pPr>
      <w:r>
        <w:rPr>
          <w:rFonts w:ascii="Arial Narrow" w:hAnsi="Arial Narrow" w:cs="Times New Roman"/>
          <w:color w:val="000000" w:themeColor="text1"/>
          <w:sz w:val="24"/>
          <w:szCs w:val="24"/>
        </w:rPr>
        <w:t xml:space="preserve">Το μεγαλύτερο βιομηχανικό συγκρότημα βρίσκεται στο </w:t>
      </w:r>
      <w:r>
        <w:rPr>
          <w:rFonts w:ascii="Arial Narrow" w:hAnsi="Arial Narrow" w:cs="Times New Roman"/>
          <w:color w:val="000000" w:themeColor="text1"/>
          <w:sz w:val="24"/>
          <w:szCs w:val="24"/>
          <w:lang w:val="en-US"/>
        </w:rPr>
        <w:t>Ruwais</w:t>
      </w:r>
      <w:r w:rsidRPr="00C074A6">
        <w:rPr>
          <w:rFonts w:ascii="Arial Narrow" w:hAnsi="Arial Narrow" w:cs="Times New Roman"/>
          <w:color w:val="000000" w:themeColor="text1"/>
          <w:sz w:val="24"/>
          <w:szCs w:val="24"/>
        </w:rPr>
        <w:t xml:space="preserve">. </w:t>
      </w:r>
      <w:r>
        <w:rPr>
          <w:rFonts w:ascii="Arial Narrow" w:hAnsi="Arial Narrow" w:cs="Times New Roman"/>
          <w:color w:val="000000" w:themeColor="text1"/>
          <w:sz w:val="24"/>
          <w:szCs w:val="24"/>
        </w:rPr>
        <w:t xml:space="preserve">Βασικά προϊόντα </w:t>
      </w:r>
      <w:r w:rsidR="00944585">
        <w:rPr>
          <w:rFonts w:ascii="Arial Narrow" w:hAnsi="Arial Narrow" w:cs="Times New Roman"/>
          <w:color w:val="000000" w:themeColor="text1"/>
          <w:sz w:val="24"/>
          <w:szCs w:val="24"/>
        </w:rPr>
        <w:t xml:space="preserve">που παράγονται είναι βενζίνη, Ντίζελ, καύσιμα αεροπορίας, ναυτιλιακά καύσιμα, λιπαντικά, πολυαιθυλένιο, πολυπροπυλένιο, λιπάσματα και αμμωνία. Η Κυβέρνηση επιδιώκει την αύξηση της προστιθέμενης αξίας μέσω ανάπτυξης της βιομηχανίας πετροχημικών και μεταποίησης. </w:t>
      </w:r>
    </w:p>
    <w:p w14:paraId="3E98878B" w14:textId="5276AF33" w:rsidR="00944585" w:rsidRPr="000834C4" w:rsidRDefault="00BF33F0" w:rsidP="00E923A4">
      <w:pPr>
        <w:spacing w:before="120" w:after="120"/>
        <w:jc w:val="both"/>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4.1.3. </w:t>
      </w:r>
      <w:r w:rsidR="00944585" w:rsidRPr="000834C4">
        <w:rPr>
          <w:rFonts w:ascii="Arial Narrow" w:hAnsi="Arial Narrow" w:cs="Times New Roman"/>
          <w:b/>
          <w:color w:val="548DD4" w:themeColor="text2" w:themeTint="99"/>
          <w:sz w:val="24"/>
          <w:szCs w:val="24"/>
        </w:rPr>
        <w:t>Εξαγωγές Πετρελαίου</w:t>
      </w:r>
    </w:p>
    <w:p w14:paraId="645D1713" w14:textId="6B72D982" w:rsidR="00944585" w:rsidRDefault="00944585"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Οι κυριότεροι προορισμοί εξαγωγώ είναι η Κίνα, η Ινδία, η Ιαπωνία, η Νότιος Κορέα </w:t>
      </w:r>
      <w:r w:rsidR="00F5627B">
        <w:rPr>
          <w:rFonts w:ascii="Arial Narrow" w:hAnsi="Arial Narrow" w:cs="Times New Roman"/>
          <w:sz w:val="24"/>
          <w:szCs w:val="24"/>
        </w:rPr>
        <w:t>και οι χώρες της Νοτιοανατολικής Ασίας, όπου κατευθύνεται και το 70% των εξαγωγών πετρελαίου των ΗΑΕ.</w:t>
      </w:r>
    </w:p>
    <w:p w14:paraId="300F3AED" w14:textId="6D6CF2B9" w:rsidR="00F5627B" w:rsidRPr="000834C4" w:rsidRDefault="00BF33F0" w:rsidP="00E923A4">
      <w:pPr>
        <w:spacing w:before="120" w:after="120"/>
        <w:jc w:val="both"/>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4.1.4.7</w:t>
      </w:r>
      <w:r w:rsidR="00F5627B" w:rsidRPr="000834C4">
        <w:rPr>
          <w:rFonts w:ascii="Arial Narrow" w:hAnsi="Arial Narrow" w:cs="Times New Roman"/>
          <w:b/>
          <w:color w:val="548DD4" w:themeColor="text2" w:themeTint="99"/>
          <w:sz w:val="24"/>
          <w:szCs w:val="24"/>
        </w:rPr>
        <w:t xml:space="preserve"> Στρατηγικές Υποδομές </w:t>
      </w:r>
    </w:p>
    <w:p w14:paraId="2030F00B" w14:textId="147A4328" w:rsidR="00F5627B" w:rsidRDefault="005B1B2B"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Στις στρατηγικές υποδομές περιλαμβάνεται ο Αγωγός </w:t>
      </w:r>
      <w:r>
        <w:rPr>
          <w:rFonts w:ascii="Arial Narrow" w:hAnsi="Arial Narrow" w:cs="Times New Roman"/>
          <w:sz w:val="24"/>
          <w:szCs w:val="24"/>
          <w:lang w:val="en-US"/>
        </w:rPr>
        <w:t>Habshan</w:t>
      </w:r>
      <w:r w:rsidRPr="005B1B2B">
        <w:rPr>
          <w:rFonts w:ascii="Arial Narrow" w:hAnsi="Arial Narrow" w:cs="Times New Roman"/>
          <w:sz w:val="24"/>
          <w:szCs w:val="24"/>
        </w:rPr>
        <w:t>-</w:t>
      </w:r>
      <w:r>
        <w:rPr>
          <w:rFonts w:ascii="Arial Narrow" w:hAnsi="Arial Narrow" w:cs="Times New Roman"/>
          <w:sz w:val="24"/>
          <w:szCs w:val="24"/>
          <w:lang w:val="en-US"/>
        </w:rPr>
        <w:t>Fujairah</w:t>
      </w:r>
      <w:r w:rsidRPr="005B1B2B">
        <w:rPr>
          <w:rFonts w:ascii="Arial Narrow" w:hAnsi="Arial Narrow" w:cs="Times New Roman"/>
          <w:sz w:val="24"/>
          <w:szCs w:val="24"/>
        </w:rPr>
        <w:t xml:space="preserve">. </w:t>
      </w:r>
      <w:r>
        <w:rPr>
          <w:rFonts w:ascii="Arial Narrow" w:hAnsi="Arial Narrow" w:cs="Times New Roman"/>
          <w:sz w:val="24"/>
          <w:szCs w:val="24"/>
        </w:rPr>
        <w:t xml:space="preserve">Ο αγωγός αυτός αποτελεί μια από τις σημαντικότερες ενεργειακές υποδομές της χώρας. Συνδέει τα πεδία του </w:t>
      </w:r>
      <w:r>
        <w:rPr>
          <w:rFonts w:ascii="Arial Narrow" w:hAnsi="Arial Narrow" w:cs="Times New Roman"/>
          <w:sz w:val="24"/>
          <w:szCs w:val="24"/>
          <w:lang w:val="en-US"/>
        </w:rPr>
        <w:t>Abu</w:t>
      </w:r>
      <w:r w:rsidRPr="005B1B2B">
        <w:rPr>
          <w:rFonts w:ascii="Arial Narrow" w:hAnsi="Arial Narrow" w:cs="Times New Roman"/>
          <w:sz w:val="24"/>
          <w:szCs w:val="24"/>
        </w:rPr>
        <w:t xml:space="preserve"> </w:t>
      </w:r>
      <w:r>
        <w:rPr>
          <w:rFonts w:ascii="Arial Narrow" w:hAnsi="Arial Narrow" w:cs="Times New Roman"/>
          <w:sz w:val="24"/>
          <w:szCs w:val="24"/>
          <w:lang w:val="en-US"/>
        </w:rPr>
        <w:t>Dhabi</w:t>
      </w:r>
      <w:r>
        <w:rPr>
          <w:rFonts w:ascii="Arial Narrow" w:hAnsi="Arial Narrow" w:cs="Times New Roman"/>
          <w:sz w:val="24"/>
          <w:szCs w:val="24"/>
        </w:rPr>
        <w:t xml:space="preserve"> με το λιμάνι της </w:t>
      </w:r>
      <w:r>
        <w:rPr>
          <w:rFonts w:ascii="Arial Narrow" w:hAnsi="Arial Narrow" w:cs="Times New Roman"/>
          <w:sz w:val="24"/>
          <w:szCs w:val="24"/>
          <w:lang w:val="en-US"/>
        </w:rPr>
        <w:t>Fujairah</w:t>
      </w:r>
      <w:r w:rsidRPr="005B1B2B">
        <w:rPr>
          <w:rFonts w:ascii="Arial Narrow" w:hAnsi="Arial Narrow" w:cs="Times New Roman"/>
          <w:sz w:val="24"/>
          <w:szCs w:val="24"/>
        </w:rPr>
        <w:t xml:space="preserve"> </w:t>
      </w:r>
      <w:r>
        <w:rPr>
          <w:rFonts w:ascii="Arial Narrow" w:hAnsi="Arial Narrow" w:cs="Times New Roman"/>
          <w:sz w:val="24"/>
          <w:szCs w:val="24"/>
        </w:rPr>
        <w:t xml:space="preserve">παρακάμπτοντας τα Στενά του Ορμούζ, γεγονός που μειώνει σημαντικό τον οποιονδήποτε γεωπολιτικό κίνδυνο. Επίσης η </w:t>
      </w:r>
      <w:r>
        <w:rPr>
          <w:rFonts w:ascii="Arial Narrow" w:hAnsi="Arial Narrow" w:cs="Times New Roman"/>
          <w:sz w:val="24"/>
          <w:szCs w:val="24"/>
          <w:lang w:val="en-US"/>
        </w:rPr>
        <w:t>ADNOC</w:t>
      </w:r>
      <w:r w:rsidRPr="005B1B2B">
        <w:rPr>
          <w:rFonts w:ascii="Arial Narrow" w:hAnsi="Arial Narrow" w:cs="Times New Roman"/>
          <w:sz w:val="24"/>
          <w:szCs w:val="24"/>
        </w:rPr>
        <w:t xml:space="preserve"> </w:t>
      </w:r>
      <w:r>
        <w:rPr>
          <w:rFonts w:ascii="Arial Narrow" w:hAnsi="Arial Narrow" w:cs="Times New Roman"/>
          <w:sz w:val="24"/>
          <w:szCs w:val="24"/>
        </w:rPr>
        <w:t xml:space="preserve">προωθεί τη κατασκευή δεύτερου αγωγού προς τη </w:t>
      </w:r>
      <w:r w:rsidR="00D353C0">
        <w:rPr>
          <w:rFonts w:ascii="Arial Narrow" w:hAnsi="Arial Narrow" w:cs="Times New Roman"/>
          <w:sz w:val="24"/>
          <w:szCs w:val="24"/>
          <w:lang w:val="en-US"/>
        </w:rPr>
        <w:t>Fujairah</w:t>
      </w:r>
      <w:r w:rsidR="00D353C0" w:rsidRPr="00D353C0">
        <w:rPr>
          <w:rFonts w:ascii="Arial Narrow" w:hAnsi="Arial Narrow" w:cs="Times New Roman"/>
          <w:sz w:val="24"/>
          <w:szCs w:val="24"/>
        </w:rPr>
        <w:t>,</w:t>
      </w:r>
      <w:r w:rsidR="00D353C0">
        <w:rPr>
          <w:rFonts w:ascii="Arial Narrow" w:hAnsi="Arial Narrow" w:cs="Times New Roman"/>
          <w:sz w:val="24"/>
          <w:szCs w:val="24"/>
        </w:rPr>
        <w:t xml:space="preserve"> με στόχο τον διπλασιασμό της εξαγωγικής δραστηριότητας. </w:t>
      </w:r>
    </w:p>
    <w:p w14:paraId="316F13A6" w14:textId="34913C8E" w:rsidR="00D353C0" w:rsidRDefault="00D353C0"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Η συνεισφορά του πετρελαϊκού τομέα στην Οικονομία των Ηνωμένων Αραβικών Εμιράτων εξακολουθεί να θεωρείται λίαν σημαντική, παρόλη την ανάπτυξη των υπόλοιπων μη πετρελαϊκών </w:t>
      </w:r>
      <w:r w:rsidR="00F737F2">
        <w:rPr>
          <w:rFonts w:ascii="Arial Narrow" w:hAnsi="Arial Narrow" w:cs="Times New Roman"/>
          <w:sz w:val="24"/>
          <w:szCs w:val="24"/>
        </w:rPr>
        <w:t>τομέων, όπως το ότι παράγει σημαντικό ποσοστό των δημοσίων εσόδων, χρηματοδοτεί μεγάλα αναπτυξιακά έργα, ενισχύει τα κρατικά επενδυτικά ταμεία και στηρίζει το εμπορικό ισοζύγιο της χώρας. Η αύξηση της παραγωγής πετρελαίου εκτιμάται ότι θα ενισχύσει την οικονομική ανάπτυξη των Ηνωμένων Αραβικών Εμιράτων για τα επόμενα χρόνια.</w:t>
      </w:r>
    </w:p>
    <w:p w14:paraId="42CCD4C6" w14:textId="624AE373" w:rsidR="00F737F2" w:rsidRPr="000834C4" w:rsidRDefault="00F737F2" w:rsidP="00E923A4">
      <w:pPr>
        <w:spacing w:before="120" w:after="120"/>
        <w:jc w:val="both"/>
        <w:rPr>
          <w:rFonts w:ascii="Arial Narrow" w:hAnsi="Arial Narrow" w:cs="Times New Roman"/>
          <w:b/>
          <w:color w:val="548DD4" w:themeColor="text2" w:themeTint="99"/>
          <w:sz w:val="28"/>
          <w:szCs w:val="28"/>
        </w:rPr>
      </w:pPr>
      <w:r w:rsidRPr="000834C4">
        <w:rPr>
          <w:rFonts w:ascii="Arial Narrow" w:hAnsi="Arial Narrow" w:cs="Times New Roman"/>
          <w:b/>
          <w:color w:val="548DD4" w:themeColor="text2" w:themeTint="99"/>
          <w:sz w:val="28"/>
          <w:szCs w:val="28"/>
        </w:rPr>
        <w:t>5.Επενδύσεις 2025-2030</w:t>
      </w:r>
    </w:p>
    <w:p w14:paraId="7E9F5527" w14:textId="3F887492" w:rsidR="00F737F2" w:rsidRDefault="00B0282D" w:rsidP="00E923A4">
      <w:pPr>
        <w:spacing w:before="120" w:after="120"/>
        <w:jc w:val="both"/>
        <w:rPr>
          <w:rFonts w:ascii="Arial Narrow" w:hAnsi="Arial Narrow" w:cs="Times New Roman"/>
          <w:color w:val="000000" w:themeColor="text1"/>
          <w:sz w:val="24"/>
          <w:szCs w:val="24"/>
        </w:rPr>
      </w:pPr>
      <w:r>
        <w:rPr>
          <w:rFonts w:ascii="Arial Narrow" w:hAnsi="Arial Narrow" w:cs="Times New Roman"/>
          <w:color w:val="000000" w:themeColor="text1"/>
          <w:sz w:val="24"/>
          <w:szCs w:val="24"/>
        </w:rPr>
        <w:t xml:space="preserve">Η </w:t>
      </w:r>
      <w:r>
        <w:rPr>
          <w:rFonts w:ascii="Arial Narrow" w:hAnsi="Arial Narrow" w:cs="Times New Roman"/>
          <w:color w:val="000000" w:themeColor="text1"/>
          <w:sz w:val="24"/>
          <w:szCs w:val="24"/>
          <w:lang w:val="en-US"/>
        </w:rPr>
        <w:t>ADNOC</w:t>
      </w:r>
      <w:r w:rsidRPr="00B0282D">
        <w:rPr>
          <w:rFonts w:ascii="Arial Narrow" w:hAnsi="Arial Narrow" w:cs="Times New Roman"/>
          <w:color w:val="000000" w:themeColor="text1"/>
          <w:sz w:val="24"/>
          <w:szCs w:val="24"/>
        </w:rPr>
        <w:t xml:space="preserve"> </w:t>
      </w:r>
      <w:r>
        <w:rPr>
          <w:rFonts w:ascii="Arial Narrow" w:hAnsi="Arial Narrow" w:cs="Times New Roman"/>
          <w:color w:val="000000" w:themeColor="text1"/>
          <w:sz w:val="24"/>
          <w:szCs w:val="24"/>
        </w:rPr>
        <w:t>υλοποιεί ένα από τα μεγαλύτερα επενδυτικά προγράμματα διεθνώς. Στη χρονική περίοδο 2023-2027 οι προγραμματισμένες επενδύσεις ανέρχονται στα 150 δις $</w:t>
      </w:r>
      <w:r w:rsidR="006D37A4">
        <w:rPr>
          <w:rFonts w:ascii="Arial Narrow" w:hAnsi="Arial Narrow" w:cs="Times New Roman"/>
          <w:color w:val="000000" w:themeColor="text1"/>
          <w:sz w:val="24"/>
          <w:szCs w:val="24"/>
        </w:rPr>
        <w:t xml:space="preserve">, ενώ για το 2028 προβλέπονται επιπλέον 55 δις $ για βιομηχανική ανάπτυξη. Οι επενδύσεις αφορούν σε νέα κοιτάσματα, γεωτρήσεις, τεχνητή νοημοσύνη, ψηφιοποίηση πεδίων, πετροχημικά, </w:t>
      </w:r>
      <w:r w:rsidR="006D37A4">
        <w:rPr>
          <w:rFonts w:ascii="Arial Narrow" w:hAnsi="Arial Narrow" w:cs="Times New Roman"/>
          <w:color w:val="000000" w:themeColor="text1"/>
          <w:sz w:val="24"/>
          <w:szCs w:val="24"/>
          <w:lang w:val="en-US"/>
        </w:rPr>
        <w:t>LNG</w:t>
      </w:r>
      <w:r w:rsidR="006D37A4" w:rsidRPr="006D37A4">
        <w:rPr>
          <w:rFonts w:ascii="Arial Narrow" w:hAnsi="Arial Narrow" w:cs="Times New Roman"/>
          <w:color w:val="000000" w:themeColor="text1"/>
          <w:sz w:val="24"/>
          <w:szCs w:val="24"/>
        </w:rPr>
        <w:t xml:space="preserve">, </w:t>
      </w:r>
      <w:r w:rsidR="006D37A4">
        <w:rPr>
          <w:rFonts w:ascii="Arial Narrow" w:hAnsi="Arial Narrow" w:cs="Times New Roman"/>
          <w:color w:val="000000" w:themeColor="text1"/>
          <w:sz w:val="24"/>
          <w:szCs w:val="24"/>
        </w:rPr>
        <w:t>υδρογόνο και δέσμευση και αποθήκευση άνθρακα (</w:t>
      </w:r>
      <w:r w:rsidR="006D37A4">
        <w:rPr>
          <w:rFonts w:ascii="Arial Narrow" w:hAnsi="Arial Narrow" w:cs="Times New Roman"/>
          <w:color w:val="000000" w:themeColor="text1"/>
          <w:sz w:val="24"/>
          <w:szCs w:val="24"/>
          <w:lang w:val="en-US"/>
        </w:rPr>
        <w:t>CCS</w:t>
      </w:r>
      <w:r w:rsidR="006D37A4" w:rsidRPr="006D37A4">
        <w:rPr>
          <w:rFonts w:ascii="Arial Narrow" w:hAnsi="Arial Narrow" w:cs="Times New Roman"/>
          <w:color w:val="000000" w:themeColor="text1"/>
          <w:sz w:val="24"/>
          <w:szCs w:val="24"/>
        </w:rPr>
        <w:t>).</w:t>
      </w:r>
    </w:p>
    <w:p w14:paraId="04FD65D7" w14:textId="04561655" w:rsidR="006D37A4" w:rsidRPr="000834C4" w:rsidRDefault="006D37A4" w:rsidP="00E923A4">
      <w:pPr>
        <w:spacing w:before="120" w:after="120"/>
        <w:jc w:val="both"/>
        <w:rPr>
          <w:rFonts w:ascii="Arial Narrow" w:hAnsi="Arial Narrow" w:cs="Times New Roman"/>
          <w:b/>
          <w:color w:val="548DD4" w:themeColor="text2" w:themeTint="99"/>
          <w:sz w:val="28"/>
          <w:szCs w:val="28"/>
        </w:rPr>
      </w:pPr>
      <w:r w:rsidRPr="000834C4">
        <w:rPr>
          <w:rFonts w:ascii="Arial Narrow" w:hAnsi="Arial Narrow" w:cs="Times New Roman"/>
          <w:b/>
          <w:color w:val="548DD4" w:themeColor="text2" w:themeTint="99"/>
          <w:sz w:val="28"/>
          <w:szCs w:val="28"/>
        </w:rPr>
        <w:t>6. Προκλήσεις και Προοπτικές</w:t>
      </w:r>
    </w:p>
    <w:p w14:paraId="75A371E0" w14:textId="469B2A09" w:rsidR="006D37A4" w:rsidRDefault="006D37A4"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Στις προκλήσεις περιλαμβάνονται </w:t>
      </w:r>
      <w:r w:rsidR="006224D5">
        <w:rPr>
          <w:rFonts w:ascii="Arial Narrow" w:hAnsi="Arial Narrow" w:cs="Times New Roman"/>
          <w:sz w:val="24"/>
          <w:szCs w:val="24"/>
        </w:rPr>
        <w:t>η μεταβλητότητα των διεθνών τιμών πετρελαίου, η ενεργειακή μετάβαση και απανθρακοποίηση, οι συνεχείς γεωπολτικοί κίνδυνοι στη Μέση Ανατολή, με αποκορύφωμα τις πρόσφατες πολεμικές συγκρούσεις στον Αραβικό Κόλπο μεταξύ ΗΠΑ, Ισραήλ και Ιράν και η ασφαλής διέλευση των Στενών του Ορμούζ. Αντίστοιχα στις προοπτικές περιλαμβάνονται η αύξηση της παραγωγικής δυναμικότητας στα 5 εκατ. βαρέλια ημερησίως, η ανάπτυξη μη συμβατικών κοιτασμάτων, η επέκταση πετροχημικών δραστηριοτήτων, η ανάδειξη των ΗΑΕ σε παγκόσμιο ενεργειακό κόμβο και η ενίσχυση εξαγωγών</w:t>
      </w:r>
      <w:r w:rsidR="006224D5" w:rsidRPr="006224D5">
        <w:rPr>
          <w:rFonts w:ascii="Arial Narrow" w:hAnsi="Arial Narrow" w:cs="Times New Roman"/>
          <w:sz w:val="24"/>
          <w:szCs w:val="24"/>
        </w:rPr>
        <w:t xml:space="preserve"> </w:t>
      </w:r>
      <w:r w:rsidR="006224D5">
        <w:rPr>
          <w:rFonts w:ascii="Arial Narrow" w:hAnsi="Arial Narrow" w:cs="Times New Roman"/>
          <w:sz w:val="24"/>
          <w:szCs w:val="24"/>
          <w:lang w:val="en-US"/>
        </w:rPr>
        <w:t>LNG</w:t>
      </w:r>
      <w:r w:rsidR="006224D5" w:rsidRPr="006224D5">
        <w:rPr>
          <w:rFonts w:ascii="Arial Narrow" w:hAnsi="Arial Narrow" w:cs="Times New Roman"/>
          <w:sz w:val="24"/>
          <w:szCs w:val="24"/>
        </w:rPr>
        <w:t xml:space="preserve"> </w:t>
      </w:r>
      <w:r w:rsidR="006224D5">
        <w:rPr>
          <w:rFonts w:ascii="Arial Narrow" w:hAnsi="Arial Narrow" w:cs="Times New Roman"/>
          <w:sz w:val="24"/>
          <w:szCs w:val="24"/>
        </w:rPr>
        <w:t xml:space="preserve">και καθαρού υδρογόνου. </w:t>
      </w:r>
    </w:p>
    <w:p w14:paraId="4AB8EBD6" w14:textId="77777777" w:rsidR="001578A9" w:rsidRDefault="001578A9" w:rsidP="00E923A4">
      <w:pPr>
        <w:spacing w:before="120" w:after="120"/>
        <w:jc w:val="both"/>
        <w:rPr>
          <w:rFonts w:ascii="Arial Narrow" w:hAnsi="Arial Narrow" w:cs="Times New Roman"/>
          <w:color w:val="548DD4" w:themeColor="text2" w:themeTint="99"/>
          <w:sz w:val="24"/>
          <w:szCs w:val="24"/>
        </w:rPr>
      </w:pPr>
    </w:p>
    <w:p w14:paraId="49A87B67" w14:textId="40A0C62F" w:rsidR="001578A9" w:rsidRPr="00205BE4" w:rsidRDefault="00BF33F0" w:rsidP="00BF33F0">
      <w:pPr>
        <w:spacing w:before="120" w:after="120"/>
        <w:jc w:val="center"/>
        <w:rPr>
          <w:rFonts w:ascii="Arial Narrow" w:hAnsi="Arial Narrow" w:cs="Times New Roman"/>
          <w:b/>
          <w:color w:val="548DD4" w:themeColor="text2" w:themeTint="99"/>
          <w:sz w:val="28"/>
          <w:szCs w:val="28"/>
        </w:rPr>
      </w:pPr>
      <w:r>
        <w:rPr>
          <w:rFonts w:ascii="Arial Narrow" w:hAnsi="Arial Narrow" w:cs="Times New Roman"/>
          <w:b/>
          <w:color w:val="548DD4" w:themeColor="text2" w:themeTint="99"/>
          <w:sz w:val="28"/>
          <w:szCs w:val="28"/>
        </w:rPr>
        <w:t xml:space="preserve">7. </w:t>
      </w:r>
      <w:r w:rsidR="001578A9" w:rsidRPr="00205BE4">
        <w:rPr>
          <w:rFonts w:ascii="Arial Narrow" w:hAnsi="Arial Narrow" w:cs="Times New Roman"/>
          <w:b/>
          <w:color w:val="548DD4" w:themeColor="text2" w:themeTint="99"/>
          <w:sz w:val="28"/>
          <w:szCs w:val="28"/>
        </w:rPr>
        <w:t>ΤΟΜΕΑΣ ΦΥΣΙΚΟΥ ΑΕΡΙΟΥ ΣΤΑ ΗΝΩΜΕΝΑ ΑΡΑΒΙΚΑ ΕΜΙΡΑΤΑ</w:t>
      </w:r>
    </w:p>
    <w:p w14:paraId="6A74E710" w14:textId="15DF910C" w:rsidR="00F737F2" w:rsidRPr="000834C4" w:rsidRDefault="00760B71" w:rsidP="00E923A4">
      <w:pPr>
        <w:spacing w:before="120" w:after="120"/>
        <w:jc w:val="both"/>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7.1. </w:t>
      </w:r>
      <w:r w:rsidR="001578A9" w:rsidRPr="000834C4">
        <w:rPr>
          <w:rFonts w:ascii="Arial Narrow" w:hAnsi="Arial Narrow" w:cs="Times New Roman"/>
          <w:b/>
          <w:color w:val="548DD4" w:themeColor="text2" w:themeTint="99"/>
          <w:sz w:val="24"/>
          <w:szCs w:val="24"/>
        </w:rPr>
        <w:t>Γενική Επισκόπηση</w:t>
      </w:r>
    </w:p>
    <w:p w14:paraId="29BB14C0" w14:textId="1754A4B2" w:rsidR="001578A9" w:rsidRDefault="001578A9"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Τα Ηνωμένα Αραβκά Εμιράτα αποτελούν έναν από τους σημαντικότερους παραγωγούς και εξαγωγείς φ/α στη Μέση Ανατολή. Το φ/α διαδραματίζει στρατηγικό ρόλο στην ενεργειακή ασφάλεια της χώρας, στη παραγωγή ηλεκτρικής ενέργειας, στην αφαλάτωση νερού, στη βιομηχανική παραγωγή και στις εξαγωγές </w:t>
      </w:r>
      <w:r>
        <w:rPr>
          <w:rFonts w:ascii="Arial Narrow" w:hAnsi="Arial Narrow" w:cs="Times New Roman"/>
          <w:sz w:val="24"/>
          <w:szCs w:val="24"/>
          <w:lang w:val="en-US"/>
        </w:rPr>
        <w:t>LNG</w:t>
      </w:r>
      <w:r w:rsidRPr="001578A9">
        <w:rPr>
          <w:rFonts w:ascii="Arial Narrow" w:hAnsi="Arial Narrow" w:cs="Times New Roman"/>
          <w:sz w:val="24"/>
          <w:szCs w:val="24"/>
        </w:rPr>
        <w:t>.</w:t>
      </w:r>
      <w:r>
        <w:rPr>
          <w:rFonts w:ascii="Arial Narrow" w:hAnsi="Arial Narrow" w:cs="Times New Roman"/>
          <w:sz w:val="24"/>
          <w:szCs w:val="24"/>
        </w:rPr>
        <w:t xml:space="preserve"> Η χώρα ακολουθεί στατηγική μετάβασης από οικονομία που βασίζεται κυρίως στο πετρέλαιο προς ένα διαφοροποιημένο </w:t>
      </w:r>
      <w:r w:rsidR="00E044B7">
        <w:rPr>
          <w:rFonts w:ascii="Arial Narrow" w:hAnsi="Arial Narrow" w:cs="Times New Roman"/>
          <w:sz w:val="24"/>
          <w:szCs w:val="24"/>
        </w:rPr>
        <w:t>ενεργειακό μοντέλο, όπου το φ/α λειτουργεί ως «καύσιμο μετάβασης» προς μια οικονομία χαμηλότερων εκπομπών άνθρακα.</w:t>
      </w:r>
    </w:p>
    <w:p w14:paraId="7C439D12" w14:textId="25D08CF5" w:rsidR="003F47AF" w:rsidRDefault="00E044B7"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Τα ΗΑΕ διαθέτουν τα έβδομα μεγαλύτερα αποδεδειγμένα αποθέματα φ/α, 290 έως 300 τρις κυβικά πόδια, και το 4% των παγκόσμιων αποθεμάτων. Τα μεγαλύτερα κοιτάσματα </w:t>
      </w:r>
      <w:r w:rsidR="003F47AF">
        <w:rPr>
          <w:rFonts w:ascii="Arial Narrow" w:hAnsi="Arial Narrow" w:cs="Times New Roman"/>
          <w:sz w:val="24"/>
          <w:szCs w:val="24"/>
        </w:rPr>
        <w:t xml:space="preserve">βρίσκονται στο Εμιράτο του </w:t>
      </w:r>
      <w:r w:rsidR="003F47AF">
        <w:rPr>
          <w:rFonts w:ascii="Arial Narrow" w:hAnsi="Arial Narrow" w:cs="Times New Roman"/>
          <w:sz w:val="24"/>
          <w:szCs w:val="24"/>
          <w:lang w:val="en-US"/>
        </w:rPr>
        <w:t>Abu</w:t>
      </w:r>
      <w:r w:rsidR="003F47AF" w:rsidRPr="003F47AF">
        <w:rPr>
          <w:rFonts w:ascii="Arial Narrow" w:hAnsi="Arial Narrow" w:cs="Times New Roman"/>
          <w:sz w:val="24"/>
          <w:szCs w:val="24"/>
        </w:rPr>
        <w:t xml:space="preserve"> </w:t>
      </w:r>
      <w:r w:rsidR="003F47AF">
        <w:rPr>
          <w:rFonts w:ascii="Arial Narrow" w:hAnsi="Arial Narrow" w:cs="Times New Roman"/>
          <w:sz w:val="24"/>
          <w:szCs w:val="24"/>
          <w:lang w:val="en-US"/>
        </w:rPr>
        <w:t>Dhabi</w:t>
      </w:r>
      <w:r w:rsidR="003F47AF" w:rsidRPr="003F47AF">
        <w:rPr>
          <w:rFonts w:ascii="Arial Narrow" w:hAnsi="Arial Narrow" w:cs="Times New Roman"/>
          <w:sz w:val="24"/>
          <w:szCs w:val="24"/>
        </w:rPr>
        <w:t xml:space="preserve"> </w:t>
      </w:r>
      <w:r w:rsidR="003F47AF">
        <w:rPr>
          <w:rFonts w:ascii="Arial Narrow" w:hAnsi="Arial Narrow" w:cs="Times New Roman"/>
          <w:sz w:val="24"/>
          <w:szCs w:val="24"/>
        </w:rPr>
        <w:t xml:space="preserve">και ιδιαίτερα στα πεδία </w:t>
      </w:r>
      <w:r w:rsidR="003F47AF">
        <w:rPr>
          <w:rFonts w:ascii="Arial Narrow" w:hAnsi="Arial Narrow" w:cs="Times New Roman"/>
          <w:sz w:val="24"/>
          <w:szCs w:val="24"/>
          <w:lang w:val="en-US"/>
        </w:rPr>
        <w:t>Shah</w:t>
      </w:r>
      <w:r w:rsidR="003F47AF" w:rsidRPr="003F47AF">
        <w:rPr>
          <w:rFonts w:ascii="Arial Narrow" w:hAnsi="Arial Narrow" w:cs="Times New Roman"/>
          <w:sz w:val="24"/>
          <w:szCs w:val="24"/>
        </w:rPr>
        <w:t xml:space="preserve"> </w:t>
      </w:r>
      <w:r w:rsidR="003F47AF">
        <w:rPr>
          <w:rFonts w:ascii="Arial Narrow" w:hAnsi="Arial Narrow" w:cs="Times New Roman"/>
          <w:sz w:val="24"/>
          <w:szCs w:val="24"/>
          <w:lang w:val="en-US"/>
        </w:rPr>
        <w:t>Gas</w:t>
      </w:r>
      <w:r w:rsidR="003F47AF" w:rsidRPr="003F47AF">
        <w:rPr>
          <w:rFonts w:ascii="Arial Narrow" w:hAnsi="Arial Narrow" w:cs="Times New Roman"/>
          <w:sz w:val="24"/>
          <w:szCs w:val="24"/>
        </w:rPr>
        <w:t xml:space="preserve"> </w:t>
      </w:r>
      <w:r w:rsidR="003F47AF">
        <w:rPr>
          <w:rFonts w:ascii="Arial Narrow" w:hAnsi="Arial Narrow" w:cs="Times New Roman"/>
          <w:sz w:val="24"/>
          <w:szCs w:val="24"/>
          <w:lang w:val="en-US"/>
        </w:rPr>
        <w:t>Field</w:t>
      </w:r>
      <w:r w:rsidR="003F47AF" w:rsidRPr="003F47AF">
        <w:rPr>
          <w:rFonts w:ascii="Arial Narrow" w:hAnsi="Arial Narrow" w:cs="Times New Roman"/>
          <w:sz w:val="24"/>
          <w:szCs w:val="24"/>
        </w:rPr>
        <w:t xml:space="preserve">, </w:t>
      </w:r>
      <w:r w:rsidR="003F47AF">
        <w:rPr>
          <w:rFonts w:ascii="Arial Narrow" w:hAnsi="Arial Narrow" w:cs="Times New Roman"/>
          <w:sz w:val="24"/>
          <w:szCs w:val="24"/>
          <w:lang w:val="en-US"/>
        </w:rPr>
        <w:t>Bab</w:t>
      </w:r>
      <w:r w:rsidR="003F47AF" w:rsidRPr="003F47AF">
        <w:rPr>
          <w:rFonts w:ascii="Arial Narrow" w:hAnsi="Arial Narrow" w:cs="Times New Roman"/>
          <w:sz w:val="24"/>
          <w:szCs w:val="24"/>
        </w:rPr>
        <w:t xml:space="preserve"> </w:t>
      </w:r>
      <w:r w:rsidR="003F47AF">
        <w:rPr>
          <w:rFonts w:ascii="Arial Narrow" w:hAnsi="Arial Narrow" w:cs="Times New Roman"/>
          <w:sz w:val="24"/>
          <w:szCs w:val="24"/>
          <w:lang w:val="en-US"/>
        </w:rPr>
        <w:t>Gas</w:t>
      </w:r>
      <w:r w:rsidR="003F47AF" w:rsidRPr="003F47AF">
        <w:rPr>
          <w:rFonts w:ascii="Arial Narrow" w:hAnsi="Arial Narrow" w:cs="Times New Roman"/>
          <w:sz w:val="24"/>
          <w:szCs w:val="24"/>
        </w:rPr>
        <w:t xml:space="preserve"> </w:t>
      </w:r>
      <w:r w:rsidR="003F47AF">
        <w:rPr>
          <w:rFonts w:ascii="Arial Narrow" w:hAnsi="Arial Narrow" w:cs="Times New Roman"/>
          <w:sz w:val="24"/>
          <w:szCs w:val="24"/>
          <w:lang w:val="en-US"/>
        </w:rPr>
        <w:t>Field</w:t>
      </w:r>
      <w:r w:rsidR="003F47AF" w:rsidRPr="003F47AF">
        <w:rPr>
          <w:rFonts w:ascii="Arial Narrow" w:hAnsi="Arial Narrow" w:cs="Times New Roman"/>
          <w:sz w:val="24"/>
          <w:szCs w:val="24"/>
        </w:rPr>
        <w:t xml:space="preserve">, </w:t>
      </w:r>
      <w:r w:rsidR="003F47AF">
        <w:rPr>
          <w:rFonts w:ascii="Arial Narrow" w:hAnsi="Arial Narrow" w:cs="Times New Roman"/>
          <w:sz w:val="24"/>
          <w:szCs w:val="24"/>
          <w:lang w:val="en-US"/>
        </w:rPr>
        <w:t>Habshan</w:t>
      </w:r>
      <w:r w:rsidR="003F47AF" w:rsidRPr="003F47AF">
        <w:rPr>
          <w:rFonts w:ascii="Arial Narrow" w:hAnsi="Arial Narrow" w:cs="Times New Roman"/>
          <w:sz w:val="24"/>
          <w:szCs w:val="24"/>
        </w:rPr>
        <w:t xml:space="preserve">, </w:t>
      </w:r>
      <w:r w:rsidR="003F47AF">
        <w:rPr>
          <w:rFonts w:ascii="Arial Narrow" w:hAnsi="Arial Narrow" w:cs="Times New Roman"/>
          <w:sz w:val="24"/>
          <w:szCs w:val="24"/>
          <w:lang w:val="en-US"/>
        </w:rPr>
        <w:t>Ghasha</w:t>
      </w:r>
      <w:r w:rsidR="003F47AF" w:rsidRPr="003F47AF">
        <w:rPr>
          <w:rFonts w:ascii="Arial Narrow" w:hAnsi="Arial Narrow" w:cs="Times New Roman"/>
          <w:sz w:val="24"/>
          <w:szCs w:val="24"/>
        </w:rPr>
        <w:t xml:space="preserve"> </w:t>
      </w:r>
      <w:r w:rsidR="003F47AF">
        <w:rPr>
          <w:rFonts w:ascii="Arial Narrow" w:hAnsi="Arial Narrow" w:cs="Times New Roman"/>
          <w:sz w:val="24"/>
          <w:szCs w:val="24"/>
          <w:lang w:val="en-US"/>
        </w:rPr>
        <w:t>Offshore</w:t>
      </w:r>
      <w:r w:rsidR="003F47AF" w:rsidRPr="003F47AF">
        <w:rPr>
          <w:rFonts w:ascii="Arial Narrow" w:hAnsi="Arial Narrow" w:cs="Times New Roman"/>
          <w:sz w:val="24"/>
          <w:szCs w:val="24"/>
        </w:rPr>
        <w:t xml:space="preserve"> </w:t>
      </w:r>
      <w:r w:rsidR="003F47AF">
        <w:rPr>
          <w:rFonts w:ascii="Arial Narrow" w:hAnsi="Arial Narrow" w:cs="Times New Roman"/>
          <w:sz w:val="24"/>
          <w:szCs w:val="24"/>
          <w:lang w:val="en-US"/>
        </w:rPr>
        <w:t>Concession</w:t>
      </w:r>
      <w:r w:rsidR="003F47AF" w:rsidRPr="003F47AF">
        <w:rPr>
          <w:rFonts w:ascii="Arial Narrow" w:hAnsi="Arial Narrow" w:cs="Times New Roman"/>
          <w:sz w:val="24"/>
          <w:szCs w:val="24"/>
        </w:rPr>
        <w:t xml:space="preserve">, </w:t>
      </w:r>
      <w:r w:rsidR="003F47AF">
        <w:rPr>
          <w:rFonts w:ascii="Arial Narrow" w:hAnsi="Arial Narrow" w:cs="Times New Roman"/>
          <w:sz w:val="24"/>
          <w:szCs w:val="24"/>
          <w:lang w:val="en-US"/>
        </w:rPr>
        <w:t>Hail</w:t>
      </w:r>
      <w:r w:rsidR="003F47AF" w:rsidRPr="003F47AF">
        <w:rPr>
          <w:rFonts w:ascii="Arial Narrow" w:hAnsi="Arial Narrow" w:cs="Times New Roman"/>
          <w:sz w:val="24"/>
          <w:szCs w:val="24"/>
        </w:rPr>
        <w:t xml:space="preserve"> &amp; </w:t>
      </w:r>
      <w:r w:rsidR="003F47AF">
        <w:rPr>
          <w:rFonts w:ascii="Arial Narrow" w:hAnsi="Arial Narrow" w:cs="Times New Roman"/>
          <w:sz w:val="24"/>
          <w:szCs w:val="24"/>
          <w:lang w:val="en-US"/>
        </w:rPr>
        <w:t>Ghasha</w:t>
      </w:r>
      <w:r w:rsidR="003F47AF" w:rsidRPr="003F47AF">
        <w:rPr>
          <w:rFonts w:ascii="Arial Narrow" w:hAnsi="Arial Narrow" w:cs="Times New Roman"/>
          <w:sz w:val="24"/>
          <w:szCs w:val="24"/>
        </w:rPr>
        <w:t xml:space="preserve"> </w:t>
      </w:r>
      <w:r w:rsidR="003F47AF">
        <w:rPr>
          <w:rFonts w:ascii="Arial Narrow" w:hAnsi="Arial Narrow" w:cs="Times New Roman"/>
          <w:sz w:val="24"/>
          <w:szCs w:val="24"/>
          <w:lang w:val="en-US"/>
        </w:rPr>
        <w:t>Project</w:t>
      </w:r>
      <w:r w:rsidR="003F47AF" w:rsidRPr="003F47AF">
        <w:rPr>
          <w:rFonts w:ascii="Arial Narrow" w:hAnsi="Arial Narrow" w:cs="Times New Roman"/>
          <w:sz w:val="24"/>
          <w:szCs w:val="24"/>
        </w:rPr>
        <w:t xml:space="preserve">  &amp; </w:t>
      </w:r>
      <w:r w:rsidR="003F47AF">
        <w:rPr>
          <w:rFonts w:ascii="Arial Narrow" w:hAnsi="Arial Narrow" w:cs="Times New Roman"/>
          <w:sz w:val="24"/>
          <w:szCs w:val="24"/>
          <w:lang w:val="en-US"/>
        </w:rPr>
        <w:t>Das</w:t>
      </w:r>
      <w:r w:rsidR="003F47AF" w:rsidRPr="003F47AF">
        <w:rPr>
          <w:rFonts w:ascii="Arial Narrow" w:hAnsi="Arial Narrow" w:cs="Times New Roman"/>
          <w:sz w:val="24"/>
          <w:szCs w:val="24"/>
        </w:rPr>
        <w:t xml:space="preserve"> </w:t>
      </w:r>
      <w:r w:rsidR="003F47AF">
        <w:rPr>
          <w:rFonts w:ascii="Arial Narrow" w:hAnsi="Arial Narrow" w:cs="Times New Roman"/>
          <w:sz w:val="24"/>
          <w:szCs w:val="24"/>
          <w:lang w:val="en-US"/>
        </w:rPr>
        <w:t>Island</w:t>
      </w:r>
      <w:r w:rsidR="003F47AF" w:rsidRPr="003F47AF">
        <w:rPr>
          <w:rFonts w:ascii="Arial Narrow" w:hAnsi="Arial Narrow" w:cs="Times New Roman"/>
          <w:sz w:val="24"/>
          <w:szCs w:val="24"/>
        </w:rPr>
        <w:t>.</w:t>
      </w:r>
    </w:p>
    <w:p w14:paraId="4CBC63DA" w14:textId="725413ED" w:rsidR="003F47AF" w:rsidRDefault="003F47AF" w:rsidP="00E923A4">
      <w:pPr>
        <w:spacing w:before="120" w:after="120"/>
        <w:jc w:val="both"/>
        <w:rPr>
          <w:rFonts w:ascii="Arial Narrow" w:hAnsi="Arial Narrow" w:cs="Times New Roman"/>
          <w:sz w:val="24"/>
          <w:szCs w:val="24"/>
        </w:rPr>
      </w:pPr>
      <w:r>
        <w:rPr>
          <w:rFonts w:ascii="Arial Narrow" w:hAnsi="Arial Narrow" w:cs="Times New Roman"/>
          <w:sz w:val="24"/>
          <w:szCs w:val="24"/>
          <w:lang w:val="en-US"/>
        </w:rPr>
        <w:t>H</w:t>
      </w:r>
      <w:r w:rsidRPr="00BC3392">
        <w:rPr>
          <w:rFonts w:ascii="Arial Narrow" w:hAnsi="Arial Narrow" w:cs="Times New Roman"/>
          <w:sz w:val="24"/>
          <w:szCs w:val="24"/>
        </w:rPr>
        <w:t xml:space="preserve"> </w:t>
      </w:r>
      <w:r w:rsidR="00BC3392">
        <w:rPr>
          <w:rFonts w:ascii="Arial Narrow" w:hAnsi="Arial Narrow" w:cs="Times New Roman"/>
          <w:sz w:val="24"/>
          <w:szCs w:val="24"/>
        </w:rPr>
        <w:t xml:space="preserve">παραγωγή φ/α αυξάνεται σταθερά λόγω των επενδύσεων της </w:t>
      </w:r>
      <w:r w:rsidR="00BC3392">
        <w:rPr>
          <w:rFonts w:ascii="Arial Narrow" w:hAnsi="Arial Narrow" w:cs="Times New Roman"/>
          <w:sz w:val="24"/>
          <w:szCs w:val="24"/>
          <w:lang w:val="en-US"/>
        </w:rPr>
        <w:t>ADNOC</w:t>
      </w:r>
      <w:r w:rsidR="00BC3392" w:rsidRPr="00BC3392">
        <w:rPr>
          <w:rFonts w:ascii="Arial Narrow" w:hAnsi="Arial Narrow" w:cs="Times New Roman"/>
          <w:sz w:val="24"/>
          <w:szCs w:val="24"/>
        </w:rPr>
        <w:t xml:space="preserve"> </w:t>
      </w:r>
      <w:r w:rsidR="00BC3392">
        <w:rPr>
          <w:rFonts w:ascii="Arial Narrow" w:hAnsi="Arial Narrow" w:cs="Times New Roman"/>
          <w:sz w:val="24"/>
          <w:szCs w:val="24"/>
        </w:rPr>
        <w:t xml:space="preserve">καθώς και της θυγατρικής της </w:t>
      </w:r>
      <w:r w:rsidR="00BC3392">
        <w:rPr>
          <w:rFonts w:ascii="Arial Narrow" w:hAnsi="Arial Narrow" w:cs="Times New Roman"/>
          <w:sz w:val="24"/>
          <w:szCs w:val="24"/>
          <w:lang w:val="en-US"/>
        </w:rPr>
        <w:t>ADNOC</w:t>
      </w:r>
      <w:r w:rsidR="00BC3392" w:rsidRPr="00BC3392">
        <w:rPr>
          <w:rFonts w:ascii="Arial Narrow" w:hAnsi="Arial Narrow" w:cs="Times New Roman"/>
          <w:sz w:val="24"/>
          <w:szCs w:val="24"/>
        </w:rPr>
        <w:t xml:space="preserve"> </w:t>
      </w:r>
      <w:r w:rsidR="00BC3392">
        <w:rPr>
          <w:rFonts w:ascii="Arial Narrow" w:hAnsi="Arial Narrow" w:cs="Times New Roman"/>
          <w:sz w:val="24"/>
          <w:szCs w:val="24"/>
          <w:lang w:val="en-US"/>
        </w:rPr>
        <w:t>Gas</w:t>
      </w:r>
      <w:r w:rsidR="00BC3392" w:rsidRPr="00BC3392">
        <w:rPr>
          <w:rFonts w:ascii="Arial Narrow" w:hAnsi="Arial Narrow" w:cs="Times New Roman"/>
          <w:sz w:val="24"/>
          <w:szCs w:val="24"/>
        </w:rPr>
        <w:t xml:space="preserve">. </w:t>
      </w:r>
      <w:r w:rsidR="00BC3392">
        <w:rPr>
          <w:rFonts w:ascii="Arial Narrow" w:hAnsi="Arial Narrow" w:cs="Times New Roman"/>
          <w:sz w:val="24"/>
          <w:szCs w:val="24"/>
        </w:rPr>
        <w:t xml:space="preserve">Η παραγωγή εκτιμάται για το χρονικό διάστημα 2023-2025 παρουσίασε αυξητικές τάσεις και συγκεκριμένα το 2023 έφθασε στα 58 κυβικά πόδια ημερησίως, το 2024 στα 60 κυβικά πόδια ημερησίως και για το 2025 η εκτίμηση είναι ότι έφθασε στα 62 έως 64 κυβικά πόδια ημερησίως. Σύμφωνα με τα στοιχεία αυτά η παραγωγή αντιστοιχεί σε 5,8 έως 6,0 δις κυβικά πόδια ημερησίως και 165 έως 180 κυβικά μέτρα ημερησίως. Επίσης η </w:t>
      </w:r>
      <w:r w:rsidR="00BC3392">
        <w:rPr>
          <w:rFonts w:ascii="Arial Narrow" w:hAnsi="Arial Narrow" w:cs="Times New Roman"/>
          <w:sz w:val="24"/>
          <w:szCs w:val="24"/>
          <w:lang w:val="en-US"/>
        </w:rPr>
        <w:t>ADNOC</w:t>
      </w:r>
      <w:r w:rsidR="00BC3392" w:rsidRPr="009E09CE">
        <w:rPr>
          <w:rFonts w:ascii="Arial Narrow" w:hAnsi="Arial Narrow" w:cs="Times New Roman"/>
          <w:sz w:val="24"/>
          <w:szCs w:val="24"/>
        </w:rPr>
        <w:t xml:space="preserve"> </w:t>
      </w:r>
      <w:r w:rsidR="00BC3392">
        <w:rPr>
          <w:rFonts w:ascii="Arial Narrow" w:hAnsi="Arial Narrow" w:cs="Times New Roman"/>
          <w:sz w:val="24"/>
          <w:szCs w:val="24"/>
          <w:lang w:val="en-US"/>
        </w:rPr>
        <w:t>Gas</w:t>
      </w:r>
      <w:r w:rsidR="009E09CE">
        <w:rPr>
          <w:rFonts w:ascii="Arial Narrow" w:hAnsi="Arial Narrow" w:cs="Times New Roman"/>
          <w:sz w:val="24"/>
          <w:szCs w:val="24"/>
        </w:rPr>
        <w:t xml:space="preserve"> διαθέτει δυναμικότητα επεξεργασίας άνω των 10 δις κυβικών ποδών ημερησίως.</w:t>
      </w:r>
    </w:p>
    <w:p w14:paraId="6218E49C" w14:textId="0B625DB1" w:rsidR="009E09CE" w:rsidRDefault="009E09CE"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Η κυριότερη </w:t>
      </w:r>
      <w:r w:rsidR="006076B9">
        <w:rPr>
          <w:rFonts w:ascii="Arial Narrow" w:hAnsi="Arial Narrow" w:cs="Times New Roman"/>
          <w:sz w:val="24"/>
          <w:szCs w:val="24"/>
        </w:rPr>
        <w:t xml:space="preserve">εταιρεία στο τομέα του φ/α στα Ηνωμένα Αραβικά Εμιράτα είναι η </w:t>
      </w:r>
      <w:r w:rsidR="006076B9">
        <w:rPr>
          <w:rFonts w:ascii="Arial Narrow" w:hAnsi="Arial Narrow" w:cs="Times New Roman"/>
          <w:sz w:val="24"/>
          <w:szCs w:val="24"/>
          <w:lang w:val="en-US"/>
        </w:rPr>
        <w:t>ADNOC</w:t>
      </w:r>
      <w:r w:rsidR="006076B9" w:rsidRPr="006076B9">
        <w:rPr>
          <w:rFonts w:ascii="Arial Narrow" w:hAnsi="Arial Narrow" w:cs="Times New Roman"/>
          <w:sz w:val="24"/>
          <w:szCs w:val="24"/>
        </w:rPr>
        <w:t xml:space="preserve"> </w:t>
      </w:r>
      <w:r w:rsidR="006076B9">
        <w:rPr>
          <w:rFonts w:ascii="Arial Narrow" w:hAnsi="Arial Narrow" w:cs="Times New Roman"/>
          <w:sz w:val="24"/>
          <w:szCs w:val="24"/>
          <w:lang w:val="en-US"/>
        </w:rPr>
        <w:t>Gas</w:t>
      </w:r>
      <w:r w:rsidR="00621D65">
        <w:rPr>
          <w:rFonts w:ascii="Arial Narrow" w:hAnsi="Arial Narrow" w:cs="Times New Roman"/>
          <w:sz w:val="24"/>
          <w:szCs w:val="24"/>
        </w:rPr>
        <w:t>, που λειτουργεί ως ο μεγαλύτερος παραγωγός και διαχειριστής φ/α. Σημαντικά στοιχεία είναι η δυναμικότητα επεξεργασίας σε περισσότερα από 10 δις κυβικά πόδια ημερησίως, το μήκος δικτύου αγωγών, συνολικού μήκους 3.260 χλμ, η κάλυψη της εγχώριας ζήτησης κατά 60% &amp; οι εξαγωγές σε περισσότερες από 20 χώρες.</w:t>
      </w:r>
    </w:p>
    <w:p w14:paraId="57B10074" w14:textId="0909F7F9" w:rsidR="00621D65" w:rsidRDefault="00621D65"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Όαον αφορά τις υποδομές φ/α υπάρχουν διάφορα κέντρα επεξεργασίας όπως </w:t>
      </w:r>
      <w:r>
        <w:rPr>
          <w:rFonts w:ascii="Arial Narrow" w:hAnsi="Arial Narrow" w:cs="Times New Roman"/>
          <w:sz w:val="24"/>
          <w:szCs w:val="24"/>
          <w:lang w:val="en-US"/>
        </w:rPr>
        <w:t>Habshan</w:t>
      </w:r>
      <w:r w:rsidRPr="00621D65">
        <w:rPr>
          <w:rFonts w:ascii="Arial Narrow" w:hAnsi="Arial Narrow" w:cs="Times New Roman"/>
          <w:sz w:val="24"/>
          <w:szCs w:val="24"/>
        </w:rPr>
        <w:t xml:space="preserve"> </w:t>
      </w:r>
      <w:r>
        <w:rPr>
          <w:rFonts w:ascii="Arial Narrow" w:hAnsi="Arial Narrow" w:cs="Times New Roman"/>
          <w:sz w:val="24"/>
          <w:szCs w:val="24"/>
          <w:lang w:val="en-US"/>
        </w:rPr>
        <w:t>Gas</w:t>
      </w:r>
      <w:r w:rsidRPr="00621D65">
        <w:rPr>
          <w:rFonts w:ascii="Arial Narrow" w:hAnsi="Arial Narrow" w:cs="Times New Roman"/>
          <w:sz w:val="24"/>
          <w:szCs w:val="24"/>
        </w:rPr>
        <w:t xml:space="preserve"> </w:t>
      </w:r>
      <w:r>
        <w:rPr>
          <w:rFonts w:ascii="Arial Narrow" w:hAnsi="Arial Narrow" w:cs="Times New Roman"/>
          <w:sz w:val="24"/>
          <w:szCs w:val="24"/>
          <w:lang w:val="en-US"/>
        </w:rPr>
        <w:t>Complex</w:t>
      </w:r>
      <w:r w:rsidRPr="00621D65">
        <w:rPr>
          <w:rFonts w:ascii="Arial Narrow" w:hAnsi="Arial Narrow" w:cs="Times New Roman"/>
          <w:sz w:val="24"/>
          <w:szCs w:val="24"/>
        </w:rPr>
        <w:t xml:space="preserve"> (</w:t>
      </w:r>
      <w:r>
        <w:rPr>
          <w:rFonts w:ascii="Arial Narrow" w:hAnsi="Arial Narrow" w:cs="Times New Roman"/>
          <w:sz w:val="24"/>
          <w:szCs w:val="24"/>
        </w:rPr>
        <w:t xml:space="preserve">το μεγαλύτερο συγκρότημα επεξεργασίας φ/α στη χώρα) και άλλα όπως </w:t>
      </w:r>
      <w:r>
        <w:rPr>
          <w:rFonts w:ascii="Arial Narrow" w:hAnsi="Arial Narrow" w:cs="Times New Roman"/>
          <w:sz w:val="24"/>
          <w:szCs w:val="24"/>
          <w:lang w:val="en-US"/>
        </w:rPr>
        <w:t>Asab</w:t>
      </w:r>
      <w:r w:rsidRPr="00621D65">
        <w:rPr>
          <w:rFonts w:ascii="Arial Narrow" w:hAnsi="Arial Narrow" w:cs="Times New Roman"/>
          <w:sz w:val="24"/>
          <w:szCs w:val="24"/>
        </w:rPr>
        <w:t xml:space="preserve"> </w:t>
      </w:r>
      <w:r>
        <w:rPr>
          <w:rFonts w:ascii="Arial Narrow" w:hAnsi="Arial Narrow" w:cs="Times New Roman"/>
          <w:sz w:val="24"/>
          <w:szCs w:val="24"/>
          <w:lang w:val="en-US"/>
        </w:rPr>
        <w:t>Gas</w:t>
      </w:r>
      <w:r w:rsidRPr="00621D65">
        <w:rPr>
          <w:rFonts w:ascii="Arial Narrow" w:hAnsi="Arial Narrow" w:cs="Times New Roman"/>
          <w:sz w:val="24"/>
          <w:szCs w:val="24"/>
        </w:rPr>
        <w:t xml:space="preserve"> </w:t>
      </w:r>
      <w:r>
        <w:rPr>
          <w:rFonts w:ascii="Arial Narrow" w:hAnsi="Arial Narrow" w:cs="Times New Roman"/>
          <w:sz w:val="24"/>
          <w:szCs w:val="24"/>
          <w:lang w:val="en-US"/>
        </w:rPr>
        <w:t>Plant</w:t>
      </w:r>
      <w:r w:rsidRPr="00621D65">
        <w:rPr>
          <w:rFonts w:ascii="Arial Narrow" w:hAnsi="Arial Narrow" w:cs="Times New Roman"/>
          <w:sz w:val="24"/>
          <w:szCs w:val="24"/>
        </w:rPr>
        <w:t xml:space="preserve">, </w:t>
      </w:r>
      <w:r>
        <w:rPr>
          <w:rFonts w:ascii="Arial Narrow" w:hAnsi="Arial Narrow" w:cs="Times New Roman"/>
          <w:sz w:val="24"/>
          <w:szCs w:val="24"/>
          <w:lang w:val="en-US"/>
        </w:rPr>
        <w:t>Bab</w:t>
      </w:r>
      <w:r w:rsidRPr="00621D65">
        <w:rPr>
          <w:rFonts w:ascii="Arial Narrow" w:hAnsi="Arial Narrow" w:cs="Times New Roman"/>
          <w:sz w:val="24"/>
          <w:szCs w:val="24"/>
        </w:rPr>
        <w:t xml:space="preserve"> </w:t>
      </w:r>
      <w:r>
        <w:rPr>
          <w:rFonts w:ascii="Arial Narrow" w:hAnsi="Arial Narrow" w:cs="Times New Roman"/>
          <w:sz w:val="24"/>
          <w:szCs w:val="24"/>
          <w:lang w:val="en-US"/>
        </w:rPr>
        <w:t>Gas</w:t>
      </w:r>
      <w:r w:rsidRPr="00621D65">
        <w:rPr>
          <w:rFonts w:ascii="Arial Narrow" w:hAnsi="Arial Narrow" w:cs="Times New Roman"/>
          <w:sz w:val="24"/>
          <w:szCs w:val="24"/>
        </w:rPr>
        <w:t xml:space="preserve"> </w:t>
      </w:r>
      <w:r>
        <w:rPr>
          <w:rFonts w:ascii="Arial Narrow" w:hAnsi="Arial Narrow" w:cs="Times New Roman"/>
          <w:sz w:val="24"/>
          <w:szCs w:val="24"/>
          <w:lang w:val="en-US"/>
        </w:rPr>
        <w:t>Plant</w:t>
      </w:r>
      <w:r w:rsidRPr="00621D65">
        <w:rPr>
          <w:rFonts w:ascii="Arial Narrow" w:hAnsi="Arial Narrow" w:cs="Times New Roman"/>
          <w:sz w:val="24"/>
          <w:szCs w:val="24"/>
        </w:rPr>
        <w:t xml:space="preserve">, </w:t>
      </w:r>
      <w:r>
        <w:rPr>
          <w:rFonts w:ascii="Arial Narrow" w:hAnsi="Arial Narrow" w:cs="Times New Roman"/>
          <w:sz w:val="24"/>
          <w:szCs w:val="24"/>
          <w:lang w:val="en-US"/>
        </w:rPr>
        <w:t>Buhasa</w:t>
      </w:r>
      <w:r w:rsidRPr="00621D65">
        <w:rPr>
          <w:rFonts w:ascii="Arial Narrow" w:hAnsi="Arial Narrow" w:cs="Times New Roman"/>
          <w:sz w:val="24"/>
          <w:szCs w:val="24"/>
        </w:rPr>
        <w:t xml:space="preserve"> </w:t>
      </w:r>
      <w:r>
        <w:rPr>
          <w:rFonts w:ascii="Arial Narrow" w:hAnsi="Arial Narrow" w:cs="Times New Roman"/>
          <w:sz w:val="24"/>
          <w:szCs w:val="24"/>
          <w:lang w:val="en-US"/>
        </w:rPr>
        <w:t>Gas</w:t>
      </w:r>
      <w:r w:rsidRPr="00621D65">
        <w:rPr>
          <w:rFonts w:ascii="Arial Narrow" w:hAnsi="Arial Narrow" w:cs="Times New Roman"/>
          <w:sz w:val="24"/>
          <w:szCs w:val="24"/>
        </w:rPr>
        <w:t xml:space="preserve"> </w:t>
      </w:r>
      <w:r>
        <w:rPr>
          <w:rFonts w:ascii="Arial Narrow" w:hAnsi="Arial Narrow" w:cs="Times New Roman"/>
          <w:sz w:val="24"/>
          <w:szCs w:val="24"/>
          <w:lang w:val="en-US"/>
        </w:rPr>
        <w:t>Plant</w:t>
      </w:r>
      <w:r w:rsidRPr="00621D65">
        <w:rPr>
          <w:rFonts w:ascii="Arial Narrow" w:hAnsi="Arial Narrow" w:cs="Times New Roman"/>
          <w:sz w:val="24"/>
          <w:szCs w:val="24"/>
        </w:rPr>
        <w:t xml:space="preserve">, </w:t>
      </w:r>
      <w:r>
        <w:rPr>
          <w:rFonts w:ascii="Arial Narrow" w:hAnsi="Arial Narrow" w:cs="Times New Roman"/>
          <w:sz w:val="24"/>
          <w:szCs w:val="24"/>
          <w:lang w:val="en-US"/>
        </w:rPr>
        <w:t>Shah</w:t>
      </w:r>
      <w:r w:rsidRPr="00621D65">
        <w:rPr>
          <w:rFonts w:ascii="Arial Narrow" w:hAnsi="Arial Narrow" w:cs="Times New Roman"/>
          <w:sz w:val="24"/>
          <w:szCs w:val="24"/>
        </w:rPr>
        <w:t xml:space="preserve"> </w:t>
      </w:r>
      <w:r>
        <w:rPr>
          <w:rFonts w:ascii="Arial Narrow" w:hAnsi="Arial Narrow" w:cs="Times New Roman"/>
          <w:sz w:val="24"/>
          <w:szCs w:val="24"/>
          <w:lang w:val="en-US"/>
        </w:rPr>
        <w:t>Gas</w:t>
      </w:r>
      <w:r w:rsidRPr="00621D65">
        <w:rPr>
          <w:rFonts w:ascii="Arial Narrow" w:hAnsi="Arial Narrow" w:cs="Times New Roman"/>
          <w:sz w:val="24"/>
          <w:szCs w:val="24"/>
        </w:rPr>
        <w:t xml:space="preserve"> </w:t>
      </w:r>
      <w:r>
        <w:rPr>
          <w:rFonts w:ascii="Arial Narrow" w:hAnsi="Arial Narrow" w:cs="Times New Roman"/>
          <w:sz w:val="24"/>
          <w:szCs w:val="24"/>
          <w:lang w:val="en-US"/>
        </w:rPr>
        <w:t>Plant</w:t>
      </w:r>
      <w:r w:rsidRPr="00621D65">
        <w:rPr>
          <w:rFonts w:ascii="Arial Narrow" w:hAnsi="Arial Narrow" w:cs="Times New Roman"/>
          <w:sz w:val="24"/>
          <w:szCs w:val="24"/>
        </w:rPr>
        <w:t xml:space="preserve"> &amp; </w:t>
      </w:r>
      <w:r>
        <w:rPr>
          <w:rFonts w:ascii="Arial Narrow" w:hAnsi="Arial Narrow" w:cs="Times New Roman"/>
          <w:sz w:val="24"/>
          <w:szCs w:val="24"/>
          <w:lang w:val="en-US"/>
        </w:rPr>
        <w:t>Das</w:t>
      </w:r>
      <w:r w:rsidRPr="00621D65">
        <w:rPr>
          <w:rFonts w:ascii="Arial Narrow" w:hAnsi="Arial Narrow" w:cs="Times New Roman"/>
          <w:sz w:val="24"/>
          <w:szCs w:val="24"/>
        </w:rPr>
        <w:t xml:space="preserve"> </w:t>
      </w:r>
      <w:r>
        <w:rPr>
          <w:rFonts w:ascii="Arial Narrow" w:hAnsi="Arial Narrow" w:cs="Times New Roman"/>
          <w:sz w:val="24"/>
          <w:szCs w:val="24"/>
          <w:lang w:val="en-US"/>
        </w:rPr>
        <w:t>Island</w:t>
      </w:r>
      <w:r w:rsidRPr="00621D65">
        <w:rPr>
          <w:rFonts w:ascii="Arial Narrow" w:hAnsi="Arial Narrow" w:cs="Times New Roman"/>
          <w:sz w:val="24"/>
          <w:szCs w:val="24"/>
        </w:rPr>
        <w:t xml:space="preserve"> </w:t>
      </w:r>
      <w:r>
        <w:rPr>
          <w:rFonts w:ascii="Arial Narrow" w:hAnsi="Arial Narrow" w:cs="Times New Roman"/>
          <w:sz w:val="24"/>
          <w:szCs w:val="24"/>
          <w:lang w:val="en-US"/>
        </w:rPr>
        <w:t>LNG</w:t>
      </w:r>
      <w:r w:rsidRPr="00621D65">
        <w:rPr>
          <w:rFonts w:ascii="Arial Narrow" w:hAnsi="Arial Narrow" w:cs="Times New Roman"/>
          <w:sz w:val="24"/>
          <w:szCs w:val="24"/>
        </w:rPr>
        <w:t xml:space="preserve"> </w:t>
      </w:r>
      <w:r>
        <w:rPr>
          <w:rFonts w:ascii="Arial Narrow" w:hAnsi="Arial Narrow" w:cs="Times New Roman"/>
          <w:sz w:val="24"/>
          <w:szCs w:val="24"/>
          <w:lang w:val="en-US"/>
        </w:rPr>
        <w:t>Facilities</w:t>
      </w:r>
      <w:r w:rsidR="008425F7" w:rsidRPr="008425F7">
        <w:rPr>
          <w:rFonts w:ascii="Arial Narrow" w:hAnsi="Arial Narrow" w:cs="Times New Roman"/>
          <w:sz w:val="24"/>
          <w:szCs w:val="24"/>
        </w:rPr>
        <w:t>.</w:t>
      </w:r>
    </w:p>
    <w:p w14:paraId="5E7AB245" w14:textId="249B55DB" w:rsidR="008425F7" w:rsidRDefault="0058028E"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Το φ/α καλύπτει περίπου το 70% έως 75% των ενεργειακών αναγκών των ΗΑΕ. Ανά τομέα η κατανομή χρήσης έχει ως ακολούθως: στη παραγωγή ηλεκτρικής ενέργειας συμμετοχή κατά 55%, στην αφαλάτωση νερού συμμετοχή κατά 15%, στη βιομηχανία συμμετοχή κατά 20%, στα πετροχημικά συμμετοχή κατά 8% και για λοιπές χρήσεις συμμετοχή κατά 2%. Το φ/α αποτελεί τη βασική πηγή ενέργειας για παραγωγή ηλεκτρισμού, αφαλάτωση θαλασσινού νερού, στη βιομηχανία αλουμινίου, στη παραγωγή λιπασμάτων, στην χαλυβουργία και στην τσιμεντοβιομηχανία, </w:t>
      </w:r>
    </w:p>
    <w:p w14:paraId="05DFBACD" w14:textId="329EDB11" w:rsidR="0093179F" w:rsidRDefault="0058028E" w:rsidP="00E923A4">
      <w:pPr>
        <w:spacing w:before="120" w:after="120"/>
        <w:jc w:val="both"/>
        <w:rPr>
          <w:rFonts w:ascii="Arial Narrow" w:hAnsi="Arial Narrow" w:cs="Times New Roman"/>
          <w:sz w:val="24"/>
          <w:szCs w:val="24"/>
        </w:rPr>
      </w:pPr>
      <w:r>
        <w:rPr>
          <w:rFonts w:ascii="Arial Narrow" w:hAnsi="Arial Narrow" w:cs="Times New Roman"/>
          <w:sz w:val="24"/>
          <w:szCs w:val="24"/>
        </w:rPr>
        <w:t>Στο υγροποιημένο φ/α (</w:t>
      </w:r>
      <w:r>
        <w:rPr>
          <w:rFonts w:ascii="Arial Narrow" w:hAnsi="Arial Narrow" w:cs="Times New Roman"/>
          <w:sz w:val="24"/>
          <w:szCs w:val="24"/>
          <w:lang w:val="en-US"/>
        </w:rPr>
        <w:t>LNG</w:t>
      </w:r>
      <w:r w:rsidRPr="0058028E">
        <w:rPr>
          <w:rFonts w:ascii="Arial Narrow" w:hAnsi="Arial Narrow" w:cs="Times New Roman"/>
          <w:sz w:val="24"/>
          <w:szCs w:val="24"/>
        </w:rPr>
        <w:t>)</w:t>
      </w:r>
      <w:r w:rsidR="0093179F">
        <w:rPr>
          <w:rFonts w:ascii="Arial Narrow" w:hAnsi="Arial Narrow" w:cs="Times New Roman"/>
          <w:sz w:val="24"/>
          <w:szCs w:val="24"/>
        </w:rPr>
        <w:t xml:space="preserve">, το </w:t>
      </w:r>
      <w:r w:rsidR="0093179F">
        <w:rPr>
          <w:rFonts w:ascii="Arial Narrow" w:hAnsi="Arial Narrow" w:cs="Times New Roman"/>
          <w:sz w:val="24"/>
          <w:szCs w:val="24"/>
          <w:lang w:val="en-US"/>
        </w:rPr>
        <w:t>Das</w:t>
      </w:r>
      <w:r w:rsidR="0093179F" w:rsidRPr="0093179F">
        <w:rPr>
          <w:rFonts w:ascii="Arial Narrow" w:hAnsi="Arial Narrow" w:cs="Times New Roman"/>
          <w:sz w:val="24"/>
          <w:szCs w:val="24"/>
        </w:rPr>
        <w:t xml:space="preserve"> </w:t>
      </w:r>
      <w:r w:rsidR="0093179F">
        <w:rPr>
          <w:rFonts w:ascii="Arial Narrow" w:hAnsi="Arial Narrow" w:cs="Times New Roman"/>
          <w:sz w:val="24"/>
          <w:szCs w:val="24"/>
          <w:lang w:val="en-US"/>
        </w:rPr>
        <w:t>Island</w:t>
      </w:r>
      <w:r w:rsidR="0093179F" w:rsidRPr="0093179F">
        <w:rPr>
          <w:rFonts w:ascii="Arial Narrow" w:hAnsi="Arial Narrow" w:cs="Times New Roman"/>
          <w:sz w:val="24"/>
          <w:szCs w:val="24"/>
        </w:rPr>
        <w:t xml:space="preserve"> </w:t>
      </w:r>
      <w:r w:rsidR="0093179F">
        <w:rPr>
          <w:rFonts w:ascii="Arial Narrow" w:hAnsi="Arial Narrow" w:cs="Times New Roman"/>
          <w:sz w:val="24"/>
          <w:szCs w:val="24"/>
          <w:lang w:val="en-US"/>
        </w:rPr>
        <w:t>LNG</w:t>
      </w:r>
      <w:r w:rsidR="0093179F" w:rsidRPr="0093179F">
        <w:rPr>
          <w:rFonts w:ascii="Arial Narrow" w:hAnsi="Arial Narrow" w:cs="Times New Roman"/>
          <w:sz w:val="24"/>
          <w:szCs w:val="24"/>
        </w:rPr>
        <w:t xml:space="preserve"> </w:t>
      </w:r>
      <w:r w:rsidR="0093179F">
        <w:rPr>
          <w:rFonts w:ascii="Arial Narrow" w:hAnsi="Arial Narrow" w:cs="Times New Roman"/>
          <w:sz w:val="24"/>
          <w:szCs w:val="24"/>
        </w:rPr>
        <w:t xml:space="preserve">αποτελεί μία από τις παλαιότερες εγκαταστάσεις φ/α παγκοσμίως. Η έναρξη λειτουργίας του έγινε το 1977 με δυναμικότητα 6 εκατ.τόνους ανά έτος και φορτία </w:t>
      </w:r>
      <w:r w:rsidR="0093179F">
        <w:rPr>
          <w:rFonts w:ascii="Arial Narrow" w:hAnsi="Arial Narrow" w:cs="Times New Roman"/>
          <w:sz w:val="24"/>
          <w:szCs w:val="24"/>
          <w:lang w:val="en-US"/>
        </w:rPr>
        <w:t>LNG</w:t>
      </w:r>
      <w:r w:rsidR="0093179F" w:rsidRPr="0093179F">
        <w:rPr>
          <w:rFonts w:ascii="Arial Narrow" w:hAnsi="Arial Narrow" w:cs="Times New Roman"/>
          <w:sz w:val="24"/>
          <w:szCs w:val="24"/>
        </w:rPr>
        <w:t xml:space="preserve"> </w:t>
      </w:r>
      <w:r w:rsidR="0093179F">
        <w:rPr>
          <w:rFonts w:ascii="Arial Narrow" w:hAnsi="Arial Narrow" w:cs="Times New Roman"/>
          <w:sz w:val="24"/>
          <w:szCs w:val="24"/>
        </w:rPr>
        <w:t>τα οποία έχουν εξαχθει να φθάνουν στα 3.500. Επίσης ως λίαν σημαντικό έργο εκτιμάται ότι είναι και αυτό «</w:t>
      </w:r>
      <w:r w:rsidR="007C6667">
        <w:rPr>
          <w:rFonts w:ascii="Arial Narrow" w:hAnsi="Arial Narrow" w:cs="Times New Roman"/>
          <w:sz w:val="24"/>
          <w:szCs w:val="24"/>
          <w:lang w:val="en-US"/>
        </w:rPr>
        <w:t>Ruwais</w:t>
      </w:r>
      <w:r w:rsidR="007C6667" w:rsidRPr="007C6667">
        <w:rPr>
          <w:rFonts w:ascii="Arial Narrow" w:hAnsi="Arial Narrow" w:cs="Times New Roman"/>
          <w:sz w:val="24"/>
          <w:szCs w:val="24"/>
        </w:rPr>
        <w:t xml:space="preserve"> </w:t>
      </w:r>
      <w:r w:rsidR="007C6667">
        <w:rPr>
          <w:rFonts w:ascii="Arial Narrow" w:hAnsi="Arial Narrow" w:cs="Times New Roman"/>
          <w:sz w:val="24"/>
          <w:szCs w:val="24"/>
          <w:lang w:val="en-US"/>
        </w:rPr>
        <w:t>LNG</w:t>
      </w:r>
      <w:r w:rsidR="007C6667" w:rsidRPr="007C6667">
        <w:rPr>
          <w:rFonts w:ascii="Arial Narrow" w:hAnsi="Arial Narrow" w:cs="Times New Roman"/>
          <w:sz w:val="24"/>
          <w:szCs w:val="24"/>
        </w:rPr>
        <w:t xml:space="preserve"> </w:t>
      </w:r>
      <w:r w:rsidR="007C6667">
        <w:rPr>
          <w:rFonts w:ascii="Arial Narrow" w:hAnsi="Arial Narrow" w:cs="Times New Roman"/>
          <w:sz w:val="24"/>
          <w:szCs w:val="24"/>
          <w:lang w:val="en-US"/>
        </w:rPr>
        <w:t>Project</w:t>
      </w:r>
      <w:r w:rsidR="007C6667">
        <w:rPr>
          <w:rFonts w:ascii="Arial Narrow" w:hAnsi="Arial Narrow" w:cs="Times New Roman"/>
          <w:sz w:val="24"/>
          <w:szCs w:val="24"/>
        </w:rPr>
        <w:t xml:space="preserve">», η ολοκλήρωση της κατασκευής του οποίου προγραμματίζεται για το 2028, Η δυναμικότητά του </w:t>
      </w:r>
      <w:r w:rsidR="00C8392A">
        <w:rPr>
          <w:rFonts w:ascii="Arial Narrow" w:hAnsi="Arial Narrow" w:cs="Times New Roman"/>
          <w:sz w:val="24"/>
          <w:szCs w:val="24"/>
        </w:rPr>
        <w:t xml:space="preserve">υπολογίζεται έως και 9,6 εκατ. κυβικά μέτρα, η τοποθεσία της συγκεκριμένης μονάδας είναι η περιοχή </w:t>
      </w:r>
      <w:r w:rsidR="00C8392A">
        <w:rPr>
          <w:rFonts w:ascii="Arial Narrow" w:hAnsi="Arial Narrow" w:cs="Times New Roman"/>
          <w:sz w:val="24"/>
          <w:szCs w:val="24"/>
          <w:lang w:val="en-US"/>
        </w:rPr>
        <w:t>Al</w:t>
      </w:r>
      <w:r w:rsidR="00C8392A" w:rsidRPr="00C8392A">
        <w:rPr>
          <w:rFonts w:ascii="Arial Narrow" w:hAnsi="Arial Narrow" w:cs="Times New Roman"/>
          <w:sz w:val="24"/>
          <w:szCs w:val="24"/>
        </w:rPr>
        <w:t xml:space="preserve"> </w:t>
      </w:r>
      <w:r w:rsidR="00C8392A">
        <w:rPr>
          <w:rFonts w:ascii="Arial Narrow" w:hAnsi="Arial Narrow" w:cs="Times New Roman"/>
          <w:sz w:val="24"/>
          <w:szCs w:val="24"/>
          <w:lang w:val="en-US"/>
        </w:rPr>
        <w:t>Ruwais</w:t>
      </w:r>
      <w:r w:rsidR="00C8392A" w:rsidRPr="00C8392A">
        <w:rPr>
          <w:rFonts w:ascii="Arial Narrow" w:hAnsi="Arial Narrow" w:cs="Times New Roman"/>
          <w:sz w:val="24"/>
          <w:szCs w:val="24"/>
        </w:rPr>
        <w:t xml:space="preserve"> </w:t>
      </w:r>
      <w:r w:rsidR="00C8392A">
        <w:rPr>
          <w:rFonts w:ascii="Arial Narrow" w:hAnsi="Arial Narrow" w:cs="Times New Roman"/>
          <w:sz w:val="24"/>
          <w:szCs w:val="24"/>
        </w:rPr>
        <w:t>και κύριος επενδυτής είναι η</w:t>
      </w:r>
      <w:r w:rsidR="00C8392A" w:rsidRPr="00C8392A">
        <w:rPr>
          <w:rFonts w:ascii="Arial Narrow" w:hAnsi="Arial Narrow" w:cs="Times New Roman"/>
          <w:sz w:val="24"/>
          <w:szCs w:val="24"/>
        </w:rPr>
        <w:t xml:space="preserve"> </w:t>
      </w:r>
      <w:r w:rsidR="00C8392A">
        <w:rPr>
          <w:rFonts w:ascii="Arial Narrow" w:hAnsi="Arial Narrow" w:cs="Times New Roman"/>
          <w:sz w:val="24"/>
          <w:szCs w:val="24"/>
          <w:lang w:val="en-US"/>
        </w:rPr>
        <w:t>ADNOC</w:t>
      </w:r>
      <w:r w:rsidR="00C8392A" w:rsidRPr="00C8392A">
        <w:rPr>
          <w:rFonts w:ascii="Arial Narrow" w:hAnsi="Arial Narrow" w:cs="Times New Roman"/>
          <w:sz w:val="24"/>
          <w:szCs w:val="24"/>
        </w:rPr>
        <w:t xml:space="preserve">. </w:t>
      </w:r>
      <w:r w:rsidR="00C8392A">
        <w:rPr>
          <w:rFonts w:ascii="Arial Narrow" w:hAnsi="Arial Narrow" w:cs="Times New Roman"/>
          <w:sz w:val="24"/>
          <w:szCs w:val="24"/>
        </w:rPr>
        <w:t xml:space="preserve">Μέχρι το τέλος του 2025 είχαν ήδη δεσμευθεί πάνω από 8 εκατ.τόνοι ετησίως μέσω μακροχρόνιων συμβολαίων. </w:t>
      </w:r>
    </w:p>
    <w:p w14:paraId="33AE7CA2" w14:textId="7BDF22A5" w:rsidR="005D6F08" w:rsidRDefault="00C8392A" w:rsidP="00E923A4">
      <w:pPr>
        <w:spacing w:before="120" w:after="120"/>
        <w:jc w:val="both"/>
        <w:rPr>
          <w:rFonts w:ascii="Arial Narrow" w:hAnsi="Arial Narrow" w:cs="Times New Roman"/>
          <w:sz w:val="24"/>
          <w:szCs w:val="24"/>
        </w:rPr>
      </w:pPr>
      <w:r>
        <w:rPr>
          <w:rFonts w:ascii="Arial Narrow" w:hAnsi="Arial Narrow" w:cs="Times New Roman"/>
          <w:sz w:val="24"/>
          <w:szCs w:val="24"/>
        </w:rPr>
        <w:t>Ο</w:t>
      </w:r>
      <w:r w:rsidR="00D82A79">
        <w:rPr>
          <w:rFonts w:ascii="Arial Narrow" w:hAnsi="Arial Narrow" w:cs="Times New Roman"/>
          <w:sz w:val="24"/>
          <w:szCs w:val="24"/>
        </w:rPr>
        <w:t xml:space="preserve">ι κύριοι προορισμοί </w:t>
      </w:r>
      <w:r w:rsidR="00D82A79">
        <w:rPr>
          <w:rFonts w:ascii="Arial Narrow" w:hAnsi="Arial Narrow" w:cs="Times New Roman"/>
          <w:sz w:val="24"/>
          <w:szCs w:val="24"/>
          <w:lang w:val="en-US"/>
        </w:rPr>
        <w:t>LNG</w:t>
      </w:r>
      <w:r w:rsidR="00D82A79" w:rsidRPr="00D82A79">
        <w:rPr>
          <w:rFonts w:ascii="Arial Narrow" w:hAnsi="Arial Narrow" w:cs="Times New Roman"/>
          <w:sz w:val="24"/>
          <w:szCs w:val="24"/>
        </w:rPr>
        <w:t xml:space="preserve"> </w:t>
      </w:r>
      <w:r w:rsidR="00D82A79">
        <w:rPr>
          <w:rFonts w:ascii="Arial Narrow" w:hAnsi="Arial Narrow" w:cs="Times New Roman"/>
          <w:sz w:val="24"/>
          <w:szCs w:val="24"/>
        </w:rPr>
        <w:t>από τα Ηνωμένα Αραβικά Εμιράτα για εξαγωγές είναι η Ινδία (μεγαλύτερη αγορά), η Ιαπωνία (παραδοσιακός πελάτης), η Νότιος Κορέα (σημαντικός εισαγωγέας), η Κίνα (συνεχώς αυξανόμενη ζήτηση) και η Γερμανία (με νέες συμφωνίες μετά το 2022).</w:t>
      </w:r>
      <w:r w:rsidR="008151A5">
        <w:rPr>
          <w:rFonts w:ascii="Arial Narrow" w:hAnsi="Arial Narrow" w:cs="Times New Roman"/>
          <w:sz w:val="24"/>
          <w:szCs w:val="24"/>
        </w:rPr>
        <w:t xml:space="preserve"> Εντός του 2025 υπεγράφησαν και σημαντικές συμφωνίες, αφορώσες το υγροποιη</w:t>
      </w:r>
      <w:r w:rsidR="00035DAF">
        <w:rPr>
          <w:rFonts w:ascii="Arial Narrow" w:hAnsi="Arial Narrow" w:cs="Times New Roman"/>
          <w:sz w:val="24"/>
          <w:szCs w:val="24"/>
        </w:rPr>
        <w:t>μένο φ/α (</w:t>
      </w:r>
      <w:r w:rsidR="00035DAF">
        <w:rPr>
          <w:rFonts w:ascii="Arial Narrow" w:hAnsi="Arial Narrow" w:cs="Times New Roman"/>
          <w:sz w:val="24"/>
          <w:szCs w:val="24"/>
          <w:lang w:val="en-US"/>
        </w:rPr>
        <w:t>LNG</w:t>
      </w:r>
      <w:r w:rsidR="00035DAF" w:rsidRPr="00035DAF">
        <w:rPr>
          <w:rFonts w:ascii="Arial Narrow" w:hAnsi="Arial Narrow" w:cs="Times New Roman"/>
          <w:sz w:val="24"/>
          <w:szCs w:val="24"/>
        </w:rPr>
        <w:t>)</w:t>
      </w:r>
      <w:r w:rsidR="00035DAF">
        <w:rPr>
          <w:rFonts w:ascii="Arial Narrow" w:hAnsi="Arial Narrow" w:cs="Times New Roman"/>
          <w:sz w:val="24"/>
          <w:szCs w:val="24"/>
        </w:rPr>
        <w:t xml:space="preserve">, μεταξύ των ΗΑΕ και συγκεκριμένα με την </w:t>
      </w:r>
      <w:r w:rsidR="00035DAF">
        <w:rPr>
          <w:rFonts w:ascii="Arial Narrow" w:hAnsi="Arial Narrow" w:cs="Times New Roman"/>
          <w:sz w:val="24"/>
          <w:szCs w:val="24"/>
          <w:lang w:val="en-US"/>
        </w:rPr>
        <w:t>Indian</w:t>
      </w:r>
      <w:r w:rsidR="00035DAF" w:rsidRPr="00035DAF">
        <w:rPr>
          <w:rFonts w:ascii="Arial Narrow" w:hAnsi="Arial Narrow" w:cs="Times New Roman"/>
          <w:sz w:val="24"/>
          <w:szCs w:val="24"/>
        </w:rPr>
        <w:t xml:space="preserve"> </w:t>
      </w:r>
      <w:r w:rsidR="00035DAF">
        <w:rPr>
          <w:rFonts w:ascii="Arial Narrow" w:hAnsi="Arial Narrow" w:cs="Times New Roman"/>
          <w:sz w:val="24"/>
          <w:szCs w:val="24"/>
          <w:lang w:val="en-US"/>
        </w:rPr>
        <w:t>Oil</w:t>
      </w:r>
      <w:r w:rsidR="00035DAF" w:rsidRPr="00035DAF">
        <w:rPr>
          <w:rFonts w:ascii="Arial Narrow" w:hAnsi="Arial Narrow" w:cs="Times New Roman"/>
          <w:sz w:val="24"/>
          <w:szCs w:val="24"/>
        </w:rPr>
        <w:t xml:space="preserve"> (1</w:t>
      </w:r>
      <w:r w:rsidR="00035DAF">
        <w:rPr>
          <w:rFonts w:ascii="Arial Narrow" w:hAnsi="Arial Narrow" w:cs="Times New Roman"/>
          <w:sz w:val="24"/>
          <w:szCs w:val="24"/>
        </w:rPr>
        <w:t xml:space="preserve">,2 εκατ.κυβικά μέτρα), </w:t>
      </w:r>
      <w:r w:rsidR="005D6F08">
        <w:rPr>
          <w:rFonts w:ascii="Arial Narrow" w:hAnsi="Arial Narrow" w:cs="Times New Roman"/>
          <w:sz w:val="24"/>
          <w:szCs w:val="24"/>
          <w:lang w:val="en-US"/>
        </w:rPr>
        <w:t>Hindustan</w:t>
      </w:r>
      <w:r w:rsidR="005D6F08" w:rsidRPr="005D6F08">
        <w:rPr>
          <w:rFonts w:ascii="Arial Narrow" w:hAnsi="Arial Narrow" w:cs="Times New Roman"/>
          <w:sz w:val="24"/>
          <w:szCs w:val="24"/>
        </w:rPr>
        <w:t xml:space="preserve"> </w:t>
      </w:r>
      <w:r w:rsidR="005D6F08">
        <w:rPr>
          <w:rFonts w:ascii="Arial Narrow" w:hAnsi="Arial Narrow" w:cs="Times New Roman"/>
          <w:sz w:val="24"/>
          <w:szCs w:val="24"/>
          <w:lang w:val="en-US"/>
        </w:rPr>
        <w:t>Petroleum</w:t>
      </w:r>
      <w:r w:rsidR="005D6F08" w:rsidRPr="005D6F08">
        <w:rPr>
          <w:rFonts w:ascii="Arial Narrow" w:hAnsi="Arial Narrow" w:cs="Times New Roman"/>
          <w:sz w:val="24"/>
          <w:szCs w:val="24"/>
        </w:rPr>
        <w:t xml:space="preserve"> (0,5 </w:t>
      </w:r>
      <w:r w:rsidR="005D6F08">
        <w:rPr>
          <w:rFonts w:ascii="Arial Narrow" w:hAnsi="Arial Narrow" w:cs="Times New Roman"/>
          <w:sz w:val="24"/>
          <w:szCs w:val="24"/>
        </w:rPr>
        <w:t xml:space="preserve">εκατ. κυβικά μέτρα), </w:t>
      </w:r>
      <w:r w:rsidR="005D6F08">
        <w:rPr>
          <w:rFonts w:ascii="Arial Narrow" w:hAnsi="Arial Narrow" w:cs="Times New Roman"/>
          <w:sz w:val="24"/>
          <w:szCs w:val="24"/>
          <w:lang w:val="en-US"/>
        </w:rPr>
        <w:t>Shell</w:t>
      </w:r>
      <w:r w:rsidR="005D6F08" w:rsidRPr="005D6F08">
        <w:rPr>
          <w:rFonts w:ascii="Arial Narrow" w:hAnsi="Arial Narrow" w:cs="Times New Roman"/>
          <w:sz w:val="24"/>
          <w:szCs w:val="24"/>
        </w:rPr>
        <w:t xml:space="preserve"> (1 </w:t>
      </w:r>
      <w:r w:rsidR="005D6F08">
        <w:rPr>
          <w:rFonts w:ascii="Arial Narrow" w:hAnsi="Arial Narrow" w:cs="Times New Roman"/>
          <w:sz w:val="24"/>
          <w:szCs w:val="24"/>
        </w:rPr>
        <w:t xml:space="preserve">εκατ. κυβικά μέτρα από το </w:t>
      </w:r>
      <w:r w:rsidR="005D6F08">
        <w:rPr>
          <w:rFonts w:ascii="Arial Narrow" w:hAnsi="Arial Narrow" w:cs="Times New Roman"/>
          <w:sz w:val="24"/>
          <w:szCs w:val="24"/>
          <w:lang w:val="en-US"/>
        </w:rPr>
        <w:t>Ruwais</w:t>
      </w:r>
      <w:r w:rsidR="005D6F08" w:rsidRPr="005D6F08">
        <w:rPr>
          <w:rFonts w:ascii="Arial Narrow" w:hAnsi="Arial Narrow" w:cs="Times New Roman"/>
          <w:sz w:val="24"/>
          <w:szCs w:val="24"/>
        </w:rPr>
        <w:t xml:space="preserve"> </w:t>
      </w:r>
      <w:r w:rsidR="005D6F08">
        <w:rPr>
          <w:rFonts w:ascii="Arial Narrow" w:hAnsi="Arial Narrow" w:cs="Times New Roman"/>
          <w:sz w:val="24"/>
          <w:szCs w:val="24"/>
        </w:rPr>
        <w:t xml:space="preserve">και την </w:t>
      </w:r>
      <w:r w:rsidR="005D6F08">
        <w:rPr>
          <w:rFonts w:ascii="Arial Narrow" w:hAnsi="Arial Narrow" w:cs="Times New Roman"/>
          <w:sz w:val="24"/>
          <w:szCs w:val="24"/>
          <w:lang w:val="en-US"/>
        </w:rPr>
        <w:t>SEFE</w:t>
      </w:r>
      <w:r w:rsidR="005D6F08">
        <w:rPr>
          <w:rFonts w:ascii="Arial Narrow" w:hAnsi="Arial Narrow" w:cs="Times New Roman"/>
          <w:sz w:val="24"/>
          <w:szCs w:val="24"/>
        </w:rPr>
        <w:t xml:space="preserve"> από τη Γερμανία.</w:t>
      </w:r>
    </w:p>
    <w:p w14:paraId="6B359441" w14:textId="47790A7C" w:rsidR="005D6F08" w:rsidRDefault="005D6F08" w:rsidP="00E923A4">
      <w:pPr>
        <w:spacing w:before="120" w:after="120"/>
        <w:jc w:val="both"/>
        <w:rPr>
          <w:rFonts w:ascii="Arial Narrow" w:hAnsi="Arial Narrow" w:cs="Times New Roman"/>
          <w:sz w:val="24"/>
          <w:szCs w:val="24"/>
        </w:rPr>
      </w:pPr>
      <w:r>
        <w:rPr>
          <w:rFonts w:ascii="Arial Narrow" w:hAnsi="Arial Narrow" w:cs="Times New Roman"/>
          <w:sz w:val="24"/>
          <w:szCs w:val="24"/>
        </w:rPr>
        <w:t>Τέλος, για τις επενδύσεις στο χρονικό διάστημα 2024-2030 σημαντική επένδυση αφορά το «</w:t>
      </w:r>
      <w:r>
        <w:rPr>
          <w:rFonts w:ascii="Arial Narrow" w:hAnsi="Arial Narrow" w:cs="Times New Roman"/>
          <w:sz w:val="24"/>
          <w:szCs w:val="24"/>
          <w:lang w:val="en-US"/>
        </w:rPr>
        <w:t>Rich</w:t>
      </w:r>
      <w:r w:rsidRPr="005D6F08">
        <w:rPr>
          <w:rFonts w:ascii="Arial Narrow" w:hAnsi="Arial Narrow" w:cs="Times New Roman"/>
          <w:sz w:val="24"/>
          <w:szCs w:val="24"/>
        </w:rPr>
        <w:t xml:space="preserve"> </w:t>
      </w:r>
      <w:r>
        <w:rPr>
          <w:rFonts w:ascii="Arial Narrow" w:hAnsi="Arial Narrow" w:cs="Times New Roman"/>
          <w:sz w:val="24"/>
          <w:szCs w:val="24"/>
          <w:lang w:val="en-US"/>
        </w:rPr>
        <w:t>Gas</w:t>
      </w:r>
      <w:r w:rsidRPr="005D6F08">
        <w:rPr>
          <w:rFonts w:ascii="Arial Narrow" w:hAnsi="Arial Narrow" w:cs="Times New Roman"/>
          <w:sz w:val="24"/>
          <w:szCs w:val="24"/>
        </w:rPr>
        <w:t xml:space="preserve"> </w:t>
      </w:r>
      <w:r>
        <w:rPr>
          <w:rFonts w:ascii="Arial Narrow" w:hAnsi="Arial Narrow" w:cs="Times New Roman"/>
          <w:sz w:val="24"/>
          <w:szCs w:val="24"/>
          <w:lang w:val="en-US"/>
        </w:rPr>
        <w:t>Development</w:t>
      </w:r>
      <w:r w:rsidRPr="005D6F08">
        <w:rPr>
          <w:rFonts w:ascii="Arial Narrow" w:hAnsi="Arial Narrow" w:cs="Times New Roman"/>
          <w:sz w:val="24"/>
          <w:szCs w:val="24"/>
        </w:rPr>
        <w:t xml:space="preserve"> </w:t>
      </w:r>
      <w:r>
        <w:rPr>
          <w:rFonts w:ascii="Arial Narrow" w:hAnsi="Arial Narrow" w:cs="Times New Roman"/>
          <w:sz w:val="24"/>
          <w:szCs w:val="24"/>
          <w:lang w:val="en-US"/>
        </w:rPr>
        <w:t>Project</w:t>
      </w:r>
      <w:r w:rsidRPr="005D6F08">
        <w:rPr>
          <w:rFonts w:ascii="Arial Narrow" w:hAnsi="Arial Narrow" w:cs="Times New Roman"/>
          <w:sz w:val="24"/>
          <w:szCs w:val="24"/>
        </w:rPr>
        <w:t xml:space="preserve"> (</w:t>
      </w:r>
      <w:r>
        <w:rPr>
          <w:rFonts w:ascii="Arial Narrow" w:hAnsi="Arial Narrow" w:cs="Times New Roman"/>
          <w:sz w:val="24"/>
          <w:szCs w:val="24"/>
          <w:lang w:val="en-US"/>
        </w:rPr>
        <w:t>RGD</w:t>
      </w:r>
      <w:r w:rsidRPr="005D6F08">
        <w:rPr>
          <w:rFonts w:ascii="Arial Narrow" w:hAnsi="Arial Narrow" w:cs="Times New Roman"/>
          <w:sz w:val="24"/>
          <w:szCs w:val="24"/>
        </w:rPr>
        <w:t>)</w:t>
      </w:r>
      <w:r w:rsidR="004151D9">
        <w:rPr>
          <w:rFonts w:ascii="Arial Narrow" w:hAnsi="Arial Narrow" w:cs="Times New Roman"/>
          <w:sz w:val="24"/>
          <w:szCs w:val="24"/>
        </w:rPr>
        <w:t xml:space="preserve">». Η επένδυση της πρώτης φάσης ανέρχεται σε 5 δις $, με στόχο την αύξηση της παραγωγικής δυναμικότητας και εγκαταστάσεις σε περιοχές </w:t>
      </w:r>
      <w:r w:rsidR="004151D9">
        <w:rPr>
          <w:rFonts w:ascii="Arial Narrow" w:hAnsi="Arial Narrow" w:cs="Times New Roman"/>
          <w:sz w:val="24"/>
          <w:szCs w:val="24"/>
          <w:lang w:val="en-US"/>
        </w:rPr>
        <w:t>Habshan</w:t>
      </w:r>
      <w:r w:rsidR="004151D9" w:rsidRPr="004151D9">
        <w:rPr>
          <w:rFonts w:ascii="Arial Narrow" w:hAnsi="Arial Narrow" w:cs="Times New Roman"/>
          <w:sz w:val="24"/>
          <w:szCs w:val="24"/>
        </w:rPr>
        <w:t xml:space="preserve">, </w:t>
      </w:r>
      <w:r w:rsidR="004151D9">
        <w:rPr>
          <w:rFonts w:ascii="Arial Narrow" w:hAnsi="Arial Narrow" w:cs="Times New Roman"/>
          <w:sz w:val="24"/>
          <w:szCs w:val="24"/>
          <w:lang w:val="en-US"/>
        </w:rPr>
        <w:t>Asab</w:t>
      </w:r>
      <w:r w:rsidR="004151D9" w:rsidRPr="004151D9">
        <w:rPr>
          <w:rFonts w:ascii="Arial Narrow" w:hAnsi="Arial Narrow" w:cs="Times New Roman"/>
          <w:sz w:val="24"/>
          <w:szCs w:val="24"/>
        </w:rPr>
        <w:t xml:space="preserve">, </w:t>
      </w:r>
      <w:r w:rsidR="004151D9">
        <w:rPr>
          <w:rFonts w:ascii="Arial Narrow" w:hAnsi="Arial Narrow" w:cs="Times New Roman"/>
          <w:sz w:val="24"/>
          <w:szCs w:val="24"/>
          <w:lang w:val="en-US"/>
        </w:rPr>
        <w:t>Buhasa</w:t>
      </w:r>
      <w:r w:rsidR="004151D9" w:rsidRPr="004151D9">
        <w:rPr>
          <w:rFonts w:ascii="Arial Narrow" w:hAnsi="Arial Narrow" w:cs="Times New Roman"/>
          <w:sz w:val="24"/>
          <w:szCs w:val="24"/>
        </w:rPr>
        <w:t xml:space="preserve">, </w:t>
      </w:r>
      <w:r w:rsidR="004151D9">
        <w:rPr>
          <w:rFonts w:ascii="Arial Narrow" w:hAnsi="Arial Narrow" w:cs="Times New Roman"/>
          <w:sz w:val="24"/>
          <w:szCs w:val="24"/>
          <w:lang w:val="en-US"/>
        </w:rPr>
        <w:t>Das</w:t>
      </w:r>
      <w:r w:rsidR="004151D9" w:rsidRPr="004151D9">
        <w:rPr>
          <w:rFonts w:ascii="Arial Narrow" w:hAnsi="Arial Narrow" w:cs="Times New Roman"/>
          <w:sz w:val="24"/>
          <w:szCs w:val="24"/>
        </w:rPr>
        <w:t xml:space="preserve"> </w:t>
      </w:r>
      <w:r w:rsidR="004151D9">
        <w:rPr>
          <w:rFonts w:ascii="Arial Narrow" w:hAnsi="Arial Narrow" w:cs="Times New Roman"/>
          <w:sz w:val="24"/>
          <w:szCs w:val="24"/>
          <w:lang w:val="en-US"/>
        </w:rPr>
        <w:t>Island</w:t>
      </w:r>
      <w:r w:rsidR="004151D9" w:rsidRPr="004151D9">
        <w:rPr>
          <w:rFonts w:ascii="Arial Narrow" w:hAnsi="Arial Narrow" w:cs="Times New Roman"/>
          <w:sz w:val="24"/>
          <w:szCs w:val="24"/>
        </w:rPr>
        <w:t>.</w:t>
      </w:r>
    </w:p>
    <w:p w14:paraId="587660CE" w14:textId="3CFCB635" w:rsidR="005A70BE" w:rsidRDefault="004151D9"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Στις προκλήσεις συγκαταλέγονται η αυξανόμενη εγχώρια ζήτηση </w:t>
      </w:r>
      <w:r w:rsidR="005A70BE">
        <w:rPr>
          <w:rFonts w:ascii="Arial Narrow" w:hAnsi="Arial Narrow" w:cs="Times New Roman"/>
          <w:sz w:val="24"/>
          <w:szCs w:val="24"/>
        </w:rPr>
        <w:t>με τη ταχεία ανάπτυξη της οικονομίας να οδηγεί σε ταυτόχρονη αύξηση της ζήτησης φ/α. Ο συνεχής γεωπολιτικός κίνδυνος και ανησυχία για την εξάρτηση των εξαγωγών από τα Στενά του Ορμούζ καλλιεργούν κλίμα συνεχούς αβεβαιότητας και αστάθειας για το παγκόσμιο εμπόριο αγαθών και προϊόντων. Η ενεργειακή μετάβαση με παγκόσμια στροφή προς μηδενικές εκπομπές άνθρακα απαιτεί προσαρμογή του κλάδου.</w:t>
      </w:r>
    </w:p>
    <w:p w14:paraId="45E6DA2F" w14:textId="5A452360" w:rsidR="005A70BE" w:rsidRDefault="005A70BE"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Αντίστοιχα οι προοπτικές έως το 2035 περιλαμβάνουν </w:t>
      </w:r>
      <w:r w:rsidR="00617F25">
        <w:rPr>
          <w:rFonts w:ascii="Arial Narrow" w:hAnsi="Arial Narrow" w:cs="Times New Roman"/>
          <w:sz w:val="24"/>
          <w:szCs w:val="24"/>
        </w:rPr>
        <w:t xml:space="preserve">ως σημαντικούς στόχους, την αύξηση της παραγωγής φ/α, </w:t>
      </w:r>
      <w:r w:rsidR="00AF5F99">
        <w:rPr>
          <w:rFonts w:ascii="Arial Narrow" w:hAnsi="Arial Narrow" w:cs="Times New Roman"/>
          <w:sz w:val="24"/>
          <w:szCs w:val="24"/>
        </w:rPr>
        <w:t>ενεργειακή αυτάρκεια, μετατροπή της χώρας σε παγκόσμιο κόμβο</w:t>
      </w:r>
      <w:r w:rsidR="00AF5F99" w:rsidRPr="00AF5F99">
        <w:rPr>
          <w:rFonts w:ascii="Arial Narrow" w:hAnsi="Arial Narrow" w:cs="Times New Roman"/>
          <w:sz w:val="24"/>
          <w:szCs w:val="24"/>
        </w:rPr>
        <w:t xml:space="preserve"> </w:t>
      </w:r>
      <w:r w:rsidR="00AF5F99">
        <w:rPr>
          <w:rFonts w:ascii="Arial Narrow" w:hAnsi="Arial Narrow" w:cs="Times New Roman"/>
          <w:sz w:val="24"/>
          <w:szCs w:val="24"/>
          <w:lang w:val="en-US"/>
        </w:rPr>
        <w:t>LNG</w:t>
      </w:r>
      <w:r w:rsidR="00AF5F99">
        <w:rPr>
          <w:rFonts w:ascii="Arial Narrow" w:hAnsi="Arial Narrow" w:cs="Times New Roman"/>
          <w:sz w:val="24"/>
          <w:szCs w:val="24"/>
        </w:rPr>
        <w:t xml:space="preserve">, επέκταση των εξαγωγών και προς άλλες αγορές χωρών της Ασίας και της Ευρώπης και η ανάπτυξη έργων χαμηλού ανθρακικού αποτυπώματος. Η εμιρατινή κυβέρνηση και η </w:t>
      </w:r>
      <w:r w:rsidR="00AF5F99">
        <w:rPr>
          <w:rFonts w:ascii="Arial Narrow" w:hAnsi="Arial Narrow" w:cs="Times New Roman"/>
          <w:sz w:val="24"/>
          <w:szCs w:val="24"/>
          <w:lang w:val="en-US"/>
        </w:rPr>
        <w:t>ADNOC</w:t>
      </w:r>
      <w:r w:rsidR="00AF5F99" w:rsidRPr="00AF5F99">
        <w:rPr>
          <w:rFonts w:ascii="Arial Narrow" w:hAnsi="Arial Narrow" w:cs="Times New Roman"/>
          <w:sz w:val="24"/>
          <w:szCs w:val="24"/>
        </w:rPr>
        <w:t xml:space="preserve"> </w:t>
      </w:r>
      <w:r w:rsidR="00AF5F99">
        <w:rPr>
          <w:rFonts w:ascii="Arial Narrow" w:hAnsi="Arial Narrow" w:cs="Times New Roman"/>
          <w:sz w:val="24"/>
          <w:szCs w:val="24"/>
        </w:rPr>
        <w:t xml:space="preserve">εκτιμούν ότι η παγκόσμια ζήτηση </w:t>
      </w:r>
      <w:r w:rsidR="00AF5F99">
        <w:rPr>
          <w:rFonts w:ascii="Arial Narrow" w:hAnsi="Arial Narrow" w:cs="Times New Roman"/>
          <w:sz w:val="24"/>
          <w:szCs w:val="24"/>
          <w:lang w:val="en-US"/>
        </w:rPr>
        <w:t>LNG</w:t>
      </w:r>
      <w:r w:rsidR="00AF5F99" w:rsidRPr="00AF5F99">
        <w:rPr>
          <w:rFonts w:ascii="Arial Narrow" w:hAnsi="Arial Narrow" w:cs="Times New Roman"/>
          <w:sz w:val="24"/>
          <w:szCs w:val="24"/>
        </w:rPr>
        <w:t xml:space="preserve"> </w:t>
      </w:r>
      <w:r w:rsidR="00AF5F99">
        <w:rPr>
          <w:rFonts w:ascii="Arial Narrow" w:hAnsi="Arial Narrow" w:cs="Times New Roman"/>
          <w:sz w:val="24"/>
          <w:szCs w:val="24"/>
        </w:rPr>
        <w:t xml:space="preserve">θα συνεχίσει να αυξάνεται σημαντικά με χρονικό ορίζοντα έως το έτος 2035, γεγονός που επηρεάζει θετικά και στηρίζει τις επενδύσεις στα έργα </w:t>
      </w:r>
      <w:r w:rsidR="00AF5F99">
        <w:rPr>
          <w:rFonts w:ascii="Arial Narrow" w:hAnsi="Arial Narrow" w:cs="Times New Roman"/>
          <w:sz w:val="24"/>
          <w:szCs w:val="24"/>
          <w:lang w:val="en-US"/>
        </w:rPr>
        <w:t>Ruwais</w:t>
      </w:r>
      <w:r w:rsidR="00AF5F99" w:rsidRPr="00AF5F99">
        <w:rPr>
          <w:rFonts w:ascii="Arial Narrow" w:hAnsi="Arial Narrow" w:cs="Times New Roman"/>
          <w:sz w:val="24"/>
          <w:szCs w:val="24"/>
        </w:rPr>
        <w:t xml:space="preserve"> </w:t>
      </w:r>
      <w:r w:rsidR="00AF5F99">
        <w:rPr>
          <w:rFonts w:ascii="Arial Narrow" w:hAnsi="Arial Narrow" w:cs="Times New Roman"/>
          <w:sz w:val="24"/>
          <w:szCs w:val="24"/>
          <w:lang w:val="en-US"/>
        </w:rPr>
        <w:t>LNG</w:t>
      </w:r>
      <w:r w:rsidR="00AF5F99" w:rsidRPr="00AF5F99">
        <w:rPr>
          <w:rFonts w:ascii="Arial Narrow" w:hAnsi="Arial Narrow" w:cs="Times New Roman"/>
          <w:sz w:val="24"/>
          <w:szCs w:val="24"/>
        </w:rPr>
        <w:t xml:space="preserve"> &amp; </w:t>
      </w:r>
      <w:r w:rsidR="00AF5F99">
        <w:rPr>
          <w:rFonts w:ascii="Arial Narrow" w:hAnsi="Arial Narrow" w:cs="Times New Roman"/>
          <w:sz w:val="24"/>
          <w:szCs w:val="24"/>
          <w:lang w:val="en-US"/>
        </w:rPr>
        <w:t>Rich</w:t>
      </w:r>
      <w:r w:rsidR="00AF5F99" w:rsidRPr="00AF5F99">
        <w:rPr>
          <w:rFonts w:ascii="Arial Narrow" w:hAnsi="Arial Narrow" w:cs="Times New Roman"/>
          <w:sz w:val="24"/>
          <w:szCs w:val="24"/>
        </w:rPr>
        <w:t xml:space="preserve"> </w:t>
      </w:r>
      <w:r w:rsidR="00AF5F99">
        <w:rPr>
          <w:rFonts w:ascii="Arial Narrow" w:hAnsi="Arial Narrow" w:cs="Times New Roman"/>
          <w:sz w:val="24"/>
          <w:szCs w:val="24"/>
          <w:lang w:val="en-US"/>
        </w:rPr>
        <w:t>Gas</w:t>
      </w:r>
      <w:r w:rsidR="00AF5F99" w:rsidRPr="00AF5F99">
        <w:rPr>
          <w:rFonts w:ascii="Arial Narrow" w:hAnsi="Arial Narrow" w:cs="Times New Roman"/>
          <w:sz w:val="24"/>
          <w:szCs w:val="24"/>
        </w:rPr>
        <w:t xml:space="preserve"> </w:t>
      </w:r>
      <w:r w:rsidR="00AF5F99">
        <w:rPr>
          <w:rFonts w:ascii="Arial Narrow" w:hAnsi="Arial Narrow" w:cs="Times New Roman"/>
          <w:sz w:val="24"/>
          <w:szCs w:val="24"/>
          <w:lang w:val="en-US"/>
        </w:rPr>
        <w:t>Development</w:t>
      </w:r>
      <w:r w:rsidR="00AF5F99" w:rsidRPr="00AF5F99">
        <w:rPr>
          <w:rFonts w:ascii="Arial Narrow" w:hAnsi="Arial Narrow" w:cs="Times New Roman"/>
          <w:sz w:val="24"/>
          <w:szCs w:val="24"/>
        </w:rPr>
        <w:t>.</w:t>
      </w:r>
    </w:p>
    <w:p w14:paraId="296B0AA5" w14:textId="5009756D" w:rsidR="00AF5F99" w:rsidRDefault="00AF5F99"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Συμπερασματικά θα μπορούσε να ειπωθεί με απόλυτη βεβαιότητα είναι ότι ο τομέας του φ/α στα ΗΑΕ βρίσκεται σε φάση ισχυρής επέκτασης. Με αποθέματα περίπου 300 </w:t>
      </w:r>
      <w:r>
        <w:rPr>
          <w:rFonts w:ascii="Arial Narrow" w:hAnsi="Arial Narrow" w:cs="Times New Roman"/>
          <w:sz w:val="24"/>
          <w:szCs w:val="24"/>
          <w:lang w:val="en-US"/>
        </w:rPr>
        <w:t>TcF</w:t>
      </w:r>
      <w:r w:rsidR="00874747">
        <w:rPr>
          <w:rFonts w:ascii="Arial Narrow" w:hAnsi="Arial Narrow" w:cs="Times New Roman"/>
          <w:sz w:val="24"/>
          <w:szCs w:val="24"/>
        </w:rPr>
        <w:t xml:space="preserve">, νέες επενδύσεις δις δολαρίων, το έργο </w:t>
      </w:r>
      <w:r w:rsidR="00874747">
        <w:rPr>
          <w:rFonts w:ascii="Arial Narrow" w:hAnsi="Arial Narrow" w:cs="Times New Roman"/>
          <w:sz w:val="24"/>
          <w:szCs w:val="24"/>
          <w:lang w:val="en-US"/>
        </w:rPr>
        <w:t>Ruwais</w:t>
      </w:r>
      <w:r w:rsidR="00874747" w:rsidRPr="00874747">
        <w:rPr>
          <w:rFonts w:ascii="Arial Narrow" w:hAnsi="Arial Narrow" w:cs="Times New Roman"/>
          <w:sz w:val="24"/>
          <w:szCs w:val="24"/>
        </w:rPr>
        <w:t xml:space="preserve"> </w:t>
      </w:r>
      <w:r w:rsidR="00874747">
        <w:rPr>
          <w:rFonts w:ascii="Arial Narrow" w:hAnsi="Arial Narrow" w:cs="Times New Roman"/>
          <w:sz w:val="24"/>
          <w:szCs w:val="24"/>
          <w:lang w:val="en-US"/>
        </w:rPr>
        <w:t>LNG</w:t>
      </w:r>
      <w:r w:rsidR="00874747" w:rsidRPr="00874747">
        <w:rPr>
          <w:rFonts w:ascii="Arial Narrow" w:hAnsi="Arial Narrow" w:cs="Times New Roman"/>
          <w:sz w:val="24"/>
          <w:szCs w:val="24"/>
        </w:rPr>
        <w:t xml:space="preserve"> </w:t>
      </w:r>
      <w:r w:rsidR="00874747">
        <w:rPr>
          <w:rFonts w:ascii="Arial Narrow" w:hAnsi="Arial Narrow" w:cs="Times New Roman"/>
          <w:sz w:val="24"/>
          <w:szCs w:val="24"/>
        </w:rPr>
        <w:t xml:space="preserve">και την ηγετική θέση της </w:t>
      </w:r>
      <w:r w:rsidR="00874747">
        <w:rPr>
          <w:rFonts w:ascii="Arial Narrow" w:hAnsi="Arial Narrow" w:cs="Times New Roman"/>
          <w:sz w:val="24"/>
          <w:szCs w:val="24"/>
          <w:lang w:val="en-US"/>
        </w:rPr>
        <w:t>ADNOC</w:t>
      </w:r>
      <w:r w:rsidR="00874747" w:rsidRPr="00874747">
        <w:rPr>
          <w:rFonts w:ascii="Arial Narrow" w:hAnsi="Arial Narrow" w:cs="Times New Roman"/>
          <w:sz w:val="24"/>
          <w:szCs w:val="24"/>
        </w:rPr>
        <w:t xml:space="preserve"> </w:t>
      </w:r>
      <w:r w:rsidR="00874747">
        <w:rPr>
          <w:rFonts w:ascii="Arial Narrow" w:hAnsi="Arial Narrow" w:cs="Times New Roman"/>
          <w:sz w:val="24"/>
          <w:szCs w:val="24"/>
          <w:lang w:val="en-US"/>
        </w:rPr>
        <w:t>Gas</w:t>
      </w:r>
      <w:r w:rsidR="00874747" w:rsidRPr="00874747">
        <w:rPr>
          <w:rFonts w:ascii="Arial Narrow" w:hAnsi="Arial Narrow" w:cs="Times New Roman"/>
          <w:sz w:val="24"/>
          <w:szCs w:val="24"/>
        </w:rPr>
        <w:t xml:space="preserve">, </w:t>
      </w:r>
      <w:r w:rsidR="00874747">
        <w:rPr>
          <w:rFonts w:ascii="Arial Narrow" w:hAnsi="Arial Narrow" w:cs="Times New Roman"/>
          <w:sz w:val="24"/>
          <w:szCs w:val="24"/>
        </w:rPr>
        <w:t xml:space="preserve">τα ΗΑΕ εξελίσσονται σε έναν από τους σημαντικότερους περιφερειακούς και παγκόσμιους κόμβους φ/α και </w:t>
      </w:r>
      <w:r w:rsidR="00874747">
        <w:rPr>
          <w:rFonts w:ascii="Arial Narrow" w:hAnsi="Arial Narrow" w:cs="Times New Roman"/>
          <w:sz w:val="24"/>
          <w:szCs w:val="24"/>
          <w:lang w:val="en-US"/>
        </w:rPr>
        <w:t>LNG</w:t>
      </w:r>
      <w:r w:rsidR="00874747" w:rsidRPr="00874747">
        <w:rPr>
          <w:rFonts w:ascii="Arial Narrow" w:hAnsi="Arial Narrow" w:cs="Times New Roman"/>
          <w:sz w:val="24"/>
          <w:szCs w:val="24"/>
        </w:rPr>
        <w:t xml:space="preserve"> </w:t>
      </w:r>
      <w:r w:rsidR="00874747">
        <w:rPr>
          <w:rFonts w:ascii="Arial Narrow" w:hAnsi="Arial Narrow" w:cs="Times New Roman"/>
          <w:sz w:val="24"/>
          <w:szCs w:val="24"/>
        </w:rPr>
        <w:t>της επόμενης δεκαετίας.</w:t>
      </w:r>
    </w:p>
    <w:p w14:paraId="73305B5C" w14:textId="50C5E661" w:rsidR="00DA1BCA" w:rsidRPr="00205BE4" w:rsidRDefault="00760B71" w:rsidP="00760B71">
      <w:pPr>
        <w:spacing w:after="120"/>
        <w:jc w:val="center"/>
        <w:rPr>
          <w:rFonts w:ascii="Arial Narrow" w:hAnsi="Arial Narrow" w:cs="Times New Roman"/>
          <w:b/>
          <w:color w:val="548DD4" w:themeColor="text2" w:themeTint="99"/>
          <w:sz w:val="28"/>
          <w:szCs w:val="28"/>
        </w:rPr>
      </w:pPr>
      <w:r>
        <w:rPr>
          <w:rFonts w:ascii="Arial Narrow" w:hAnsi="Arial Narrow" w:cs="Times New Roman"/>
          <w:b/>
          <w:color w:val="548DD4" w:themeColor="text2" w:themeTint="99"/>
          <w:sz w:val="28"/>
          <w:szCs w:val="28"/>
        </w:rPr>
        <w:t xml:space="preserve">8. </w:t>
      </w:r>
      <w:r w:rsidR="00DA1BCA" w:rsidRPr="00205BE4">
        <w:rPr>
          <w:rFonts w:ascii="Arial Narrow" w:hAnsi="Arial Narrow" w:cs="Times New Roman"/>
          <w:b/>
          <w:color w:val="548DD4" w:themeColor="text2" w:themeTint="99"/>
          <w:sz w:val="28"/>
          <w:szCs w:val="28"/>
          <w:lang w:val="en-US"/>
        </w:rPr>
        <w:t>T</w:t>
      </w:r>
      <w:r w:rsidR="00DA1BCA" w:rsidRPr="00205BE4">
        <w:rPr>
          <w:rFonts w:ascii="Arial Narrow" w:hAnsi="Arial Narrow" w:cs="Times New Roman"/>
          <w:b/>
          <w:color w:val="548DD4" w:themeColor="text2" w:themeTint="99"/>
          <w:sz w:val="28"/>
          <w:szCs w:val="28"/>
        </w:rPr>
        <w:t>ΟΜΕΑΣ ΑΝΑΝΕΩΣΙΜΩΝ ΠΗΓΩΝ ΕΝΕΡΓΕΙΕΣ ΣΤΑ ΗΝΩΜΕΝΑ ΑΡΑΒΙΚΑ ΕΜΙΡΑΤΑ</w:t>
      </w:r>
    </w:p>
    <w:p w14:paraId="74663E82" w14:textId="24A800A8" w:rsidR="00DA1BCA" w:rsidRPr="000834C4" w:rsidRDefault="00760B71" w:rsidP="00DA1BCA">
      <w:pPr>
        <w:spacing w:after="120"/>
        <w:jc w:val="both"/>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8.</w:t>
      </w:r>
      <w:r w:rsidR="00DA1BCA" w:rsidRPr="000834C4">
        <w:rPr>
          <w:rFonts w:ascii="Arial Narrow" w:hAnsi="Arial Narrow" w:cs="Times New Roman"/>
          <w:b/>
          <w:color w:val="548DD4" w:themeColor="text2" w:themeTint="99"/>
          <w:sz w:val="24"/>
          <w:szCs w:val="24"/>
        </w:rPr>
        <w:t xml:space="preserve">1. Εισαγωγή </w:t>
      </w:r>
    </w:p>
    <w:p w14:paraId="515954DD" w14:textId="5553E94A" w:rsidR="00DA1BCA" w:rsidRDefault="00DA1BCA" w:rsidP="00DA1BCA">
      <w:pPr>
        <w:spacing w:after="120"/>
        <w:jc w:val="both"/>
        <w:rPr>
          <w:rFonts w:ascii="Arial Narrow" w:hAnsi="Arial Narrow" w:cs="Times New Roman"/>
          <w:sz w:val="24"/>
          <w:szCs w:val="24"/>
        </w:rPr>
      </w:pPr>
      <w:r>
        <w:rPr>
          <w:rFonts w:ascii="Arial Narrow" w:hAnsi="Arial Narrow" w:cs="Times New Roman"/>
          <w:sz w:val="24"/>
          <w:szCs w:val="24"/>
        </w:rPr>
        <w:t>Τα Ηνωμένα Αραβικά Εμιράτα αποτελούν σήμερα ένας από τους πλέον δυναμικούς επε</w:t>
      </w:r>
      <w:r w:rsidR="008E50A3">
        <w:rPr>
          <w:rFonts w:ascii="Arial Narrow" w:hAnsi="Arial Narrow" w:cs="Times New Roman"/>
          <w:sz w:val="24"/>
          <w:szCs w:val="24"/>
        </w:rPr>
        <w:t>νδυτές στο τομέα των Ανανεώσιμων Πηγών Ενέργειας (ΑΕΠ) παγκοσμίως. Παρότι η χώρα διαθέτει τα έβδομα μεγαλύτερα αποθέματα πετρελαίου και σημαντικά αποθέματα φ/α διεθνώς, έχει υιοθετήσει μια στρατηγική ενεργειακής διαφοροποίησης με στόχο τη μετάβαση σε ένα βιώσιμο ενεργειακό μοντέλο και την επίτευξη μηδενικών καθαρών εκπομπών έως το έτος 2050. Η μετάβαση αυτή στηρίζεται σε τρείς βασικούς άξονες, την ανάπτυξη ηλιακής ενέργειας μεγάλης κλίμακας, την επέκταση αιολικών και υβριδικών έργων και την ανάπτυξη τεχνολογιών αποθήκευσης ενέργειας και πράσινου υδρογόνου.</w:t>
      </w:r>
    </w:p>
    <w:p w14:paraId="0F29B0B3" w14:textId="5901D088" w:rsidR="008E50A3" w:rsidRPr="000834C4" w:rsidRDefault="00760B71" w:rsidP="00760B71">
      <w:pPr>
        <w:spacing w:after="120"/>
        <w:jc w:val="center"/>
        <w:rPr>
          <w:rFonts w:ascii="Arial Narrow" w:hAnsi="Arial Narrow" w:cs="Times New Roman"/>
          <w:b/>
          <w:color w:val="548DD4" w:themeColor="text2" w:themeTint="99"/>
          <w:sz w:val="28"/>
          <w:szCs w:val="28"/>
        </w:rPr>
      </w:pPr>
      <w:r>
        <w:rPr>
          <w:rFonts w:ascii="Arial Narrow" w:hAnsi="Arial Narrow" w:cs="Times New Roman"/>
          <w:b/>
          <w:color w:val="548DD4" w:themeColor="text2" w:themeTint="99"/>
          <w:sz w:val="28"/>
          <w:szCs w:val="28"/>
        </w:rPr>
        <w:t xml:space="preserve">9. </w:t>
      </w:r>
      <w:r w:rsidR="008E50A3" w:rsidRPr="000834C4">
        <w:rPr>
          <w:rFonts w:ascii="Arial Narrow" w:hAnsi="Arial Narrow" w:cs="Times New Roman"/>
          <w:b/>
          <w:color w:val="548DD4" w:themeColor="text2" w:themeTint="99"/>
          <w:sz w:val="28"/>
          <w:szCs w:val="28"/>
        </w:rPr>
        <w:t>ΕΘΝΙΚΗ ΕΝΕΡΓΕΙΑΚΗ ΣΤΡΑΤΗΓΙΚΗ 2050</w:t>
      </w:r>
    </w:p>
    <w:p w14:paraId="08772E4B" w14:textId="37FA99B6" w:rsidR="008E50A3" w:rsidRDefault="001369F0" w:rsidP="00DA1BCA">
      <w:pPr>
        <w:spacing w:after="120"/>
        <w:jc w:val="both"/>
        <w:rPr>
          <w:rFonts w:ascii="Arial Narrow" w:hAnsi="Arial Narrow" w:cs="Times New Roman"/>
          <w:sz w:val="24"/>
          <w:szCs w:val="24"/>
        </w:rPr>
      </w:pPr>
      <w:r>
        <w:rPr>
          <w:rFonts w:ascii="Arial Narrow" w:hAnsi="Arial Narrow" w:cs="Times New Roman"/>
          <w:sz w:val="24"/>
          <w:szCs w:val="24"/>
        </w:rPr>
        <w:t>Το 2017 η κυβέρνηση των ΗΑΕ υιοθέτησε τη πρώτη ενιαία εθνική ενεργειακή στρατηγική, η οποία επικαιροποιήθηκε το 2023. Οι κύριοι στόχοι της ενιαίας αυτής εθνικής ενεργειακής στρατηγικής, συνοψίζονται στα εξής: καθαρή ενέργεια στο ενεργειακό μίγμα 50% μέχρι το έτος 2050, τριπλασιασμός δυναμικότητας ΑΠΕ μέχρι το έτος 2030, εγκατεστημένη καθαρή ισχύς</w:t>
      </w:r>
      <w:r w:rsidR="009316DB">
        <w:rPr>
          <w:rFonts w:ascii="Arial Narrow" w:hAnsi="Arial Narrow" w:cs="Times New Roman"/>
          <w:sz w:val="24"/>
          <w:szCs w:val="24"/>
        </w:rPr>
        <w:t xml:space="preserve"> έως το έτος 2030, καθαρή ενέργεια στο μίγμα ηλεκτροπαραγωγής 32% έως το έτος 2030, Δημιουργία 50.000 πράσινων θέσεων εργασίας έως το έτος 2030, και </w:t>
      </w:r>
      <w:r w:rsidR="00A7771F">
        <w:rPr>
          <w:rFonts w:ascii="Arial Narrow" w:hAnsi="Arial Narrow" w:cs="Times New Roman"/>
          <w:sz w:val="24"/>
          <w:szCs w:val="24"/>
          <w:lang w:val="en-US"/>
        </w:rPr>
        <w:t>Net</w:t>
      </w:r>
      <w:r w:rsidR="00A7771F" w:rsidRPr="00A7771F">
        <w:rPr>
          <w:rFonts w:ascii="Arial Narrow" w:hAnsi="Arial Narrow" w:cs="Times New Roman"/>
          <w:sz w:val="24"/>
          <w:szCs w:val="24"/>
        </w:rPr>
        <w:t xml:space="preserve"> </w:t>
      </w:r>
      <w:r w:rsidR="00A7771F">
        <w:rPr>
          <w:rFonts w:ascii="Arial Narrow" w:hAnsi="Arial Narrow" w:cs="Times New Roman"/>
          <w:sz w:val="24"/>
          <w:szCs w:val="24"/>
          <w:lang w:val="en-US"/>
        </w:rPr>
        <w:t>Zero</w:t>
      </w:r>
      <w:r w:rsidR="00A7771F" w:rsidRPr="00A7771F">
        <w:rPr>
          <w:rFonts w:ascii="Arial Narrow" w:hAnsi="Arial Narrow" w:cs="Times New Roman"/>
          <w:sz w:val="24"/>
          <w:szCs w:val="24"/>
        </w:rPr>
        <w:t xml:space="preserve"> </w:t>
      </w:r>
      <w:r w:rsidR="00A7771F">
        <w:rPr>
          <w:rFonts w:ascii="Arial Narrow" w:hAnsi="Arial Narrow" w:cs="Times New Roman"/>
          <w:sz w:val="24"/>
          <w:szCs w:val="24"/>
        </w:rPr>
        <w:t xml:space="preserve">εκπομπές έως το έτος 2050. </w:t>
      </w:r>
      <w:r w:rsidR="00803CE3">
        <w:rPr>
          <w:rFonts w:ascii="Arial Narrow" w:hAnsi="Arial Narrow" w:cs="Times New Roman"/>
          <w:sz w:val="24"/>
          <w:szCs w:val="24"/>
        </w:rPr>
        <w:t xml:space="preserve">Επιπλέον των ανωτέρω, η χώρα σχεδιάζει επενδύσεις ύψους 150-200 δις </w:t>
      </w:r>
      <w:r w:rsidR="00803CE3">
        <w:rPr>
          <w:rFonts w:ascii="Arial Narrow" w:hAnsi="Arial Narrow" w:cs="Times New Roman"/>
          <w:sz w:val="24"/>
          <w:szCs w:val="24"/>
          <w:lang w:val="en-US"/>
        </w:rPr>
        <w:t>AED</w:t>
      </w:r>
      <w:r w:rsidR="00803CE3" w:rsidRPr="00803CE3">
        <w:rPr>
          <w:rFonts w:ascii="Arial Narrow" w:hAnsi="Arial Narrow" w:cs="Times New Roman"/>
          <w:sz w:val="24"/>
          <w:szCs w:val="24"/>
        </w:rPr>
        <w:t xml:space="preserve"> (</w:t>
      </w:r>
      <w:r w:rsidR="00803CE3">
        <w:rPr>
          <w:rFonts w:ascii="Arial Narrow" w:hAnsi="Arial Narrow" w:cs="Times New Roman"/>
          <w:sz w:val="24"/>
          <w:szCs w:val="24"/>
        </w:rPr>
        <w:t xml:space="preserve">Ντίρχαμ) έως το 2030 και άνω των 600 δις </w:t>
      </w:r>
      <w:r w:rsidR="00803CE3">
        <w:rPr>
          <w:rFonts w:ascii="Arial Narrow" w:hAnsi="Arial Narrow" w:cs="Times New Roman"/>
          <w:sz w:val="24"/>
          <w:szCs w:val="24"/>
          <w:lang w:val="en-US"/>
        </w:rPr>
        <w:t>AED</w:t>
      </w:r>
      <w:r w:rsidR="00803CE3" w:rsidRPr="00803CE3">
        <w:rPr>
          <w:rFonts w:ascii="Arial Narrow" w:hAnsi="Arial Narrow" w:cs="Times New Roman"/>
          <w:sz w:val="24"/>
          <w:szCs w:val="24"/>
        </w:rPr>
        <w:t xml:space="preserve"> (</w:t>
      </w:r>
      <w:r w:rsidR="00803CE3">
        <w:rPr>
          <w:rFonts w:ascii="Arial Narrow" w:hAnsi="Arial Narrow" w:cs="Times New Roman"/>
          <w:sz w:val="24"/>
          <w:szCs w:val="24"/>
        </w:rPr>
        <w:t>Ντίρχαμ) έως το έτος 2050.</w:t>
      </w:r>
    </w:p>
    <w:p w14:paraId="23E7A932" w14:textId="2E384F8F" w:rsidR="00803CE3" w:rsidRPr="000834C4" w:rsidRDefault="00E66560" w:rsidP="00E66560">
      <w:pPr>
        <w:spacing w:after="120"/>
        <w:jc w:val="center"/>
        <w:rPr>
          <w:rFonts w:ascii="Arial Narrow" w:hAnsi="Arial Narrow" w:cs="Times New Roman"/>
          <w:b/>
          <w:color w:val="548DD4" w:themeColor="text2" w:themeTint="99"/>
          <w:sz w:val="28"/>
          <w:szCs w:val="28"/>
        </w:rPr>
      </w:pPr>
      <w:r>
        <w:rPr>
          <w:rFonts w:ascii="Arial Narrow" w:hAnsi="Arial Narrow" w:cs="Times New Roman"/>
          <w:b/>
          <w:color w:val="548DD4" w:themeColor="text2" w:themeTint="99"/>
          <w:sz w:val="28"/>
          <w:szCs w:val="28"/>
        </w:rPr>
        <w:t xml:space="preserve">10. </w:t>
      </w:r>
      <w:r w:rsidR="00803CE3" w:rsidRPr="000834C4">
        <w:rPr>
          <w:rFonts w:ascii="Arial Narrow" w:hAnsi="Arial Narrow" w:cs="Times New Roman"/>
          <w:b/>
          <w:color w:val="548DD4" w:themeColor="text2" w:themeTint="99"/>
          <w:sz w:val="28"/>
          <w:szCs w:val="28"/>
        </w:rPr>
        <w:t xml:space="preserve"> ΗΛΙΑΚΗ ΕΝΕΡΓΕΙΑ</w:t>
      </w:r>
    </w:p>
    <w:p w14:paraId="6F14F69B" w14:textId="7B7AD7F2" w:rsidR="00803CE3" w:rsidRDefault="00803CE3" w:rsidP="00DA1BCA">
      <w:pPr>
        <w:spacing w:after="120"/>
        <w:jc w:val="both"/>
        <w:rPr>
          <w:rFonts w:ascii="Arial Narrow" w:hAnsi="Arial Narrow" w:cs="Times New Roman"/>
          <w:sz w:val="24"/>
          <w:szCs w:val="24"/>
        </w:rPr>
      </w:pPr>
      <w:r>
        <w:rPr>
          <w:rFonts w:ascii="Arial Narrow" w:hAnsi="Arial Narrow" w:cs="Times New Roman"/>
          <w:sz w:val="24"/>
          <w:szCs w:val="24"/>
        </w:rPr>
        <w:t xml:space="preserve"> Η ηλιακή ενέργεια αποτελεί τη σημαντικότερη ανανεώσιμη πηγή ενέργειας στα ΗΑΕ. Οι κλιματολογικές συνθήκες της χώρας προσφέρουν 3.500 ώρες ηλιοφάνειας ετησίως, υψηλή ηλιακή ακτινοβολία και μεγάλες εκτάσεις ερήμου κατάλληλες για φωτοβολταϊκά πάρκα. </w:t>
      </w:r>
    </w:p>
    <w:p w14:paraId="32BB6A22" w14:textId="2B997CCA" w:rsidR="00803CE3" w:rsidRDefault="00E66560" w:rsidP="00DA1BCA">
      <w:pPr>
        <w:spacing w:after="120"/>
        <w:jc w:val="both"/>
        <w:rPr>
          <w:rFonts w:ascii="Arial Narrow" w:hAnsi="Arial Narrow" w:cs="Times New Roman"/>
          <w:sz w:val="24"/>
          <w:szCs w:val="24"/>
        </w:rPr>
      </w:pPr>
      <w:r w:rsidRPr="00E66560">
        <w:rPr>
          <w:rFonts w:ascii="Arial Narrow" w:hAnsi="Arial Narrow" w:cs="Times New Roman"/>
          <w:b/>
          <w:color w:val="548DD4" w:themeColor="text2" w:themeTint="99"/>
          <w:sz w:val="24"/>
          <w:szCs w:val="24"/>
          <w:lang w:val="en-AE"/>
        </w:rPr>
        <w:t xml:space="preserve">10.1.1 </w:t>
      </w:r>
      <w:r w:rsidR="00803CE3" w:rsidRPr="000834C4">
        <w:rPr>
          <w:rFonts w:ascii="Arial Narrow" w:hAnsi="Arial Narrow" w:cs="Times New Roman"/>
          <w:b/>
          <w:color w:val="548DD4" w:themeColor="text2" w:themeTint="99"/>
          <w:sz w:val="24"/>
          <w:szCs w:val="24"/>
          <w:lang w:val="en-US"/>
        </w:rPr>
        <w:t>Mohammed bin Rashid Al Maktoum Solar Park (Dubai).</w:t>
      </w:r>
      <w:r w:rsidR="00803CE3" w:rsidRPr="00803CE3">
        <w:rPr>
          <w:rFonts w:ascii="Arial Narrow" w:hAnsi="Arial Narrow" w:cs="Times New Roman"/>
          <w:color w:val="548DD4" w:themeColor="text2" w:themeTint="99"/>
          <w:sz w:val="24"/>
          <w:szCs w:val="24"/>
          <w:lang w:val="en-US"/>
        </w:rPr>
        <w:t xml:space="preserve"> </w:t>
      </w:r>
      <w:r w:rsidR="00803CE3">
        <w:rPr>
          <w:rFonts w:ascii="Arial Narrow" w:hAnsi="Arial Narrow" w:cs="Times New Roman"/>
          <w:sz w:val="24"/>
          <w:szCs w:val="24"/>
        </w:rPr>
        <w:t>Το μεγαλύτερο έργο ανανεώσιμων πηγών ενέργειας στη περιοχή της Μέσης Ανατολής</w:t>
      </w:r>
      <w:r w:rsidR="00416C24">
        <w:rPr>
          <w:rFonts w:ascii="Arial Narrow" w:hAnsi="Arial Narrow" w:cs="Times New Roman"/>
          <w:sz w:val="24"/>
          <w:szCs w:val="24"/>
        </w:rPr>
        <w:t xml:space="preserve">. Βασικά χαρακτηριστικά είναι προβλεπόμενη ισχύς 5 </w:t>
      </w:r>
      <w:r w:rsidR="00416C24">
        <w:rPr>
          <w:rFonts w:ascii="Arial Narrow" w:hAnsi="Arial Narrow" w:cs="Times New Roman"/>
          <w:sz w:val="24"/>
          <w:szCs w:val="24"/>
          <w:lang w:val="en-US"/>
        </w:rPr>
        <w:t>GW</w:t>
      </w:r>
      <w:r w:rsidR="00416C24" w:rsidRPr="00416C24">
        <w:rPr>
          <w:rFonts w:ascii="Arial Narrow" w:hAnsi="Arial Narrow" w:cs="Times New Roman"/>
          <w:sz w:val="24"/>
          <w:szCs w:val="24"/>
        </w:rPr>
        <w:t xml:space="preserve">, </w:t>
      </w:r>
      <w:r w:rsidR="00416C24">
        <w:rPr>
          <w:rFonts w:ascii="Arial Narrow" w:hAnsi="Arial Narrow" w:cs="Times New Roman"/>
          <w:sz w:val="24"/>
          <w:szCs w:val="24"/>
        </w:rPr>
        <w:t xml:space="preserve">Ολοκλήρωση του έργου έως το 2030, συνολική επένδυση άνω των 50 δις </w:t>
      </w:r>
      <w:r w:rsidR="00416C24">
        <w:rPr>
          <w:rFonts w:ascii="Arial Narrow" w:hAnsi="Arial Narrow" w:cs="Times New Roman"/>
          <w:sz w:val="24"/>
          <w:szCs w:val="24"/>
          <w:lang w:val="en-US"/>
        </w:rPr>
        <w:t>AED</w:t>
      </w:r>
      <w:r w:rsidR="00416C24" w:rsidRPr="00416C24">
        <w:rPr>
          <w:rFonts w:ascii="Arial Narrow" w:hAnsi="Arial Narrow" w:cs="Times New Roman"/>
          <w:sz w:val="24"/>
          <w:szCs w:val="24"/>
        </w:rPr>
        <w:t xml:space="preserve"> (</w:t>
      </w:r>
      <w:r w:rsidR="00416C24">
        <w:rPr>
          <w:rFonts w:ascii="Arial Narrow" w:hAnsi="Arial Narrow" w:cs="Times New Roman"/>
          <w:sz w:val="24"/>
          <w:szCs w:val="24"/>
        </w:rPr>
        <w:t>Ντίρχαμ). Το έργο αποτελεί συνδυασμό φωτοβολταϊκών, Συγκεντρωτικής Ηλιακής Ενέργειας (</w:t>
      </w:r>
      <w:r w:rsidR="00416C24">
        <w:rPr>
          <w:rFonts w:ascii="Arial Narrow" w:hAnsi="Arial Narrow" w:cs="Times New Roman"/>
          <w:sz w:val="24"/>
          <w:szCs w:val="24"/>
          <w:lang w:val="en-US"/>
        </w:rPr>
        <w:t>CSP</w:t>
      </w:r>
      <w:r w:rsidR="00416C24" w:rsidRPr="00416C24">
        <w:rPr>
          <w:rFonts w:ascii="Arial Narrow" w:hAnsi="Arial Narrow" w:cs="Times New Roman"/>
          <w:sz w:val="24"/>
          <w:szCs w:val="24"/>
        </w:rPr>
        <w:t xml:space="preserve">) </w:t>
      </w:r>
      <w:r w:rsidR="00416C24">
        <w:rPr>
          <w:rFonts w:ascii="Arial Narrow" w:hAnsi="Arial Narrow" w:cs="Times New Roman"/>
          <w:sz w:val="24"/>
          <w:szCs w:val="24"/>
        </w:rPr>
        <w:t xml:space="preserve">και θερμικής αποθήκευσης. Το έργο προβλέπεται να καλύπτει 800.000 κατοικίες περίπου και θα μειώνει εκατομμύρια τόνους </w:t>
      </w:r>
      <w:r w:rsidR="00416C24">
        <w:rPr>
          <w:rFonts w:ascii="Arial Narrow" w:hAnsi="Arial Narrow" w:cs="Times New Roman"/>
          <w:sz w:val="24"/>
          <w:szCs w:val="24"/>
          <w:lang w:val="en-US"/>
        </w:rPr>
        <w:t>CO</w:t>
      </w:r>
      <w:r w:rsidR="00416C24" w:rsidRPr="00416C24">
        <w:rPr>
          <w:rFonts w:ascii="Arial Narrow" w:hAnsi="Arial Narrow" w:cs="Times New Roman"/>
          <w:sz w:val="24"/>
          <w:szCs w:val="24"/>
        </w:rPr>
        <w:t xml:space="preserve">2 </w:t>
      </w:r>
      <w:r w:rsidR="00416C24">
        <w:rPr>
          <w:rFonts w:ascii="Arial Narrow" w:hAnsi="Arial Narrow" w:cs="Times New Roman"/>
          <w:sz w:val="24"/>
          <w:szCs w:val="24"/>
        </w:rPr>
        <w:t>ετησίως.</w:t>
      </w:r>
    </w:p>
    <w:p w14:paraId="2EC4F542" w14:textId="45D43B9D" w:rsidR="00416C24" w:rsidRDefault="00E66560" w:rsidP="00DA1BCA">
      <w:pPr>
        <w:spacing w:after="120"/>
        <w:jc w:val="both"/>
        <w:rPr>
          <w:rFonts w:ascii="Arial Narrow" w:hAnsi="Arial Narrow" w:cs="Times New Roman"/>
          <w:sz w:val="24"/>
          <w:szCs w:val="24"/>
        </w:rPr>
      </w:pPr>
      <w:r>
        <w:rPr>
          <w:rFonts w:ascii="Arial Narrow" w:hAnsi="Arial Narrow" w:cs="Times New Roman"/>
          <w:b/>
          <w:color w:val="548DD4" w:themeColor="text2" w:themeTint="99"/>
          <w:sz w:val="24"/>
          <w:szCs w:val="24"/>
        </w:rPr>
        <w:t xml:space="preserve">10.1.2 </w:t>
      </w:r>
      <w:r w:rsidR="00416C24" w:rsidRPr="000834C4">
        <w:rPr>
          <w:rFonts w:ascii="Arial Narrow" w:hAnsi="Arial Narrow" w:cs="Times New Roman"/>
          <w:b/>
          <w:color w:val="548DD4" w:themeColor="text2" w:themeTint="99"/>
          <w:sz w:val="24"/>
          <w:szCs w:val="24"/>
          <w:lang w:val="en-US"/>
        </w:rPr>
        <w:t>Noor</w:t>
      </w:r>
      <w:r w:rsidR="00416C24" w:rsidRPr="000834C4">
        <w:rPr>
          <w:rFonts w:ascii="Arial Narrow" w:hAnsi="Arial Narrow" w:cs="Times New Roman"/>
          <w:b/>
          <w:color w:val="548DD4" w:themeColor="text2" w:themeTint="99"/>
          <w:sz w:val="24"/>
          <w:szCs w:val="24"/>
        </w:rPr>
        <w:t xml:space="preserve"> </w:t>
      </w:r>
      <w:r w:rsidR="00416C24" w:rsidRPr="000834C4">
        <w:rPr>
          <w:rFonts w:ascii="Arial Narrow" w:hAnsi="Arial Narrow" w:cs="Times New Roman"/>
          <w:b/>
          <w:color w:val="548DD4" w:themeColor="text2" w:themeTint="99"/>
          <w:sz w:val="24"/>
          <w:szCs w:val="24"/>
          <w:lang w:val="en-US"/>
        </w:rPr>
        <w:t>Abu</w:t>
      </w:r>
      <w:r w:rsidR="00416C24" w:rsidRPr="000834C4">
        <w:rPr>
          <w:rFonts w:ascii="Arial Narrow" w:hAnsi="Arial Narrow" w:cs="Times New Roman"/>
          <w:b/>
          <w:color w:val="548DD4" w:themeColor="text2" w:themeTint="99"/>
          <w:sz w:val="24"/>
          <w:szCs w:val="24"/>
        </w:rPr>
        <w:t xml:space="preserve"> </w:t>
      </w:r>
      <w:r w:rsidR="00416C24" w:rsidRPr="000834C4">
        <w:rPr>
          <w:rFonts w:ascii="Arial Narrow" w:hAnsi="Arial Narrow" w:cs="Times New Roman"/>
          <w:b/>
          <w:color w:val="548DD4" w:themeColor="text2" w:themeTint="99"/>
          <w:sz w:val="24"/>
          <w:szCs w:val="24"/>
          <w:lang w:val="en-US"/>
        </w:rPr>
        <w:t>Dhabi</w:t>
      </w:r>
      <w:r w:rsidR="00416C24" w:rsidRPr="00A37131">
        <w:rPr>
          <w:rFonts w:ascii="Arial Narrow" w:hAnsi="Arial Narrow" w:cs="Times New Roman"/>
          <w:color w:val="548DD4" w:themeColor="text2" w:themeTint="99"/>
          <w:sz w:val="24"/>
          <w:szCs w:val="24"/>
        </w:rPr>
        <w:t xml:space="preserve">. </w:t>
      </w:r>
      <w:r w:rsidR="00416C24">
        <w:rPr>
          <w:rFonts w:ascii="Arial Narrow" w:hAnsi="Arial Narrow" w:cs="Times New Roman"/>
          <w:sz w:val="24"/>
          <w:szCs w:val="24"/>
        </w:rPr>
        <w:t xml:space="preserve">Το μεγαλύτερο εν λειτουργία φωτοβολταϊκό πάρκο μονού χώρου στο κόσμο κατά την έναρξη λειτουργίας του. </w:t>
      </w:r>
      <w:r w:rsidR="008D227C">
        <w:rPr>
          <w:rFonts w:ascii="Arial Narrow" w:hAnsi="Arial Narrow" w:cs="Times New Roman"/>
          <w:sz w:val="24"/>
          <w:szCs w:val="24"/>
        </w:rPr>
        <w:t xml:space="preserve">Χαρακτηριστικά στοιχεία του έργου είναι ισχύς 1,17 </w:t>
      </w:r>
      <w:r w:rsidR="008D227C">
        <w:rPr>
          <w:rFonts w:ascii="Arial Narrow" w:hAnsi="Arial Narrow" w:cs="Times New Roman"/>
          <w:sz w:val="24"/>
          <w:szCs w:val="24"/>
          <w:lang w:val="en-US"/>
        </w:rPr>
        <w:t>GW</w:t>
      </w:r>
      <w:r w:rsidR="008D227C" w:rsidRPr="008D227C">
        <w:rPr>
          <w:rFonts w:ascii="Arial Narrow" w:hAnsi="Arial Narrow" w:cs="Times New Roman"/>
          <w:sz w:val="24"/>
          <w:szCs w:val="24"/>
        </w:rPr>
        <w:t xml:space="preserve">, </w:t>
      </w:r>
      <w:r w:rsidR="008D227C">
        <w:rPr>
          <w:rFonts w:ascii="Arial Narrow" w:hAnsi="Arial Narrow" w:cs="Times New Roman"/>
          <w:sz w:val="24"/>
          <w:szCs w:val="24"/>
        </w:rPr>
        <w:t xml:space="preserve">πάνω από 3 εκατομμύρια φωτοβολταίκά πάνελ και μείωση εκπομπών περίπου 1 εκατ. τόνων </w:t>
      </w:r>
      <w:r w:rsidR="008D227C">
        <w:rPr>
          <w:rFonts w:ascii="Arial Narrow" w:hAnsi="Arial Narrow" w:cs="Times New Roman"/>
          <w:sz w:val="24"/>
          <w:szCs w:val="24"/>
          <w:lang w:val="en-US"/>
        </w:rPr>
        <w:t>CO</w:t>
      </w:r>
      <w:r w:rsidR="008D227C" w:rsidRPr="008D227C">
        <w:rPr>
          <w:rFonts w:ascii="Arial Narrow" w:hAnsi="Arial Narrow" w:cs="Times New Roman"/>
          <w:sz w:val="24"/>
          <w:szCs w:val="24"/>
        </w:rPr>
        <w:t xml:space="preserve">2 </w:t>
      </w:r>
      <w:r w:rsidR="00AE5F92">
        <w:rPr>
          <w:rFonts w:ascii="Arial Narrow" w:hAnsi="Arial Narrow" w:cs="Times New Roman"/>
          <w:sz w:val="24"/>
          <w:szCs w:val="24"/>
        </w:rPr>
        <w:t>ετησίως.</w:t>
      </w:r>
    </w:p>
    <w:p w14:paraId="04C05FE3" w14:textId="7FA7CE09" w:rsidR="00AE5F92" w:rsidRPr="000834C4" w:rsidRDefault="00E66560" w:rsidP="00E66560">
      <w:pPr>
        <w:spacing w:after="120"/>
        <w:jc w:val="center"/>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11. </w:t>
      </w:r>
      <w:r w:rsidR="00AE5F92" w:rsidRPr="000834C4">
        <w:rPr>
          <w:rFonts w:ascii="Arial Narrow" w:hAnsi="Arial Narrow" w:cs="Times New Roman"/>
          <w:b/>
          <w:color w:val="548DD4" w:themeColor="text2" w:themeTint="99"/>
          <w:sz w:val="24"/>
          <w:szCs w:val="24"/>
        </w:rPr>
        <w:t>ΑΙΟΛΙΚΗ ΕΝΕΡΕΙΑ</w:t>
      </w:r>
    </w:p>
    <w:p w14:paraId="237E4825" w14:textId="728F9DBB" w:rsidR="00AE5F92" w:rsidRDefault="00AE5F92" w:rsidP="00DA1BCA">
      <w:pPr>
        <w:spacing w:after="120"/>
        <w:jc w:val="both"/>
        <w:rPr>
          <w:rFonts w:ascii="Arial Narrow" w:hAnsi="Arial Narrow" w:cs="Times New Roman"/>
          <w:sz w:val="24"/>
          <w:szCs w:val="24"/>
        </w:rPr>
      </w:pPr>
      <w:r>
        <w:rPr>
          <w:rFonts w:ascii="Arial Narrow" w:hAnsi="Arial Narrow" w:cs="Times New Roman"/>
          <w:sz w:val="24"/>
          <w:szCs w:val="24"/>
        </w:rPr>
        <w:t xml:space="preserve">Παρότι τα ΗΑΕ δεν διαθέτουν το αιολικό δυναμικό της Ευρώπης, η χώρα επενδύει σε επιλεγμένες περιοχές. Το 2023 τέθηκε σε λειτουργία το πρώτο εθνικό αιολικό πρόγραμμα. Οι περιοχές εγκατάστασης είναι </w:t>
      </w:r>
      <w:r>
        <w:rPr>
          <w:rFonts w:ascii="Arial Narrow" w:hAnsi="Arial Narrow" w:cs="Times New Roman"/>
          <w:sz w:val="24"/>
          <w:szCs w:val="24"/>
          <w:lang w:val="en-US"/>
        </w:rPr>
        <w:t>Sir</w:t>
      </w:r>
      <w:r w:rsidRPr="00AE5F92">
        <w:rPr>
          <w:rFonts w:ascii="Arial Narrow" w:hAnsi="Arial Narrow" w:cs="Times New Roman"/>
          <w:sz w:val="24"/>
          <w:szCs w:val="24"/>
        </w:rPr>
        <w:t xml:space="preserve"> </w:t>
      </w:r>
      <w:r>
        <w:rPr>
          <w:rFonts w:ascii="Arial Narrow" w:hAnsi="Arial Narrow" w:cs="Times New Roman"/>
          <w:sz w:val="24"/>
          <w:szCs w:val="24"/>
          <w:lang w:val="en-US"/>
        </w:rPr>
        <w:t>Bani</w:t>
      </w:r>
      <w:r w:rsidRPr="00AE5F92">
        <w:rPr>
          <w:rFonts w:ascii="Arial Narrow" w:hAnsi="Arial Narrow" w:cs="Times New Roman"/>
          <w:sz w:val="24"/>
          <w:szCs w:val="24"/>
        </w:rPr>
        <w:t xml:space="preserve"> </w:t>
      </w:r>
      <w:r>
        <w:rPr>
          <w:rFonts w:ascii="Arial Narrow" w:hAnsi="Arial Narrow" w:cs="Times New Roman"/>
          <w:sz w:val="24"/>
          <w:szCs w:val="24"/>
          <w:lang w:val="en-US"/>
        </w:rPr>
        <w:t>Yas</w:t>
      </w:r>
      <w:r w:rsidRPr="00AE5F92">
        <w:rPr>
          <w:rFonts w:ascii="Arial Narrow" w:hAnsi="Arial Narrow" w:cs="Times New Roman"/>
          <w:sz w:val="24"/>
          <w:szCs w:val="24"/>
        </w:rPr>
        <w:t xml:space="preserve"> </w:t>
      </w:r>
      <w:r>
        <w:rPr>
          <w:rFonts w:ascii="Arial Narrow" w:hAnsi="Arial Narrow" w:cs="Times New Roman"/>
          <w:sz w:val="24"/>
          <w:szCs w:val="24"/>
          <w:lang w:val="en-US"/>
        </w:rPr>
        <w:t>Island</w:t>
      </w:r>
      <w:r w:rsidRPr="00AE5F92">
        <w:rPr>
          <w:rFonts w:ascii="Arial Narrow" w:hAnsi="Arial Narrow" w:cs="Times New Roman"/>
          <w:sz w:val="24"/>
          <w:szCs w:val="24"/>
        </w:rPr>
        <w:t xml:space="preserve">, </w:t>
      </w:r>
      <w:r>
        <w:rPr>
          <w:rFonts w:ascii="Arial Narrow" w:hAnsi="Arial Narrow" w:cs="Times New Roman"/>
          <w:sz w:val="24"/>
          <w:szCs w:val="24"/>
          <w:lang w:val="en-US"/>
        </w:rPr>
        <w:t>Al</w:t>
      </w:r>
      <w:r w:rsidRPr="00AE5F92">
        <w:rPr>
          <w:rFonts w:ascii="Arial Narrow" w:hAnsi="Arial Narrow" w:cs="Times New Roman"/>
          <w:sz w:val="24"/>
          <w:szCs w:val="24"/>
        </w:rPr>
        <w:t xml:space="preserve"> </w:t>
      </w:r>
      <w:r>
        <w:rPr>
          <w:rFonts w:ascii="Arial Narrow" w:hAnsi="Arial Narrow" w:cs="Times New Roman"/>
          <w:sz w:val="24"/>
          <w:szCs w:val="24"/>
          <w:lang w:val="en-US"/>
        </w:rPr>
        <w:t>Sila</w:t>
      </w:r>
      <w:r w:rsidRPr="00AE5F92">
        <w:rPr>
          <w:rFonts w:ascii="Arial Narrow" w:hAnsi="Arial Narrow" w:cs="Times New Roman"/>
          <w:sz w:val="24"/>
          <w:szCs w:val="24"/>
        </w:rPr>
        <w:t xml:space="preserve">, </w:t>
      </w:r>
      <w:r>
        <w:rPr>
          <w:rFonts w:ascii="Arial Narrow" w:hAnsi="Arial Narrow" w:cs="Times New Roman"/>
          <w:sz w:val="24"/>
          <w:szCs w:val="24"/>
          <w:lang w:val="en-US"/>
        </w:rPr>
        <w:t>Delma</w:t>
      </w:r>
      <w:r w:rsidRPr="00AE5F92">
        <w:rPr>
          <w:rFonts w:ascii="Arial Narrow" w:hAnsi="Arial Narrow" w:cs="Times New Roman"/>
          <w:sz w:val="24"/>
          <w:szCs w:val="24"/>
        </w:rPr>
        <w:t xml:space="preserve"> </w:t>
      </w:r>
      <w:r>
        <w:rPr>
          <w:rFonts w:ascii="Arial Narrow" w:hAnsi="Arial Narrow" w:cs="Times New Roman"/>
          <w:sz w:val="24"/>
          <w:szCs w:val="24"/>
          <w:lang w:val="en-US"/>
        </w:rPr>
        <w:t>Island</w:t>
      </w:r>
      <w:r w:rsidRPr="00AE5F92">
        <w:rPr>
          <w:rFonts w:ascii="Arial Narrow" w:hAnsi="Arial Narrow" w:cs="Times New Roman"/>
          <w:sz w:val="24"/>
          <w:szCs w:val="24"/>
        </w:rPr>
        <w:t xml:space="preserve"> &amp; </w:t>
      </w:r>
      <w:r>
        <w:rPr>
          <w:rFonts w:ascii="Arial Narrow" w:hAnsi="Arial Narrow" w:cs="Times New Roman"/>
          <w:sz w:val="24"/>
          <w:szCs w:val="24"/>
          <w:lang w:val="en-US"/>
        </w:rPr>
        <w:t>Fujairah</w:t>
      </w:r>
      <w:r w:rsidRPr="00AE5F92">
        <w:rPr>
          <w:rFonts w:ascii="Arial Narrow" w:hAnsi="Arial Narrow" w:cs="Times New Roman"/>
          <w:sz w:val="24"/>
          <w:szCs w:val="24"/>
        </w:rPr>
        <w:t xml:space="preserve">. </w:t>
      </w:r>
      <w:r>
        <w:rPr>
          <w:rFonts w:ascii="Arial Narrow" w:hAnsi="Arial Narrow" w:cs="Times New Roman"/>
          <w:sz w:val="24"/>
          <w:szCs w:val="24"/>
        </w:rPr>
        <w:t xml:space="preserve">Η δυναμικότητα του έργου ανέρχεται σε 104 </w:t>
      </w:r>
      <w:r>
        <w:rPr>
          <w:rFonts w:ascii="Arial Narrow" w:hAnsi="Arial Narrow" w:cs="Times New Roman"/>
          <w:sz w:val="24"/>
          <w:szCs w:val="24"/>
          <w:lang w:val="en-US"/>
        </w:rPr>
        <w:t>MW</w:t>
      </w:r>
      <w:r w:rsidRPr="00AE5F92">
        <w:rPr>
          <w:rFonts w:ascii="Arial Narrow" w:hAnsi="Arial Narrow" w:cs="Times New Roman"/>
          <w:sz w:val="24"/>
          <w:szCs w:val="24"/>
        </w:rPr>
        <w:t xml:space="preserve"> </w:t>
      </w:r>
      <w:r>
        <w:rPr>
          <w:rFonts w:ascii="Arial Narrow" w:hAnsi="Arial Narrow" w:cs="Times New Roman"/>
          <w:sz w:val="24"/>
          <w:szCs w:val="24"/>
        </w:rPr>
        <w:t xml:space="preserve">συνολικά, ηλεκτροδότηση περίπου 23.000 κατοικιών και η μείωση 120.000 τόνων </w:t>
      </w:r>
      <w:r>
        <w:rPr>
          <w:rFonts w:ascii="Arial Narrow" w:hAnsi="Arial Narrow" w:cs="Times New Roman"/>
          <w:sz w:val="24"/>
          <w:szCs w:val="24"/>
          <w:lang w:val="en-US"/>
        </w:rPr>
        <w:t>CO</w:t>
      </w:r>
      <w:r w:rsidRPr="00AE5F92">
        <w:rPr>
          <w:rFonts w:ascii="Arial Narrow" w:hAnsi="Arial Narrow" w:cs="Times New Roman"/>
          <w:sz w:val="24"/>
          <w:szCs w:val="24"/>
        </w:rPr>
        <w:t xml:space="preserve">2 </w:t>
      </w:r>
      <w:r>
        <w:rPr>
          <w:rFonts w:ascii="Arial Narrow" w:hAnsi="Arial Narrow" w:cs="Times New Roman"/>
          <w:sz w:val="24"/>
          <w:szCs w:val="24"/>
        </w:rPr>
        <w:t>ετησίως.</w:t>
      </w:r>
    </w:p>
    <w:p w14:paraId="0AA2F13E" w14:textId="4346C338" w:rsidR="00AE5F92" w:rsidRPr="006E6CDB" w:rsidRDefault="00E66560" w:rsidP="00E66560">
      <w:pPr>
        <w:spacing w:after="120"/>
        <w:jc w:val="center"/>
        <w:rPr>
          <w:rFonts w:ascii="Arial Narrow" w:hAnsi="Arial Narrow" w:cs="Times New Roman"/>
          <w:b/>
          <w:color w:val="548DD4" w:themeColor="text2" w:themeTint="99"/>
          <w:sz w:val="28"/>
          <w:szCs w:val="28"/>
        </w:rPr>
      </w:pPr>
      <w:r>
        <w:rPr>
          <w:rFonts w:ascii="Arial Narrow" w:hAnsi="Arial Narrow" w:cs="Times New Roman"/>
          <w:b/>
          <w:color w:val="548DD4" w:themeColor="text2" w:themeTint="99"/>
          <w:sz w:val="28"/>
          <w:szCs w:val="28"/>
        </w:rPr>
        <w:t xml:space="preserve">12. </w:t>
      </w:r>
      <w:r w:rsidR="001753BA" w:rsidRPr="006E6CDB">
        <w:rPr>
          <w:rFonts w:ascii="Arial Narrow" w:hAnsi="Arial Narrow" w:cs="Times New Roman"/>
          <w:b/>
          <w:color w:val="548DD4" w:themeColor="text2" w:themeTint="99"/>
          <w:sz w:val="28"/>
          <w:szCs w:val="28"/>
        </w:rPr>
        <w:t>ΑΠΟΘΗΚΕΥΣΗ ΕΝΕΡΓΕΙΑΣ ΚΑΙ ΜΠΑΤΑΡΙΕΣ</w:t>
      </w:r>
    </w:p>
    <w:p w14:paraId="030D22E6" w14:textId="0433047B" w:rsidR="001753BA" w:rsidRDefault="001753BA" w:rsidP="00DA1BCA">
      <w:pPr>
        <w:spacing w:after="120"/>
        <w:jc w:val="both"/>
        <w:rPr>
          <w:rFonts w:ascii="Arial Narrow" w:hAnsi="Arial Narrow" w:cs="Times New Roman"/>
          <w:sz w:val="24"/>
          <w:szCs w:val="24"/>
        </w:rPr>
      </w:pPr>
      <w:r>
        <w:rPr>
          <w:rFonts w:ascii="Arial Narrow" w:hAnsi="Arial Narrow" w:cs="Times New Roman"/>
          <w:sz w:val="24"/>
          <w:szCs w:val="24"/>
        </w:rPr>
        <w:t xml:space="preserve">Τα ΗΑΕ επενδύουν σημαντικά σε συστήματα αποθήκευσης ώστε να αντιμετωπιστεί η διακοπτόμενη παραγωγή από ΑΠΕ. Νέο έργο </w:t>
      </w:r>
      <w:r>
        <w:rPr>
          <w:rFonts w:ascii="Arial Narrow" w:hAnsi="Arial Narrow" w:cs="Times New Roman"/>
          <w:sz w:val="24"/>
          <w:szCs w:val="24"/>
          <w:lang w:val="en-US"/>
        </w:rPr>
        <w:t>Abu</w:t>
      </w:r>
      <w:r w:rsidRPr="001753BA">
        <w:rPr>
          <w:rFonts w:ascii="Arial Narrow" w:hAnsi="Arial Narrow" w:cs="Times New Roman"/>
          <w:sz w:val="24"/>
          <w:szCs w:val="24"/>
        </w:rPr>
        <w:t xml:space="preserve"> </w:t>
      </w:r>
      <w:r>
        <w:rPr>
          <w:rFonts w:ascii="Arial Narrow" w:hAnsi="Arial Narrow" w:cs="Times New Roman"/>
          <w:sz w:val="24"/>
          <w:szCs w:val="24"/>
          <w:lang w:val="en-US"/>
        </w:rPr>
        <w:t>Dhabi</w:t>
      </w:r>
      <w:r w:rsidRPr="001753BA">
        <w:rPr>
          <w:rFonts w:ascii="Arial Narrow" w:hAnsi="Arial Narrow" w:cs="Times New Roman"/>
          <w:sz w:val="24"/>
          <w:szCs w:val="24"/>
        </w:rPr>
        <w:t xml:space="preserve"> (</w:t>
      </w:r>
      <w:r>
        <w:rPr>
          <w:rFonts w:ascii="Arial Narrow" w:hAnsi="Arial Narrow" w:cs="Times New Roman"/>
          <w:sz w:val="24"/>
          <w:szCs w:val="24"/>
          <w:lang w:val="en-US"/>
        </w:rPr>
        <w:t>Masdar</w:t>
      </w:r>
      <w:r w:rsidRPr="001753BA">
        <w:rPr>
          <w:rFonts w:ascii="Arial Narrow" w:hAnsi="Arial Narrow" w:cs="Times New Roman"/>
          <w:sz w:val="24"/>
          <w:szCs w:val="24"/>
        </w:rPr>
        <w:t xml:space="preserve"> – </w:t>
      </w:r>
      <w:r>
        <w:rPr>
          <w:rFonts w:ascii="Arial Narrow" w:hAnsi="Arial Narrow" w:cs="Times New Roman"/>
          <w:sz w:val="24"/>
          <w:szCs w:val="24"/>
          <w:lang w:val="en-US"/>
        </w:rPr>
        <w:t>EWEC</w:t>
      </w:r>
      <w:r w:rsidRPr="001753BA">
        <w:rPr>
          <w:rFonts w:ascii="Arial Narrow" w:hAnsi="Arial Narrow" w:cs="Times New Roman"/>
          <w:sz w:val="24"/>
          <w:szCs w:val="24"/>
        </w:rPr>
        <w:t xml:space="preserve">). </w:t>
      </w:r>
      <w:r>
        <w:rPr>
          <w:rFonts w:ascii="Arial Narrow" w:hAnsi="Arial Narrow" w:cs="Times New Roman"/>
          <w:sz w:val="24"/>
          <w:szCs w:val="24"/>
        </w:rPr>
        <w:t xml:space="preserve">Το 2025 ξεκίνησε η κατασκευή τυο μεγαλύτερυ παγκσμίως έργου συνδυασμού </w:t>
      </w:r>
      <w:r w:rsidR="006D76B1">
        <w:rPr>
          <w:rFonts w:ascii="Arial Narrow" w:hAnsi="Arial Narrow" w:cs="Times New Roman"/>
          <w:sz w:val="24"/>
          <w:szCs w:val="24"/>
        </w:rPr>
        <w:t xml:space="preserve">φωτοβολταϊκών και αποθήκευσης ενέργειας. Κύρια χαρακτηριστικά του νέου αυτού έργου είναι τα 5,2 </w:t>
      </w:r>
      <w:r w:rsidR="006D76B1">
        <w:rPr>
          <w:rFonts w:ascii="Arial Narrow" w:hAnsi="Arial Narrow" w:cs="Times New Roman"/>
          <w:sz w:val="24"/>
          <w:szCs w:val="24"/>
          <w:lang w:val="en-US"/>
        </w:rPr>
        <w:t>GW</w:t>
      </w:r>
      <w:r w:rsidR="006D76B1" w:rsidRPr="006D76B1">
        <w:rPr>
          <w:rFonts w:ascii="Arial Narrow" w:hAnsi="Arial Narrow" w:cs="Times New Roman"/>
          <w:sz w:val="24"/>
          <w:szCs w:val="24"/>
        </w:rPr>
        <w:t xml:space="preserve"> </w:t>
      </w:r>
      <w:r w:rsidR="006D76B1">
        <w:rPr>
          <w:rFonts w:ascii="Arial Narrow" w:hAnsi="Arial Narrow" w:cs="Times New Roman"/>
          <w:sz w:val="24"/>
          <w:szCs w:val="24"/>
        </w:rPr>
        <w:t xml:space="preserve">φωτοβολταϊκά, 19 </w:t>
      </w:r>
      <w:r w:rsidR="006D76B1">
        <w:rPr>
          <w:rFonts w:ascii="Arial Narrow" w:hAnsi="Arial Narrow" w:cs="Times New Roman"/>
          <w:sz w:val="24"/>
          <w:szCs w:val="24"/>
          <w:lang w:val="en-US"/>
        </w:rPr>
        <w:t>GWh</w:t>
      </w:r>
      <w:r w:rsidR="006D76B1" w:rsidRPr="006D76B1">
        <w:rPr>
          <w:rFonts w:ascii="Arial Narrow" w:hAnsi="Arial Narrow" w:cs="Times New Roman"/>
          <w:sz w:val="24"/>
          <w:szCs w:val="24"/>
        </w:rPr>
        <w:t xml:space="preserve"> </w:t>
      </w:r>
      <w:r w:rsidR="006D76B1">
        <w:rPr>
          <w:rFonts w:ascii="Arial Narrow" w:hAnsi="Arial Narrow" w:cs="Times New Roman"/>
          <w:sz w:val="24"/>
          <w:szCs w:val="24"/>
        </w:rPr>
        <w:t xml:space="preserve">αποθήκευση με μπαταρίες, 1 </w:t>
      </w:r>
      <w:r w:rsidR="006D76B1">
        <w:rPr>
          <w:rFonts w:ascii="Arial Narrow" w:hAnsi="Arial Narrow" w:cs="Times New Roman"/>
          <w:sz w:val="24"/>
          <w:szCs w:val="24"/>
          <w:lang w:val="en-US"/>
        </w:rPr>
        <w:t>GW</w:t>
      </w:r>
      <w:r w:rsidR="006D76B1" w:rsidRPr="006D76B1">
        <w:rPr>
          <w:rFonts w:ascii="Arial Narrow" w:hAnsi="Arial Narrow" w:cs="Times New Roman"/>
          <w:sz w:val="24"/>
          <w:szCs w:val="24"/>
        </w:rPr>
        <w:t xml:space="preserve"> </w:t>
      </w:r>
      <w:r w:rsidR="00C126E4">
        <w:rPr>
          <w:rFonts w:ascii="Arial Narrow" w:hAnsi="Arial Narrow" w:cs="Times New Roman"/>
          <w:sz w:val="24"/>
          <w:szCs w:val="24"/>
        </w:rPr>
        <w:t xml:space="preserve">συνεχούς παροχής ηλεκτρισμού 24 ώρες το 24ωρο, επένδυση συνολικού ύψους περίπου 22 δις </w:t>
      </w:r>
      <w:r w:rsidR="00C126E4">
        <w:rPr>
          <w:rFonts w:ascii="Arial Narrow" w:hAnsi="Arial Narrow" w:cs="Times New Roman"/>
          <w:sz w:val="24"/>
          <w:szCs w:val="24"/>
          <w:lang w:val="en-US"/>
        </w:rPr>
        <w:t>AED</w:t>
      </w:r>
      <w:r w:rsidR="00C126E4" w:rsidRPr="00C126E4">
        <w:rPr>
          <w:rFonts w:ascii="Arial Narrow" w:hAnsi="Arial Narrow" w:cs="Times New Roman"/>
          <w:sz w:val="24"/>
          <w:szCs w:val="24"/>
        </w:rPr>
        <w:t xml:space="preserve"> (</w:t>
      </w:r>
      <w:r w:rsidR="00834D6A">
        <w:rPr>
          <w:rFonts w:ascii="Arial Narrow" w:hAnsi="Arial Narrow" w:cs="Times New Roman"/>
          <w:sz w:val="24"/>
          <w:szCs w:val="24"/>
        </w:rPr>
        <w:t xml:space="preserve">Ντίρχαμ) και έναρξη λειτουργίας του έργου εντός του 2027. Το έργο θεωρείται παγκόσμιο ορόσημο στην επίτευξη συνεχούς ηλεκτροπαραγωγής από ανανεώσιμες πηγές. </w:t>
      </w:r>
    </w:p>
    <w:p w14:paraId="001EE32C" w14:textId="2E15D513" w:rsidR="00834D6A" w:rsidRPr="006E6CDB" w:rsidRDefault="001E32A3" w:rsidP="001E32A3">
      <w:pPr>
        <w:spacing w:after="120"/>
        <w:jc w:val="center"/>
        <w:rPr>
          <w:rFonts w:ascii="Arial Narrow" w:hAnsi="Arial Narrow" w:cs="Times New Roman"/>
          <w:b/>
          <w:color w:val="548DD4" w:themeColor="text2" w:themeTint="99"/>
          <w:sz w:val="28"/>
          <w:szCs w:val="28"/>
        </w:rPr>
      </w:pPr>
      <w:r>
        <w:rPr>
          <w:rFonts w:ascii="Arial Narrow" w:hAnsi="Arial Narrow" w:cs="Times New Roman"/>
          <w:b/>
          <w:color w:val="548DD4" w:themeColor="text2" w:themeTint="99"/>
          <w:sz w:val="28"/>
          <w:szCs w:val="28"/>
        </w:rPr>
        <w:t xml:space="preserve">13. </w:t>
      </w:r>
      <w:r w:rsidR="004556D9" w:rsidRPr="006E6CDB">
        <w:rPr>
          <w:rFonts w:ascii="Arial Narrow" w:hAnsi="Arial Narrow" w:cs="Times New Roman"/>
          <w:b/>
          <w:color w:val="548DD4" w:themeColor="text2" w:themeTint="99"/>
          <w:sz w:val="28"/>
          <w:szCs w:val="28"/>
        </w:rPr>
        <w:t>ΠΡΑΣΙΝΟ ΥΔΡΟΓΟΝΟ</w:t>
      </w:r>
    </w:p>
    <w:p w14:paraId="32DC3583" w14:textId="0529ADE8" w:rsidR="004556D9" w:rsidRDefault="004556D9" w:rsidP="00DA1BCA">
      <w:pPr>
        <w:spacing w:after="120"/>
        <w:jc w:val="both"/>
        <w:rPr>
          <w:rFonts w:ascii="Arial Narrow" w:hAnsi="Arial Narrow" w:cs="Times New Roman"/>
          <w:sz w:val="24"/>
          <w:szCs w:val="24"/>
        </w:rPr>
      </w:pPr>
      <w:r>
        <w:rPr>
          <w:rFonts w:ascii="Arial Narrow" w:hAnsi="Arial Narrow" w:cs="Times New Roman"/>
          <w:sz w:val="24"/>
          <w:szCs w:val="24"/>
        </w:rPr>
        <w:t xml:space="preserve">Τα ΗΑΕ επιδιώκουν να καταστούν ένας από τους μεγαλύτερους παραγωγούς πράσινου υδρογόνου διεθνώς. Η παραγωγή πράσινου υδρογόνου επιτυγχάνεται μέσω της ηλιακής ενέργειας, ενώ αναμένεται να αποτελέσει βασικό εξαγωγικό προϊόν μετά το πετρέλαιο και το φ/α. Οι εξαγωγές πράσινου υδρογόνου κατευθύνονται προς την Ευρώπη, Ιαπωνία, Νότια Κορέα και Ινδία. </w:t>
      </w:r>
    </w:p>
    <w:p w14:paraId="2B01509C" w14:textId="0C8088A5" w:rsidR="004556D9" w:rsidRPr="006E6CDB" w:rsidRDefault="001E32A3" w:rsidP="001E32A3">
      <w:pPr>
        <w:spacing w:after="120"/>
        <w:jc w:val="center"/>
        <w:rPr>
          <w:rFonts w:ascii="Arial Narrow" w:hAnsi="Arial Narrow" w:cs="Times New Roman"/>
          <w:b/>
          <w:color w:val="548DD4" w:themeColor="text2" w:themeTint="99"/>
          <w:sz w:val="28"/>
          <w:szCs w:val="28"/>
        </w:rPr>
      </w:pPr>
      <w:r>
        <w:rPr>
          <w:rFonts w:ascii="Arial Narrow" w:hAnsi="Arial Narrow" w:cs="Times New Roman"/>
          <w:b/>
          <w:color w:val="548DD4" w:themeColor="text2" w:themeTint="99"/>
          <w:sz w:val="28"/>
          <w:szCs w:val="28"/>
        </w:rPr>
        <w:t xml:space="preserve">14. </w:t>
      </w:r>
      <w:r w:rsidR="004556D9" w:rsidRPr="006E6CDB">
        <w:rPr>
          <w:rFonts w:ascii="Arial Narrow" w:hAnsi="Arial Narrow" w:cs="Times New Roman"/>
          <w:b/>
          <w:color w:val="548DD4" w:themeColor="text2" w:themeTint="99"/>
          <w:sz w:val="28"/>
          <w:szCs w:val="28"/>
        </w:rPr>
        <w:t>Ο ΡΟ</w:t>
      </w:r>
      <w:r w:rsidR="00DE530D" w:rsidRPr="006E6CDB">
        <w:rPr>
          <w:rFonts w:ascii="Arial Narrow" w:hAnsi="Arial Narrow" w:cs="Times New Roman"/>
          <w:b/>
          <w:color w:val="548DD4" w:themeColor="text2" w:themeTint="99"/>
          <w:sz w:val="28"/>
          <w:szCs w:val="28"/>
        </w:rPr>
        <w:t>ΛΟΣ</w:t>
      </w:r>
      <w:r w:rsidR="002123C3" w:rsidRPr="006E6CDB">
        <w:rPr>
          <w:rFonts w:ascii="Arial Narrow" w:hAnsi="Arial Narrow" w:cs="Times New Roman"/>
          <w:b/>
          <w:color w:val="548DD4" w:themeColor="text2" w:themeTint="99"/>
          <w:sz w:val="28"/>
          <w:szCs w:val="28"/>
        </w:rPr>
        <w:t xml:space="preserve"> </w:t>
      </w:r>
      <w:r w:rsidR="004556D9" w:rsidRPr="006E6CDB">
        <w:rPr>
          <w:rFonts w:ascii="Arial Narrow" w:hAnsi="Arial Narrow" w:cs="Times New Roman"/>
          <w:b/>
          <w:color w:val="548DD4" w:themeColor="text2" w:themeTint="99"/>
          <w:sz w:val="28"/>
          <w:szCs w:val="28"/>
        </w:rPr>
        <w:t xml:space="preserve">ΤΗΣ </w:t>
      </w:r>
      <w:r w:rsidR="004556D9" w:rsidRPr="006E6CDB">
        <w:rPr>
          <w:rFonts w:ascii="Arial Narrow" w:hAnsi="Arial Narrow" w:cs="Times New Roman"/>
          <w:b/>
          <w:color w:val="548DD4" w:themeColor="text2" w:themeTint="99"/>
          <w:sz w:val="28"/>
          <w:szCs w:val="28"/>
          <w:lang w:val="en-US"/>
        </w:rPr>
        <w:t>MASDAR</w:t>
      </w:r>
    </w:p>
    <w:p w14:paraId="33A860FC" w14:textId="62A09F04" w:rsidR="004556D9" w:rsidRDefault="004556D9" w:rsidP="00DA1BCA">
      <w:pPr>
        <w:spacing w:after="120"/>
        <w:jc w:val="both"/>
        <w:rPr>
          <w:rFonts w:ascii="Arial Narrow" w:hAnsi="Arial Narrow" w:cs="Times New Roman"/>
          <w:sz w:val="24"/>
          <w:szCs w:val="24"/>
        </w:rPr>
      </w:pPr>
      <w:r>
        <w:rPr>
          <w:rFonts w:ascii="Arial Narrow" w:hAnsi="Arial Narrow" w:cs="Times New Roman"/>
          <w:sz w:val="24"/>
          <w:szCs w:val="24"/>
        </w:rPr>
        <w:t xml:space="preserve">Κεντρικός πυλώνας της στρατηγικής ΑΠΕ είναι η </w:t>
      </w:r>
      <w:r>
        <w:rPr>
          <w:rFonts w:ascii="Arial Narrow" w:hAnsi="Arial Narrow" w:cs="Times New Roman"/>
          <w:sz w:val="24"/>
          <w:szCs w:val="24"/>
          <w:lang w:val="en-US"/>
        </w:rPr>
        <w:t>Masdar</w:t>
      </w:r>
      <w:r w:rsidRPr="004556D9">
        <w:rPr>
          <w:rFonts w:ascii="Arial Narrow" w:hAnsi="Arial Narrow" w:cs="Times New Roman"/>
          <w:sz w:val="24"/>
          <w:szCs w:val="24"/>
        </w:rPr>
        <w:t xml:space="preserve">, </w:t>
      </w:r>
      <w:r>
        <w:rPr>
          <w:rFonts w:ascii="Arial Narrow" w:hAnsi="Arial Narrow" w:cs="Times New Roman"/>
          <w:sz w:val="24"/>
          <w:szCs w:val="24"/>
        </w:rPr>
        <w:t>η οποία αποτελεί τη ναυαρχίδα των ΗΑΕ στο τομέα της καθαρής ενέργειας</w:t>
      </w:r>
      <w:r w:rsidR="002123C3">
        <w:rPr>
          <w:rFonts w:ascii="Arial Narrow" w:hAnsi="Arial Narrow" w:cs="Times New Roman"/>
          <w:sz w:val="24"/>
          <w:szCs w:val="24"/>
        </w:rPr>
        <w:t xml:space="preserve">. Η εν λόγω εταιρεία έχει δραστηριότητα σε περισσότερες από 40 χώρες, με εγκατεστημένη και υπό ανάπτυξη δυναμικότητα 65 </w:t>
      </w:r>
      <w:r w:rsidR="002123C3">
        <w:rPr>
          <w:rFonts w:ascii="Arial Narrow" w:hAnsi="Arial Narrow" w:cs="Times New Roman"/>
          <w:sz w:val="24"/>
          <w:szCs w:val="24"/>
          <w:lang w:val="en-US"/>
        </w:rPr>
        <w:t>GW</w:t>
      </w:r>
      <w:r w:rsidR="002123C3">
        <w:rPr>
          <w:rFonts w:ascii="Arial Narrow" w:hAnsi="Arial Narrow" w:cs="Times New Roman"/>
          <w:sz w:val="24"/>
          <w:szCs w:val="24"/>
        </w:rPr>
        <w:t xml:space="preserve"> και επενδύσεις άνω των 45 δις $</w:t>
      </w:r>
      <w:r w:rsidR="00E066BD">
        <w:rPr>
          <w:rFonts w:ascii="Arial Narrow" w:hAnsi="Arial Narrow" w:cs="Times New Roman"/>
          <w:sz w:val="24"/>
          <w:szCs w:val="24"/>
        </w:rPr>
        <w:t xml:space="preserve"> και στόχο παραγωγής 100 </w:t>
      </w:r>
      <w:r w:rsidR="00E066BD">
        <w:rPr>
          <w:rFonts w:ascii="Arial Narrow" w:hAnsi="Arial Narrow" w:cs="Times New Roman"/>
          <w:sz w:val="24"/>
          <w:szCs w:val="24"/>
          <w:lang w:val="en-US"/>
        </w:rPr>
        <w:t>GW</w:t>
      </w:r>
      <w:r w:rsidR="00E066BD">
        <w:rPr>
          <w:rFonts w:ascii="Arial Narrow" w:hAnsi="Arial Narrow" w:cs="Times New Roman"/>
          <w:sz w:val="24"/>
          <w:szCs w:val="24"/>
        </w:rPr>
        <w:t xml:space="preserve"> έως το έτος 2030. Οι επενδύσεις που πραγματοποιεί η εταιρεία κατευθύνονται προς την ηλιακή ενέργεια, τα αιολικά πάρκα, το πράσινο υδρογόνο, τα συστήματα αποθήκευσης και τα υπεράκτια αιολικά έργα. </w:t>
      </w:r>
    </w:p>
    <w:p w14:paraId="47014C19" w14:textId="7103EA93" w:rsidR="00E066BD" w:rsidRPr="006E6CDB" w:rsidRDefault="001E32A3" w:rsidP="001E32A3">
      <w:pPr>
        <w:spacing w:after="120"/>
        <w:jc w:val="center"/>
        <w:rPr>
          <w:rFonts w:ascii="Arial Narrow" w:hAnsi="Arial Narrow" w:cs="Times New Roman"/>
          <w:b/>
          <w:color w:val="548DD4" w:themeColor="text2" w:themeTint="99"/>
          <w:sz w:val="28"/>
          <w:szCs w:val="28"/>
        </w:rPr>
      </w:pPr>
      <w:r>
        <w:rPr>
          <w:rFonts w:ascii="Arial Narrow" w:hAnsi="Arial Narrow" w:cs="Times New Roman"/>
          <w:b/>
          <w:color w:val="548DD4" w:themeColor="text2" w:themeTint="99"/>
          <w:sz w:val="28"/>
          <w:szCs w:val="28"/>
        </w:rPr>
        <w:t xml:space="preserve">15. </w:t>
      </w:r>
      <w:r w:rsidR="00E066BD" w:rsidRPr="006E6CDB">
        <w:rPr>
          <w:rFonts w:ascii="Arial Narrow" w:hAnsi="Arial Narrow" w:cs="Times New Roman"/>
          <w:b/>
          <w:color w:val="548DD4" w:themeColor="text2" w:themeTint="99"/>
          <w:sz w:val="28"/>
          <w:szCs w:val="28"/>
        </w:rPr>
        <w:t>ΟΙΚΟΝΟΜΙΚΕΣ ΕΠΙΠΤΩΣΕΙΣ</w:t>
      </w:r>
    </w:p>
    <w:p w14:paraId="756D541A" w14:textId="48461E70" w:rsidR="008F0290" w:rsidRDefault="00E36B38" w:rsidP="00DA1BCA">
      <w:pPr>
        <w:spacing w:after="120"/>
        <w:jc w:val="both"/>
        <w:rPr>
          <w:rFonts w:ascii="Arial Narrow" w:hAnsi="Arial Narrow" w:cs="Times New Roman"/>
          <w:sz w:val="24"/>
          <w:szCs w:val="24"/>
        </w:rPr>
      </w:pPr>
      <w:r>
        <w:rPr>
          <w:rFonts w:ascii="Arial Narrow" w:hAnsi="Arial Narrow" w:cs="Times New Roman"/>
          <w:sz w:val="24"/>
          <w:szCs w:val="24"/>
        </w:rPr>
        <w:t>Η ανάπτυξη των ΑΠΕ δημιουργεί νέες επενδύσεις με δεκάδες δις $</w:t>
      </w:r>
      <w:r w:rsidR="008F0290">
        <w:rPr>
          <w:rFonts w:ascii="Arial Narrow" w:hAnsi="Arial Narrow" w:cs="Times New Roman"/>
          <w:sz w:val="24"/>
          <w:szCs w:val="24"/>
        </w:rPr>
        <w:t xml:space="preserve"> σε ενεργειακά έργα και την προσέλκυση ξένων κεφαλαίων, ενώ συγχρόνως προσφέρει νέες θέσεις εργασίας με στόχο τη διάθεση 50.000 πράσινων θέσεων εργασίας έως το 2030. Παράλληλα συμβάλλει στην βιομηχανική διαφοροποίηση και την ανάπτυξη νέων κλάδων, όπως η κατασκευή εξοπλισμού ΑΠΕ, οι τεχνολογίες αποθήκευσης, το υδρογόνο και η έρευνα και ανάπτυξη. Άλλος σημαντικός παράγων είναι και η ενεργειακή ασφάλεια</w:t>
      </w:r>
      <w:r w:rsidR="00DA69ED">
        <w:rPr>
          <w:rFonts w:ascii="Arial Narrow" w:hAnsi="Arial Narrow" w:cs="Times New Roman"/>
          <w:sz w:val="24"/>
          <w:szCs w:val="24"/>
        </w:rPr>
        <w:t>, μέσω της μείωσης της εξάρτησης από το πετρέλαιο και το φ/α και την ενίσχυση της σταθερότητας του ενεργειακού συστήματος.</w:t>
      </w:r>
    </w:p>
    <w:p w14:paraId="450A836E" w14:textId="48CD990C" w:rsidR="00DA69ED" w:rsidRPr="006E6CDB" w:rsidRDefault="001E32A3" w:rsidP="001E32A3">
      <w:pPr>
        <w:spacing w:after="120"/>
        <w:jc w:val="center"/>
        <w:rPr>
          <w:rFonts w:ascii="Arial Narrow" w:hAnsi="Arial Narrow" w:cs="Times New Roman"/>
          <w:b/>
          <w:color w:val="548DD4" w:themeColor="text2" w:themeTint="99"/>
          <w:sz w:val="28"/>
          <w:szCs w:val="28"/>
        </w:rPr>
      </w:pPr>
      <w:r>
        <w:rPr>
          <w:rFonts w:ascii="Arial Narrow" w:hAnsi="Arial Narrow" w:cs="Times New Roman"/>
          <w:b/>
          <w:color w:val="548DD4" w:themeColor="text2" w:themeTint="99"/>
          <w:sz w:val="28"/>
          <w:szCs w:val="28"/>
        </w:rPr>
        <w:t xml:space="preserve">16. </w:t>
      </w:r>
      <w:r w:rsidR="00DA69ED" w:rsidRPr="006E6CDB">
        <w:rPr>
          <w:rFonts w:ascii="Arial Narrow" w:hAnsi="Arial Narrow" w:cs="Times New Roman"/>
          <w:b/>
          <w:color w:val="548DD4" w:themeColor="text2" w:themeTint="99"/>
          <w:sz w:val="28"/>
          <w:szCs w:val="28"/>
        </w:rPr>
        <w:t>ΠΡΟΚΛΗΣΕΙΣ</w:t>
      </w:r>
    </w:p>
    <w:p w14:paraId="289C82CF" w14:textId="07C30081" w:rsidR="00DA69ED" w:rsidRDefault="00DA69ED" w:rsidP="00DA1BCA">
      <w:pPr>
        <w:spacing w:after="120"/>
        <w:jc w:val="both"/>
        <w:rPr>
          <w:rFonts w:ascii="Arial Narrow" w:hAnsi="Arial Narrow" w:cs="Times New Roman"/>
          <w:sz w:val="24"/>
          <w:szCs w:val="24"/>
        </w:rPr>
      </w:pPr>
      <w:r>
        <w:rPr>
          <w:rFonts w:ascii="Arial Narrow" w:hAnsi="Arial Narrow" w:cs="Times New Roman"/>
          <w:sz w:val="24"/>
          <w:szCs w:val="24"/>
        </w:rPr>
        <w:t>Παρά την διαφαινόμενη πρόοδο, τα ΗΑΕ αντιμετωπίζουν τεχνικές, οικονομικές και δομικές προκλήσεις. Πιο αναλυτικά στις τεχνικές προκλήσεις περιλαμβάνονται οι υψηλές θερμοκρασίες που μειώνουν την απόδοση των φωτοβολταϊκών, η σκόνη και η άμμος που αυξάνουν το κόστος συντήρησης. Στις οικονομικές προκλήσεις περιλαμβάνονται οι υψηλές επενδύσεις σε δίκτυα και αποθήκευση. Τέλος στις δομικές προκλήσεις περιλαμβάνεται η συνεχιζόμενη εξάρτηση της οικονομίας από τα έσοδα των υδρογονανθράκων</w:t>
      </w:r>
    </w:p>
    <w:p w14:paraId="5EF70245" w14:textId="7B77DD29" w:rsidR="00DA69ED" w:rsidRPr="006E6CDB" w:rsidRDefault="00DA69ED" w:rsidP="001E32A3">
      <w:pPr>
        <w:spacing w:after="120"/>
        <w:jc w:val="center"/>
        <w:rPr>
          <w:rFonts w:ascii="Arial Narrow" w:hAnsi="Arial Narrow" w:cs="Times New Roman"/>
          <w:b/>
          <w:color w:val="548DD4" w:themeColor="text2" w:themeTint="99"/>
          <w:sz w:val="28"/>
          <w:szCs w:val="28"/>
        </w:rPr>
      </w:pPr>
      <w:r w:rsidRPr="006E6CDB">
        <w:rPr>
          <w:rFonts w:ascii="Arial Narrow" w:hAnsi="Arial Narrow" w:cs="Times New Roman"/>
          <w:b/>
          <w:color w:val="548DD4" w:themeColor="text2" w:themeTint="99"/>
          <w:sz w:val="28"/>
          <w:szCs w:val="28"/>
        </w:rPr>
        <w:t>1</w:t>
      </w:r>
      <w:r w:rsidR="001E32A3">
        <w:rPr>
          <w:rFonts w:ascii="Arial Narrow" w:hAnsi="Arial Narrow" w:cs="Times New Roman"/>
          <w:b/>
          <w:color w:val="548DD4" w:themeColor="text2" w:themeTint="99"/>
          <w:sz w:val="28"/>
          <w:szCs w:val="28"/>
        </w:rPr>
        <w:t xml:space="preserve">7. </w:t>
      </w:r>
      <w:r w:rsidRPr="006E6CDB">
        <w:rPr>
          <w:rFonts w:ascii="Arial Narrow" w:hAnsi="Arial Narrow" w:cs="Times New Roman"/>
          <w:b/>
          <w:color w:val="548DD4" w:themeColor="text2" w:themeTint="99"/>
          <w:sz w:val="28"/>
          <w:szCs w:val="28"/>
        </w:rPr>
        <w:t>ΣΥΜΠΕΡΑΣΜΑ</w:t>
      </w:r>
    </w:p>
    <w:p w14:paraId="3D3A9D0E" w14:textId="39B837A3" w:rsidR="00DA69ED" w:rsidRPr="005B7D74" w:rsidRDefault="00DA69ED" w:rsidP="00DA1BCA">
      <w:pPr>
        <w:spacing w:after="120"/>
        <w:jc w:val="both"/>
        <w:rPr>
          <w:rFonts w:ascii="Arial Narrow" w:hAnsi="Arial Narrow" w:cs="Times New Roman"/>
          <w:sz w:val="24"/>
          <w:szCs w:val="24"/>
        </w:rPr>
      </w:pPr>
      <w:r>
        <w:rPr>
          <w:rFonts w:ascii="Arial Narrow" w:hAnsi="Arial Narrow" w:cs="Times New Roman"/>
          <w:sz w:val="24"/>
          <w:szCs w:val="24"/>
        </w:rPr>
        <w:t xml:space="preserve">Τα Ηνωμένα Αραβικά Εμιράτα έχουν εξελιχθεί σε έναν από τους σημαντικότερους παγκόσμιους κόμβους ανανεώσιμων ενεργειών. Η χώρα συνδυάζει την οικονομική ισχύ που προέρχεται από τους υδρογονάνθρακες με μια επιθετική στρατηγική επενδύσεων σε ηλιακή ενέργεια, αιολικά πάρκα, αποθήκευση ενέργειας και πράσινο υδρογόνο. Με στόχο το </w:t>
      </w:r>
      <w:r>
        <w:rPr>
          <w:rFonts w:ascii="Arial Narrow" w:hAnsi="Arial Narrow" w:cs="Times New Roman"/>
          <w:sz w:val="24"/>
          <w:szCs w:val="24"/>
          <w:lang w:val="en-US"/>
        </w:rPr>
        <w:t>Net</w:t>
      </w:r>
      <w:r w:rsidRPr="005B7D74">
        <w:rPr>
          <w:rFonts w:ascii="Arial Narrow" w:hAnsi="Arial Narrow" w:cs="Times New Roman"/>
          <w:sz w:val="24"/>
          <w:szCs w:val="24"/>
        </w:rPr>
        <w:t xml:space="preserve"> </w:t>
      </w:r>
      <w:r>
        <w:rPr>
          <w:rFonts w:ascii="Arial Narrow" w:hAnsi="Arial Narrow" w:cs="Times New Roman"/>
          <w:sz w:val="24"/>
          <w:szCs w:val="24"/>
          <w:lang w:val="en-US"/>
        </w:rPr>
        <w:t>Zero</w:t>
      </w:r>
      <w:r w:rsidRPr="005B7D74">
        <w:rPr>
          <w:rFonts w:ascii="Arial Narrow" w:hAnsi="Arial Narrow" w:cs="Times New Roman"/>
          <w:sz w:val="24"/>
          <w:szCs w:val="24"/>
        </w:rPr>
        <w:t xml:space="preserve"> 2050, </w:t>
      </w:r>
      <w:r w:rsidR="005B7D74">
        <w:rPr>
          <w:rFonts w:ascii="Arial Narrow" w:hAnsi="Arial Narrow" w:cs="Times New Roman"/>
          <w:sz w:val="24"/>
          <w:szCs w:val="24"/>
        </w:rPr>
        <w:t xml:space="preserve">επενδύσεις εκατοντάδων δις </w:t>
      </w:r>
      <w:r w:rsidR="005B7D74">
        <w:rPr>
          <w:rFonts w:ascii="Arial Narrow" w:hAnsi="Arial Narrow" w:cs="Times New Roman"/>
          <w:sz w:val="24"/>
          <w:szCs w:val="24"/>
          <w:lang w:val="en-US"/>
        </w:rPr>
        <w:t>AED</w:t>
      </w:r>
      <w:r w:rsidR="005B7D74" w:rsidRPr="005B7D74">
        <w:rPr>
          <w:rFonts w:ascii="Arial Narrow" w:hAnsi="Arial Narrow" w:cs="Times New Roman"/>
          <w:sz w:val="24"/>
          <w:szCs w:val="24"/>
        </w:rPr>
        <w:t xml:space="preserve"> (</w:t>
      </w:r>
      <w:r w:rsidR="005B7D74">
        <w:rPr>
          <w:rFonts w:ascii="Arial Narrow" w:hAnsi="Arial Narrow" w:cs="Times New Roman"/>
          <w:sz w:val="24"/>
          <w:szCs w:val="24"/>
        </w:rPr>
        <w:t xml:space="preserve">Ντίρχαμ) και την παγκόσμια επέκταση της </w:t>
      </w:r>
      <w:r w:rsidR="005B7D74">
        <w:rPr>
          <w:rFonts w:ascii="Arial Narrow" w:hAnsi="Arial Narrow" w:cs="Times New Roman"/>
          <w:sz w:val="24"/>
          <w:szCs w:val="24"/>
          <w:lang w:val="en-US"/>
        </w:rPr>
        <w:t>Masdar</w:t>
      </w:r>
      <w:r w:rsidR="005B7D74" w:rsidRPr="005B7D74">
        <w:rPr>
          <w:rFonts w:ascii="Arial Narrow" w:hAnsi="Arial Narrow" w:cs="Times New Roman"/>
          <w:sz w:val="24"/>
          <w:szCs w:val="24"/>
        </w:rPr>
        <w:t xml:space="preserve">, </w:t>
      </w:r>
      <w:r w:rsidR="005B7D74">
        <w:rPr>
          <w:rFonts w:ascii="Arial Narrow" w:hAnsi="Arial Narrow" w:cs="Times New Roman"/>
          <w:sz w:val="24"/>
          <w:szCs w:val="24"/>
        </w:rPr>
        <w:t xml:space="preserve">τα ΗΑΕ φιλοδοξούν να αποτελέσουν πρότυπο ενεργειακής μετάβασης για ολόκληρη τη Μέση Ανατολή και έναν από τους κορυφαίους εξαγωγείς καθαρής ενέργειας παγκοσμίως. </w:t>
      </w:r>
    </w:p>
    <w:p w14:paraId="4CB9216D" w14:textId="3BF6031D" w:rsidR="00CE670C" w:rsidRPr="00205BE4" w:rsidRDefault="00CE670C" w:rsidP="00E923A4">
      <w:pPr>
        <w:spacing w:before="120" w:after="120"/>
        <w:jc w:val="both"/>
        <w:rPr>
          <w:rFonts w:ascii="Arial Narrow" w:hAnsi="Arial Narrow" w:cs="Times New Roman"/>
          <w:b/>
          <w:sz w:val="28"/>
          <w:szCs w:val="28"/>
        </w:rPr>
      </w:pPr>
    </w:p>
    <w:p w14:paraId="12D18344" w14:textId="30686FE8" w:rsidR="00EF02D8" w:rsidRPr="00205BE4" w:rsidRDefault="001E32A3" w:rsidP="001E32A3">
      <w:pPr>
        <w:spacing w:before="120" w:after="120"/>
        <w:jc w:val="center"/>
        <w:rPr>
          <w:rFonts w:ascii="Arial Narrow" w:hAnsi="Arial Narrow" w:cs="Times New Roman"/>
          <w:b/>
          <w:color w:val="548DD4" w:themeColor="text2" w:themeTint="99"/>
          <w:sz w:val="28"/>
          <w:szCs w:val="28"/>
        </w:rPr>
      </w:pPr>
      <w:r>
        <w:rPr>
          <w:rFonts w:ascii="Arial Narrow" w:hAnsi="Arial Narrow" w:cs="Times New Roman"/>
          <w:b/>
          <w:color w:val="548DD4" w:themeColor="text2" w:themeTint="99"/>
          <w:sz w:val="28"/>
          <w:szCs w:val="28"/>
        </w:rPr>
        <w:t xml:space="preserve">18. </w:t>
      </w:r>
      <w:r w:rsidR="00EF02D8" w:rsidRPr="00205BE4">
        <w:rPr>
          <w:rFonts w:ascii="Arial Narrow" w:hAnsi="Arial Narrow" w:cs="Times New Roman"/>
          <w:b/>
          <w:color w:val="548DD4" w:themeColor="text2" w:themeTint="99"/>
          <w:sz w:val="28"/>
          <w:szCs w:val="28"/>
        </w:rPr>
        <w:t>Ο ΤΟΜΕΑΣ ΤΟΥ ΠΡΑΣΙΝΟΥ ΥΔΡΟΓΟΝΟΥ ΣΤΑ Η</w:t>
      </w:r>
      <w:r w:rsidR="00205BE4" w:rsidRPr="00205BE4">
        <w:rPr>
          <w:rFonts w:ascii="Arial Narrow" w:hAnsi="Arial Narrow" w:cs="Times New Roman"/>
          <w:b/>
          <w:color w:val="548DD4" w:themeColor="text2" w:themeTint="99"/>
          <w:sz w:val="28"/>
          <w:szCs w:val="28"/>
        </w:rPr>
        <w:t>ΝΩΜΕΝΑ ΑΡΑΒΙΚΑ ΕΜΙΡΑΤΑ</w:t>
      </w:r>
    </w:p>
    <w:p w14:paraId="66A5B63D" w14:textId="3117E42E" w:rsidR="00EF02D8" w:rsidRPr="006E6CDB" w:rsidRDefault="00EF02D8" w:rsidP="00E923A4">
      <w:pPr>
        <w:spacing w:before="120" w:after="120"/>
        <w:jc w:val="both"/>
        <w:rPr>
          <w:rFonts w:ascii="Arial Narrow" w:hAnsi="Arial Narrow" w:cs="Times New Roman"/>
          <w:b/>
          <w:color w:val="548DD4" w:themeColor="text2" w:themeTint="99"/>
          <w:sz w:val="24"/>
          <w:szCs w:val="24"/>
        </w:rPr>
      </w:pPr>
      <w:r w:rsidRPr="006E6CDB">
        <w:rPr>
          <w:rFonts w:ascii="Arial Narrow" w:hAnsi="Arial Narrow" w:cs="Times New Roman"/>
          <w:b/>
          <w:color w:val="548DD4" w:themeColor="text2" w:themeTint="99"/>
          <w:sz w:val="24"/>
          <w:szCs w:val="24"/>
        </w:rPr>
        <w:t>1</w:t>
      </w:r>
      <w:r w:rsidR="001E32A3">
        <w:rPr>
          <w:rFonts w:ascii="Arial Narrow" w:hAnsi="Arial Narrow" w:cs="Times New Roman"/>
          <w:b/>
          <w:color w:val="548DD4" w:themeColor="text2" w:themeTint="99"/>
          <w:sz w:val="24"/>
          <w:szCs w:val="24"/>
        </w:rPr>
        <w:t xml:space="preserve">8.1. </w:t>
      </w:r>
      <w:r w:rsidRPr="006E6CDB">
        <w:rPr>
          <w:rFonts w:ascii="Arial Narrow" w:hAnsi="Arial Narrow" w:cs="Times New Roman"/>
          <w:b/>
          <w:color w:val="548DD4" w:themeColor="text2" w:themeTint="99"/>
          <w:sz w:val="24"/>
          <w:szCs w:val="24"/>
        </w:rPr>
        <w:t>Εισαγωγή</w:t>
      </w:r>
    </w:p>
    <w:p w14:paraId="5FED6B3B" w14:textId="77777777" w:rsidR="00EF02D8" w:rsidRDefault="00EF02D8" w:rsidP="00E923A4">
      <w:pPr>
        <w:spacing w:before="120" w:after="120"/>
        <w:jc w:val="both"/>
        <w:rPr>
          <w:rFonts w:ascii="Arial Narrow" w:hAnsi="Arial Narrow" w:cs="Times New Roman"/>
          <w:sz w:val="24"/>
          <w:szCs w:val="24"/>
        </w:rPr>
      </w:pPr>
      <w:r>
        <w:rPr>
          <w:rFonts w:ascii="Arial Narrow" w:hAnsi="Arial Narrow" w:cs="Times New Roman"/>
          <w:sz w:val="24"/>
          <w:szCs w:val="24"/>
        </w:rPr>
        <w:t>Το πράσινο υδρογόνο (</w:t>
      </w:r>
      <w:r>
        <w:rPr>
          <w:rFonts w:ascii="Arial Narrow" w:hAnsi="Arial Narrow" w:cs="Times New Roman"/>
          <w:sz w:val="24"/>
          <w:szCs w:val="24"/>
          <w:lang w:val="en-US"/>
        </w:rPr>
        <w:t>Green</w:t>
      </w:r>
      <w:r w:rsidRPr="00EF02D8">
        <w:rPr>
          <w:rFonts w:ascii="Arial Narrow" w:hAnsi="Arial Narrow" w:cs="Times New Roman"/>
          <w:sz w:val="24"/>
          <w:szCs w:val="24"/>
        </w:rPr>
        <w:t xml:space="preserve"> </w:t>
      </w:r>
      <w:r>
        <w:rPr>
          <w:rFonts w:ascii="Arial Narrow" w:hAnsi="Arial Narrow" w:cs="Times New Roman"/>
          <w:sz w:val="24"/>
          <w:szCs w:val="24"/>
          <w:lang w:val="en-US"/>
        </w:rPr>
        <w:t>Hydrogen</w:t>
      </w:r>
      <w:r w:rsidRPr="00EF02D8">
        <w:rPr>
          <w:rFonts w:ascii="Arial Narrow" w:hAnsi="Arial Narrow" w:cs="Times New Roman"/>
          <w:sz w:val="24"/>
          <w:szCs w:val="24"/>
        </w:rPr>
        <w:t xml:space="preserve">) </w:t>
      </w:r>
      <w:r>
        <w:rPr>
          <w:rFonts w:ascii="Arial Narrow" w:hAnsi="Arial Narrow" w:cs="Times New Roman"/>
          <w:sz w:val="24"/>
          <w:szCs w:val="24"/>
        </w:rPr>
        <w:t>αποτελεί έναν από τους σημαντικότερους πυλώνες της ενεργειακής μετάβασης των Ηνωμένων Αραβικων Εμιράτων προς μία οικονομία χαμηλών εκπομπών άνθρακα. Η χώρα επιδιώκει να αξιοποιήσει τα συγκριτικά της πλεονεκτήματα, άφθονη ηλιακή ενέργεια, ισχυρές υποδομές ενέργειας και στρατηγική γεωγραφική θέση, προκειμένου καταστεί παγκόσμιος κόμβος παραγωγής, κατανάλωσης και εξαγωγής υδρογόνου.</w:t>
      </w:r>
    </w:p>
    <w:p w14:paraId="010841A7" w14:textId="00D64EAF" w:rsidR="00EF02D8" w:rsidRPr="006E6CDB" w:rsidRDefault="001E32A3" w:rsidP="00E923A4">
      <w:pPr>
        <w:spacing w:before="120" w:after="120"/>
        <w:jc w:val="both"/>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18.1.2. </w:t>
      </w:r>
      <w:r w:rsidR="00EF02D8" w:rsidRPr="006E6CDB">
        <w:rPr>
          <w:rFonts w:ascii="Arial Narrow" w:hAnsi="Arial Narrow" w:cs="Times New Roman"/>
          <w:b/>
          <w:color w:val="548DD4" w:themeColor="text2" w:themeTint="99"/>
          <w:sz w:val="24"/>
          <w:szCs w:val="24"/>
        </w:rPr>
        <w:t xml:space="preserve">Τι είναι το πράσινο υδρογόνο </w:t>
      </w:r>
    </w:p>
    <w:p w14:paraId="327F0976" w14:textId="77777777" w:rsidR="008C3EC4" w:rsidRDefault="00EF02D8"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Το υδρογόνο παράγεται μέσω διαφορετικών τεχνολογιών: το γκρί υδρογόνο παράγεται μέσω φ/α με υψηλές εκπομπές </w:t>
      </w:r>
      <w:r>
        <w:rPr>
          <w:rFonts w:ascii="Arial Narrow" w:hAnsi="Arial Narrow" w:cs="Times New Roman"/>
          <w:sz w:val="24"/>
          <w:szCs w:val="24"/>
          <w:lang w:val="en-US"/>
        </w:rPr>
        <w:t>CO</w:t>
      </w:r>
      <w:r w:rsidRPr="00EF02D8">
        <w:rPr>
          <w:rFonts w:ascii="Arial Narrow" w:hAnsi="Arial Narrow" w:cs="Times New Roman"/>
          <w:sz w:val="24"/>
          <w:szCs w:val="24"/>
        </w:rPr>
        <w:t>2</w:t>
      </w:r>
      <w:r w:rsidR="00FC3980">
        <w:rPr>
          <w:rFonts w:ascii="Arial Narrow" w:hAnsi="Arial Narrow" w:cs="Times New Roman"/>
          <w:sz w:val="24"/>
          <w:szCs w:val="24"/>
        </w:rPr>
        <w:t xml:space="preserve">, το μπλέ υδρογόνο παράγεται μέσω φ/α + </w:t>
      </w:r>
      <w:r w:rsidR="00FC3980">
        <w:rPr>
          <w:rFonts w:ascii="Arial Narrow" w:hAnsi="Arial Narrow" w:cs="Times New Roman"/>
          <w:sz w:val="24"/>
          <w:szCs w:val="24"/>
          <w:lang w:val="en-US"/>
        </w:rPr>
        <w:t>CCS</w:t>
      </w:r>
      <w:r w:rsidR="00FC3980" w:rsidRPr="00FC3980">
        <w:rPr>
          <w:rFonts w:ascii="Arial Narrow" w:hAnsi="Arial Narrow" w:cs="Times New Roman"/>
          <w:sz w:val="24"/>
          <w:szCs w:val="24"/>
        </w:rPr>
        <w:t xml:space="preserve"> </w:t>
      </w:r>
      <w:r w:rsidR="00FC3980">
        <w:rPr>
          <w:rFonts w:ascii="Arial Narrow" w:hAnsi="Arial Narrow" w:cs="Times New Roman"/>
          <w:sz w:val="24"/>
          <w:szCs w:val="24"/>
        </w:rPr>
        <w:t xml:space="preserve">με χαμηλές εκπομπές </w:t>
      </w:r>
      <w:r w:rsidR="00575A57">
        <w:rPr>
          <w:rFonts w:ascii="Arial Narrow" w:hAnsi="Arial Narrow" w:cs="Times New Roman"/>
          <w:sz w:val="24"/>
          <w:szCs w:val="24"/>
          <w:lang w:val="en-US"/>
        </w:rPr>
        <w:t>CO</w:t>
      </w:r>
      <w:r w:rsidR="00575A57" w:rsidRPr="00575A57">
        <w:rPr>
          <w:rFonts w:ascii="Arial Narrow" w:hAnsi="Arial Narrow" w:cs="Times New Roman"/>
          <w:sz w:val="24"/>
          <w:szCs w:val="24"/>
        </w:rPr>
        <w:t xml:space="preserve">2, </w:t>
      </w:r>
      <w:r w:rsidR="008C3EC4">
        <w:rPr>
          <w:rFonts w:ascii="Arial Narrow" w:hAnsi="Arial Narrow" w:cs="Times New Roman"/>
          <w:sz w:val="24"/>
          <w:szCs w:val="24"/>
        </w:rPr>
        <w:t xml:space="preserve">το πράσινο υδρογόνο παράγεται με ηλεκτρόλυση με ΑΠΕ και με μηδενικές εκπομπές </w:t>
      </w:r>
      <w:r w:rsidR="008C3EC4">
        <w:rPr>
          <w:rFonts w:ascii="Arial Narrow" w:hAnsi="Arial Narrow" w:cs="Times New Roman"/>
          <w:sz w:val="24"/>
          <w:szCs w:val="24"/>
          <w:lang w:val="en-US"/>
        </w:rPr>
        <w:t>CO</w:t>
      </w:r>
      <w:r w:rsidR="008C3EC4" w:rsidRPr="008C3EC4">
        <w:rPr>
          <w:rFonts w:ascii="Arial Narrow" w:hAnsi="Arial Narrow" w:cs="Times New Roman"/>
          <w:sz w:val="24"/>
          <w:szCs w:val="24"/>
        </w:rPr>
        <w:t xml:space="preserve">2 </w:t>
      </w:r>
      <w:r w:rsidR="008C3EC4">
        <w:rPr>
          <w:rFonts w:ascii="Arial Narrow" w:hAnsi="Arial Narrow" w:cs="Times New Roman"/>
          <w:sz w:val="24"/>
          <w:szCs w:val="24"/>
        </w:rPr>
        <w:t xml:space="preserve">και το ροζ υδρογόνο παράγεται μέσω της πυρηνικής ενέργειας με πολύ χαμηλές εκπομπές </w:t>
      </w:r>
      <w:r w:rsidR="008C3EC4">
        <w:rPr>
          <w:rFonts w:ascii="Arial Narrow" w:hAnsi="Arial Narrow" w:cs="Times New Roman"/>
          <w:sz w:val="24"/>
          <w:szCs w:val="24"/>
          <w:lang w:val="en-US"/>
        </w:rPr>
        <w:t>CO</w:t>
      </w:r>
      <w:r w:rsidR="008C3EC4" w:rsidRPr="008C3EC4">
        <w:rPr>
          <w:rFonts w:ascii="Arial Narrow" w:hAnsi="Arial Narrow" w:cs="Times New Roman"/>
          <w:sz w:val="24"/>
          <w:szCs w:val="24"/>
        </w:rPr>
        <w:t xml:space="preserve">2. </w:t>
      </w:r>
      <w:r w:rsidR="008C3EC4">
        <w:rPr>
          <w:rFonts w:ascii="Arial Narrow" w:hAnsi="Arial Narrow" w:cs="Times New Roman"/>
          <w:sz w:val="24"/>
          <w:szCs w:val="24"/>
          <w:lang w:val="en-US"/>
        </w:rPr>
        <w:t>To</w:t>
      </w:r>
      <w:r w:rsidR="008C3EC4" w:rsidRPr="008C3EC4">
        <w:rPr>
          <w:rFonts w:ascii="Arial Narrow" w:hAnsi="Arial Narrow" w:cs="Times New Roman"/>
          <w:sz w:val="24"/>
          <w:szCs w:val="24"/>
        </w:rPr>
        <w:t xml:space="preserve"> </w:t>
      </w:r>
      <w:r w:rsidR="008C3EC4">
        <w:rPr>
          <w:rFonts w:ascii="Arial Narrow" w:hAnsi="Arial Narrow" w:cs="Times New Roman"/>
          <w:sz w:val="24"/>
          <w:szCs w:val="24"/>
        </w:rPr>
        <w:t xml:space="preserve">πράσινο υδρογόνο παράγεται μέσω ηλεκτρόλυσης νερού, χρησιμοποιώντας ηλεκτρική ενέργεια από ανανεώσιμες πηγές ενέργειας όπως φωτοβολταϊκά και αιολικά πάρκα. </w:t>
      </w:r>
    </w:p>
    <w:p w14:paraId="2C907B98" w14:textId="075E623A" w:rsidR="008C3EC4" w:rsidRPr="006E6CDB" w:rsidRDefault="001E32A3" w:rsidP="00E923A4">
      <w:pPr>
        <w:spacing w:before="120" w:after="120"/>
        <w:jc w:val="both"/>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18.1.3. </w:t>
      </w:r>
      <w:r w:rsidR="008C3EC4" w:rsidRPr="006E6CDB">
        <w:rPr>
          <w:rFonts w:ascii="Arial Narrow" w:hAnsi="Arial Narrow" w:cs="Times New Roman"/>
          <w:b/>
          <w:color w:val="548DD4" w:themeColor="text2" w:themeTint="99"/>
          <w:sz w:val="24"/>
          <w:szCs w:val="24"/>
        </w:rPr>
        <w:t>Εθνική Στρατηγική Υδρογόνου των ΗΑΕ</w:t>
      </w:r>
    </w:p>
    <w:p w14:paraId="426FD45A" w14:textId="77777777" w:rsidR="00265697" w:rsidRDefault="00492057" w:rsidP="00E923A4">
      <w:pPr>
        <w:spacing w:before="120" w:after="120"/>
        <w:jc w:val="both"/>
        <w:rPr>
          <w:rFonts w:ascii="Arial Narrow" w:hAnsi="Arial Narrow" w:cs="Times New Roman"/>
          <w:sz w:val="24"/>
          <w:szCs w:val="24"/>
        </w:rPr>
      </w:pPr>
      <w:r>
        <w:rPr>
          <w:rFonts w:ascii="Arial Narrow" w:hAnsi="Arial Narrow" w:cs="Times New Roman"/>
          <w:sz w:val="24"/>
          <w:szCs w:val="24"/>
        </w:rPr>
        <w:t>Το 2023 τα ΗΑΕ υιοθέτησαν τη «</w:t>
      </w:r>
      <w:r>
        <w:rPr>
          <w:rFonts w:ascii="Arial Narrow" w:hAnsi="Arial Narrow" w:cs="Times New Roman"/>
          <w:sz w:val="24"/>
          <w:szCs w:val="24"/>
          <w:lang w:val="en-US"/>
        </w:rPr>
        <w:t>National</w:t>
      </w:r>
      <w:r w:rsidRPr="00492057">
        <w:rPr>
          <w:rFonts w:ascii="Arial Narrow" w:hAnsi="Arial Narrow" w:cs="Times New Roman"/>
          <w:sz w:val="24"/>
          <w:szCs w:val="24"/>
        </w:rPr>
        <w:t xml:space="preserve"> </w:t>
      </w:r>
      <w:r>
        <w:rPr>
          <w:rFonts w:ascii="Arial Narrow" w:hAnsi="Arial Narrow" w:cs="Times New Roman"/>
          <w:sz w:val="24"/>
          <w:szCs w:val="24"/>
          <w:lang w:val="en-US"/>
        </w:rPr>
        <w:t>Hydrogen</w:t>
      </w:r>
      <w:r w:rsidRPr="00492057">
        <w:rPr>
          <w:rFonts w:ascii="Arial Narrow" w:hAnsi="Arial Narrow" w:cs="Times New Roman"/>
          <w:sz w:val="24"/>
          <w:szCs w:val="24"/>
        </w:rPr>
        <w:t xml:space="preserve"> </w:t>
      </w:r>
      <w:r>
        <w:rPr>
          <w:rFonts w:ascii="Arial Narrow" w:hAnsi="Arial Narrow" w:cs="Times New Roman"/>
          <w:sz w:val="24"/>
          <w:szCs w:val="24"/>
          <w:lang w:val="en-US"/>
        </w:rPr>
        <w:t>Strategy</w:t>
      </w:r>
      <w:r w:rsidRPr="00492057">
        <w:rPr>
          <w:rFonts w:ascii="Arial Narrow" w:hAnsi="Arial Narrow" w:cs="Times New Roman"/>
          <w:sz w:val="24"/>
          <w:szCs w:val="24"/>
        </w:rPr>
        <w:t xml:space="preserve"> 2050</w:t>
      </w:r>
      <w:r>
        <w:rPr>
          <w:rFonts w:ascii="Arial Narrow" w:hAnsi="Arial Narrow" w:cs="Times New Roman"/>
          <w:sz w:val="24"/>
          <w:szCs w:val="24"/>
        </w:rPr>
        <w:t>». Βασικοί στόχοι της φιλόδοξης αυτής Εθνικής Στρατηγικής είναι η ένταξη των ΗΑΕ στους 10 μεγαλύτερους παραγωγούς υδρογόνου παγκοσμίως, η παραγωγή έως 15 εκατ. τόνων υδρογόνου ετησίως έως το 2050, η δημιουργία εγχώριας αγοράς καυσίμων μηδενικών εκπομπών, η ανάπτυξη εξαγωγικού κέντρου προς Ευρώπη και Ασία και η προσέλκυση δεκάδων δις $</w:t>
      </w:r>
      <w:r w:rsidR="00265697">
        <w:rPr>
          <w:rFonts w:ascii="Arial Narrow" w:hAnsi="Arial Narrow" w:cs="Times New Roman"/>
          <w:sz w:val="24"/>
          <w:szCs w:val="24"/>
        </w:rPr>
        <w:t xml:space="preserve"> επενδύσεων.</w:t>
      </w:r>
    </w:p>
    <w:p w14:paraId="1C3D4F7B" w14:textId="60C5C85D" w:rsidR="00265697" w:rsidRPr="006E6CDB" w:rsidRDefault="001E32A3" w:rsidP="00E923A4">
      <w:pPr>
        <w:spacing w:before="120" w:after="120"/>
        <w:jc w:val="both"/>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18.1.4. </w:t>
      </w:r>
      <w:r w:rsidR="00265697" w:rsidRPr="006E6CDB">
        <w:rPr>
          <w:rFonts w:ascii="Arial Narrow" w:hAnsi="Arial Narrow" w:cs="Times New Roman"/>
          <w:b/>
          <w:color w:val="548DD4" w:themeColor="text2" w:themeTint="99"/>
          <w:sz w:val="24"/>
          <w:szCs w:val="24"/>
        </w:rPr>
        <w:t xml:space="preserve"> Συγκριτικά Πλεονεκτήματα των ΗΑΕ</w:t>
      </w:r>
    </w:p>
    <w:p w14:paraId="79C5E7FD" w14:textId="77777777" w:rsidR="00A00C93" w:rsidRDefault="00265697" w:rsidP="00E923A4">
      <w:pPr>
        <w:spacing w:before="120" w:after="120"/>
        <w:jc w:val="both"/>
        <w:rPr>
          <w:rFonts w:ascii="Arial Narrow" w:hAnsi="Arial Narrow" w:cs="Times New Roman"/>
          <w:sz w:val="24"/>
          <w:szCs w:val="24"/>
        </w:rPr>
      </w:pPr>
      <w:r>
        <w:rPr>
          <w:rFonts w:ascii="Arial Narrow" w:hAnsi="Arial Narrow" w:cs="Times New Roman"/>
          <w:sz w:val="24"/>
          <w:szCs w:val="24"/>
        </w:rPr>
        <w:t>Α. Ηλιακή Ενέργεια: τα ΗΑΕ διαθέτουν 3.500+ώρες ηλιοφάνειας ετησίως, από τις υψηλότερες ηλιακές ακτινοβολίες στο κόσμο, το κόστος παραγωγής ηλιακής ενέργειας είναι από τα χαμηλότερα διεθνώς. Ως μεγάλα φωτοβολταϊκά έργ</w:t>
      </w:r>
      <w:r w:rsidR="00707A7C">
        <w:rPr>
          <w:rFonts w:ascii="Arial Narrow" w:hAnsi="Arial Narrow" w:cs="Times New Roman"/>
          <w:sz w:val="24"/>
          <w:szCs w:val="24"/>
        </w:rPr>
        <w:t xml:space="preserve">α είναι το </w:t>
      </w:r>
      <w:r w:rsidR="00707A7C">
        <w:rPr>
          <w:rFonts w:ascii="Arial Narrow" w:hAnsi="Arial Narrow" w:cs="Times New Roman"/>
          <w:sz w:val="24"/>
          <w:szCs w:val="24"/>
          <w:lang w:val="en-US"/>
        </w:rPr>
        <w:t>Mohammed</w:t>
      </w:r>
      <w:r w:rsidR="00707A7C" w:rsidRPr="00707A7C">
        <w:rPr>
          <w:rFonts w:ascii="Arial Narrow" w:hAnsi="Arial Narrow" w:cs="Times New Roman"/>
          <w:sz w:val="24"/>
          <w:szCs w:val="24"/>
        </w:rPr>
        <w:t xml:space="preserve"> </w:t>
      </w:r>
      <w:r w:rsidR="00707A7C">
        <w:rPr>
          <w:rFonts w:ascii="Arial Narrow" w:hAnsi="Arial Narrow" w:cs="Times New Roman"/>
          <w:sz w:val="24"/>
          <w:szCs w:val="24"/>
          <w:lang w:val="en-US"/>
        </w:rPr>
        <w:t>bin</w:t>
      </w:r>
      <w:r w:rsidR="00707A7C" w:rsidRPr="00707A7C">
        <w:rPr>
          <w:rFonts w:ascii="Arial Narrow" w:hAnsi="Arial Narrow" w:cs="Times New Roman"/>
          <w:sz w:val="24"/>
          <w:szCs w:val="24"/>
        </w:rPr>
        <w:t xml:space="preserve"> </w:t>
      </w:r>
      <w:r w:rsidR="00707A7C">
        <w:rPr>
          <w:rFonts w:ascii="Arial Narrow" w:hAnsi="Arial Narrow" w:cs="Times New Roman"/>
          <w:sz w:val="24"/>
          <w:szCs w:val="24"/>
          <w:lang w:val="en-US"/>
        </w:rPr>
        <w:t>Rashid</w:t>
      </w:r>
      <w:r w:rsidR="00707A7C" w:rsidRPr="00707A7C">
        <w:rPr>
          <w:rFonts w:ascii="Arial Narrow" w:hAnsi="Arial Narrow" w:cs="Times New Roman"/>
          <w:sz w:val="24"/>
          <w:szCs w:val="24"/>
        </w:rPr>
        <w:t xml:space="preserve"> </w:t>
      </w:r>
      <w:r w:rsidR="00707A7C">
        <w:rPr>
          <w:rFonts w:ascii="Arial Narrow" w:hAnsi="Arial Narrow" w:cs="Times New Roman"/>
          <w:sz w:val="24"/>
          <w:szCs w:val="24"/>
          <w:lang w:val="en-US"/>
        </w:rPr>
        <w:t>Al</w:t>
      </w:r>
      <w:r w:rsidR="00707A7C" w:rsidRPr="00707A7C">
        <w:rPr>
          <w:rFonts w:ascii="Arial Narrow" w:hAnsi="Arial Narrow" w:cs="Times New Roman"/>
          <w:sz w:val="24"/>
          <w:szCs w:val="24"/>
        </w:rPr>
        <w:t xml:space="preserve"> </w:t>
      </w:r>
      <w:r w:rsidR="00707A7C">
        <w:rPr>
          <w:rFonts w:ascii="Arial Narrow" w:hAnsi="Arial Narrow" w:cs="Times New Roman"/>
          <w:sz w:val="24"/>
          <w:szCs w:val="24"/>
          <w:lang w:val="en-US"/>
        </w:rPr>
        <w:t>Maktoum</w:t>
      </w:r>
      <w:r w:rsidR="00707A7C" w:rsidRPr="00707A7C">
        <w:rPr>
          <w:rFonts w:ascii="Arial Narrow" w:hAnsi="Arial Narrow" w:cs="Times New Roman"/>
          <w:sz w:val="24"/>
          <w:szCs w:val="24"/>
        </w:rPr>
        <w:t xml:space="preserve"> </w:t>
      </w:r>
      <w:r w:rsidR="00707A7C">
        <w:rPr>
          <w:rFonts w:ascii="Arial Narrow" w:hAnsi="Arial Narrow" w:cs="Times New Roman"/>
          <w:sz w:val="24"/>
          <w:szCs w:val="24"/>
          <w:lang w:val="en-US"/>
        </w:rPr>
        <w:t>Solar</w:t>
      </w:r>
      <w:r w:rsidR="00707A7C" w:rsidRPr="00707A7C">
        <w:rPr>
          <w:rFonts w:ascii="Arial Narrow" w:hAnsi="Arial Narrow" w:cs="Times New Roman"/>
          <w:sz w:val="24"/>
          <w:szCs w:val="24"/>
        </w:rPr>
        <w:t xml:space="preserve"> </w:t>
      </w:r>
      <w:r w:rsidR="00707A7C">
        <w:rPr>
          <w:rFonts w:ascii="Arial Narrow" w:hAnsi="Arial Narrow" w:cs="Times New Roman"/>
          <w:sz w:val="24"/>
          <w:szCs w:val="24"/>
          <w:lang w:val="en-US"/>
        </w:rPr>
        <w:t>Park</w:t>
      </w:r>
      <w:r w:rsidR="00707A7C" w:rsidRPr="00707A7C">
        <w:rPr>
          <w:rFonts w:ascii="Arial Narrow" w:hAnsi="Arial Narrow" w:cs="Times New Roman"/>
          <w:sz w:val="24"/>
          <w:szCs w:val="24"/>
        </w:rPr>
        <w:t xml:space="preserve">, </w:t>
      </w:r>
      <w:r w:rsidR="00707A7C">
        <w:rPr>
          <w:rFonts w:ascii="Arial Narrow" w:hAnsi="Arial Narrow" w:cs="Times New Roman"/>
          <w:sz w:val="24"/>
          <w:szCs w:val="24"/>
          <w:lang w:val="en-US"/>
        </w:rPr>
        <w:t>Noo</w:t>
      </w:r>
      <w:r w:rsidR="00A00C93">
        <w:rPr>
          <w:rFonts w:ascii="Arial Narrow" w:hAnsi="Arial Narrow" w:cs="Times New Roman"/>
          <w:sz w:val="24"/>
          <w:szCs w:val="24"/>
          <w:lang w:val="en-US"/>
        </w:rPr>
        <w:t>r</w:t>
      </w:r>
      <w:r w:rsidR="00A00C93" w:rsidRPr="00A00C93">
        <w:rPr>
          <w:rFonts w:ascii="Arial Narrow" w:hAnsi="Arial Narrow" w:cs="Times New Roman"/>
          <w:sz w:val="24"/>
          <w:szCs w:val="24"/>
        </w:rPr>
        <w:t xml:space="preserve"> </w:t>
      </w:r>
      <w:r w:rsidR="00A00C93">
        <w:rPr>
          <w:rFonts w:ascii="Arial Narrow" w:hAnsi="Arial Narrow" w:cs="Times New Roman"/>
          <w:sz w:val="24"/>
          <w:szCs w:val="24"/>
          <w:lang w:val="en-US"/>
        </w:rPr>
        <w:t>Abu</w:t>
      </w:r>
      <w:r w:rsidR="00A00C93" w:rsidRPr="00A00C93">
        <w:rPr>
          <w:rFonts w:ascii="Arial Narrow" w:hAnsi="Arial Narrow" w:cs="Times New Roman"/>
          <w:sz w:val="24"/>
          <w:szCs w:val="24"/>
        </w:rPr>
        <w:t xml:space="preserve"> </w:t>
      </w:r>
      <w:r w:rsidR="00A00C93">
        <w:rPr>
          <w:rFonts w:ascii="Arial Narrow" w:hAnsi="Arial Narrow" w:cs="Times New Roman"/>
          <w:sz w:val="24"/>
          <w:szCs w:val="24"/>
          <w:lang w:val="en-US"/>
        </w:rPr>
        <w:t>Dhabi</w:t>
      </w:r>
      <w:r w:rsidR="00A00C93" w:rsidRPr="00A00C93">
        <w:rPr>
          <w:rFonts w:ascii="Arial Narrow" w:hAnsi="Arial Narrow" w:cs="Times New Roman"/>
          <w:sz w:val="24"/>
          <w:szCs w:val="24"/>
        </w:rPr>
        <w:t xml:space="preserve">. </w:t>
      </w:r>
      <w:r w:rsidR="00A00C93">
        <w:rPr>
          <w:rFonts w:ascii="Arial Narrow" w:hAnsi="Arial Narrow" w:cs="Times New Roman"/>
          <w:sz w:val="24"/>
          <w:szCs w:val="24"/>
        </w:rPr>
        <w:t xml:space="preserve">Η αφθονία φθηνής ηλεκτρικής ενέργειας αποτελεί βασικό παράγοντα ανταγωνιστικότητας για την παραγωγή πράσινου υδρογόνου. </w:t>
      </w:r>
    </w:p>
    <w:p w14:paraId="53B34291" w14:textId="127B91B9" w:rsidR="00A00C93" w:rsidRPr="006E6CDB" w:rsidRDefault="001E32A3" w:rsidP="00E923A4">
      <w:pPr>
        <w:spacing w:before="120" w:after="120"/>
        <w:jc w:val="both"/>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18.1.5. </w:t>
      </w:r>
      <w:r w:rsidR="00A00C93" w:rsidRPr="006E6CDB">
        <w:rPr>
          <w:rFonts w:ascii="Arial Narrow" w:hAnsi="Arial Narrow" w:cs="Times New Roman"/>
          <w:b/>
          <w:color w:val="548DD4" w:themeColor="text2" w:themeTint="99"/>
          <w:sz w:val="24"/>
          <w:szCs w:val="24"/>
        </w:rPr>
        <w:t xml:space="preserve">Υφιστάμενες Ενεργειακές Υποδομές </w:t>
      </w:r>
    </w:p>
    <w:p w14:paraId="77531081" w14:textId="77777777" w:rsidR="00A00C93" w:rsidRDefault="00A00C93"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Τα ΗΑΕ διαθέτουν: λιμάνια παγκόσμιας κλάσης, δίκτυα μεταφοράς ενέργειας, εγκαταστάσεις </w:t>
      </w:r>
      <w:r>
        <w:rPr>
          <w:rFonts w:ascii="Arial Narrow" w:hAnsi="Arial Narrow" w:cs="Times New Roman"/>
          <w:sz w:val="24"/>
          <w:szCs w:val="24"/>
          <w:lang w:val="en-US"/>
        </w:rPr>
        <w:t>LNG</w:t>
      </w:r>
      <w:r w:rsidRPr="00A00C93">
        <w:rPr>
          <w:rFonts w:ascii="Arial Narrow" w:hAnsi="Arial Narrow" w:cs="Times New Roman"/>
          <w:sz w:val="24"/>
          <w:szCs w:val="24"/>
        </w:rPr>
        <w:t xml:space="preserve">, </w:t>
      </w:r>
      <w:r>
        <w:rPr>
          <w:rFonts w:ascii="Arial Narrow" w:hAnsi="Arial Narrow" w:cs="Times New Roman"/>
          <w:sz w:val="24"/>
          <w:szCs w:val="24"/>
        </w:rPr>
        <w:t>βιομηχανικές ζώνες και εξαγωγική εμπειρία δεκαετιών. Η υπάρχουσα ενεργειακή υποδομή μειώνει σημαντικά το κόστος ανάπτυξης της οικονομίας του υδρογόνου.</w:t>
      </w:r>
    </w:p>
    <w:p w14:paraId="523C4D3D" w14:textId="4144B52A" w:rsidR="00A00C93" w:rsidRPr="006E6CDB" w:rsidRDefault="001E32A3" w:rsidP="00E923A4">
      <w:pPr>
        <w:spacing w:before="120" w:after="120"/>
        <w:jc w:val="both"/>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18.1.6. </w:t>
      </w:r>
      <w:r w:rsidR="00A00C93" w:rsidRPr="006E6CDB">
        <w:rPr>
          <w:rFonts w:ascii="Arial Narrow" w:hAnsi="Arial Narrow" w:cs="Times New Roman"/>
          <w:b/>
          <w:color w:val="548DD4" w:themeColor="text2" w:themeTint="99"/>
          <w:sz w:val="24"/>
          <w:szCs w:val="24"/>
        </w:rPr>
        <w:t>Κύριοι Φορείς Ανάπτυξης</w:t>
      </w:r>
    </w:p>
    <w:p w14:paraId="22D12FD9" w14:textId="77777777" w:rsidR="00AD237E" w:rsidRDefault="00A00C93" w:rsidP="00E923A4">
      <w:pPr>
        <w:spacing w:before="120" w:after="120"/>
        <w:jc w:val="both"/>
        <w:rPr>
          <w:rFonts w:ascii="Arial Narrow" w:hAnsi="Arial Narrow" w:cs="Times New Roman"/>
          <w:sz w:val="24"/>
          <w:szCs w:val="24"/>
        </w:rPr>
      </w:pPr>
      <w:r>
        <w:rPr>
          <w:rFonts w:ascii="Arial Narrow" w:hAnsi="Arial Narrow" w:cs="Times New Roman"/>
          <w:sz w:val="24"/>
          <w:szCs w:val="24"/>
          <w:lang w:val="en-US"/>
        </w:rPr>
        <w:t>ADNOC</w:t>
      </w:r>
      <w:r w:rsidRPr="00A00C93">
        <w:rPr>
          <w:rFonts w:ascii="Arial Narrow" w:hAnsi="Arial Narrow" w:cs="Times New Roman"/>
          <w:sz w:val="24"/>
          <w:szCs w:val="24"/>
        </w:rPr>
        <w:t xml:space="preserve">: </w:t>
      </w:r>
      <w:r>
        <w:rPr>
          <w:rFonts w:ascii="Arial Narrow" w:hAnsi="Arial Narrow" w:cs="Times New Roman"/>
          <w:sz w:val="24"/>
          <w:szCs w:val="24"/>
        </w:rPr>
        <w:t>μεγαλύτερος ενεργειακός όμιλος της χώρας. Στόχοι είναι η παραγωγή μπλέ και πράσινου υδρογόνου, οι εξαγωγές προς Ευρώπη και Ασία και οι επενδύσεις δις $</w:t>
      </w:r>
    </w:p>
    <w:p w14:paraId="45FF5E14" w14:textId="77777777" w:rsidR="001C3A23" w:rsidRDefault="00AD237E" w:rsidP="00E923A4">
      <w:pPr>
        <w:spacing w:before="120" w:after="120"/>
        <w:jc w:val="both"/>
        <w:rPr>
          <w:rFonts w:ascii="Arial Narrow" w:hAnsi="Arial Narrow" w:cs="Times New Roman"/>
          <w:sz w:val="24"/>
          <w:szCs w:val="24"/>
        </w:rPr>
      </w:pPr>
      <w:r>
        <w:rPr>
          <w:rFonts w:ascii="Arial Narrow" w:hAnsi="Arial Narrow" w:cs="Times New Roman"/>
          <w:sz w:val="24"/>
          <w:szCs w:val="24"/>
          <w:lang w:val="en-US"/>
        </w:rPr>
        <w:t>Masdar</w:t>
      </w:r>
      <w:r w:rsidRPr="001C3A23">
        <w:rPr>
          <w:rFonts w:ascii="Arial Narrow" w:hAnsi="Arial Narrow" w:cs="Times New Roman"/>
          <w:sz w:val="24"/>
          <w:szCs w:val="24"/>
        </w:rPr>
        <w:t xml:space="preserve">: </w:t>
      </w:r>
      <w:r w:rsidR="001C3A23">
        <w:rPr>
          <w:rFonts w:ascii="Arial Narrow" w:hAnsi="Arial Narrow" w:cs="Times New Roman"/>
          <w:sz w:val="24"/>
          <w:szCs w:val="24"/>
        </w:rPr>
        <w:t>ηγετικός οργανισμός Ανανεώσιμων Πηγών Ενέργειας. Ρόλος του είναι η ανάπτυξη διεθνών έργων υδρογόνου, η παραγωγή πράσινης αμμωνίας και οι συνεργασίες με ευρωπαϊκές και ασιατικές εταιρείες</w:t>
      </w:r>
    </w:p>
    <w:p w14:paraId="09C5608B" w14:textId="77777777" w:rsidR="00896101" w:rsidRPr="006E6CDB" w:rsidRDefault="001C3A23" w:rsidP="00E923A4">
      <w:pPr>
        <w:spacing w:before="120" w:after="120"/>
        <w:jc w:val="both"/>
        <w:rPr>
          <w:rFonts w:ascii="Arial Narrow" w:hAnsi="Arial Narrow" w:cs="Times New Roman"/>
          <w:b/>
          <w:sz w:val="24"/>
          <w:szCs w:val="24"/>
        </w:rPr>
      </w:pPr>
      <w:r>
        <w:rPr>
          <w:rFonts w:ascii="Arial Narrow" w:hAnsi="Arial Narrow" w:cs="Times New Roman"/>
          <w:sz w:val="24"/>
          <w:szCs w:val="24"/>
          <w:lang w:val="en-US"/>
        </w:rPr>
        <w:t>Dubai</w:t>
      </w:r>
      <w:r w:rsidRPr="00896101">
        <w:rPr>
          <w:rFonts w:ascii="Arial Narrow" w:hAnsi="Arial Narrow" w:cs="Times New Roman"/>
          <w:sz w:val="24"/>
          <w:szCs w:val="24"/>
        </w:rPr>
        <w:t xml:space="preserve"> </w:t>
      </w:r>
      <w:r>
        <w:rPr>
          <w:rFonts w:ascii="Arial Narrow" w:hAnsi="Arial Narrow" w:cs="Times New Roman"/>
          <w:sz w:val="24"/>
          <w:szCs w:val="24"/>
          <w:lang w:val="en-US"/>
        </w:rPr>
        <w:t>Electricity</w:t>
      </w:r>
      <w:r w:rsidRPr="00896101">
        <w:rPr>
          <w:rFonts w:ascii="Arial Narrow" w:hAnsi="Arial Narrow" w:cs="Times New Roman"/>
          <w:sz w:val="24"/>
          <w:szCs w:val="24"/>
        </w:rPr>
        <w:t xml:space="preserve"> </w:t>
      </w:r>
      <w:r>
        <w:rPr>
          <w:rFonts w:ascii="Arial Narrow" w:hAnsi="Arial Narrow" w:cs="Times New Roman"/>
          <w:sz w:val="24"/>
          <w:szCs w:val="24"/>
          <w:lang w:val="en-US"/>
        </w:rPr>
        <w:t>and</w:t>
      </w:r>
      <w:r w:rsidRPr="00896101">
        <w:rPr>
          <w:rFonts w:ascii="Arial Narrow" w:hAnsi="Arial Narrow" w:cs="Times New Roman"/>
          <w:sz w:val="24"/>
          <w:szCs w:val="24"/>
        </w:rPr>
        <w:t xml:space="preserve"> </w:t>
      </w:r>
      <w:r>
        <w:rPr>
          <w:rFonts w:ascii="Arial Narrow" w:hAnsi="Arial Narrow" w:cs="Times New Roman"/>
          <w:sz w:val="24"/>
          <w:szCs w:val="24"/>
          <w:lang w:val="en-US"/>
        </w:rPr>
        <w:t>Water</w:t>
      </w:r>
      <w:r w:rsidRPr="00896101">
        <w:rPr>
          <w:rFonts w:ascii="Arial Narrow" w:hAnsi="Arial Narrow" w:cs="Times New Roman"/>
          <w:sz w:val="24"/>
          <w:szCs w:val="24"/>
        </w:rPr>
        <w:t xml:space="preserve"> </w:t>
      </w:r>
      <w:r>
        <w:rPr>
          <w:rFonts w:ascii="Arial Narrow" w:hAnsi="Arial Narrow" w:cs="Times New Roman"/>
          <w:sz w:val="24"/>
          <w:szCs w:val="24"/>
          <w:lang w:val="en-US"/>
        </w:rPr>
        <w:t>Authority</w:t>
      </w:r>
      <w:r w:rsidRPr="00896101">
        <w:rPr>
          <w:rFonts w:ascii="Arial Narrow" w:hAnsi="Arial Narrow" w:cs="Times New Roman"/>
          <w:sz w:val="24"/>
          <w:szCs w:val="24"/>
        </w:rPr>
        <w:t xml:space="preserve"> (</w:t>
      </w:r>
      <w:r>
        <w:rPr>
          <w:rFonts w:ascii="Arial Narrow" w:hAnsi="Arial Narrow" w:cs="Times New Roman"/>
          <w:sz w:val="24"/>
          <w:szCs w:val="24"/>
          <w:lang w:val="en-US"/>
        </w:rPr>
        <w:t>DE</w:t>
      </w:r>
      <w:r w:rsidR="00896101">
        <w:rPr>
          <w:rFonts w:ascii="Arial Narrow" w:hAnsi="Arial Narrow" w:cs="Times New Roman"/>
          <w:sz w:val="24"/>
          <w:szCs w:val="24"/>
          <w:lang w:val="en-US"/>
        </w:rPr>
        <w:t>WA</w:t>
      </w:r>
      <w:r w:rsidR="00896101" w:rsidRPr="00896101">
        <w:rPr>
          <w:rFonts w:ascii="Arial Narrow" w:hAnsi="Arial Narrow" w:cs="Times New Roman"/>
          <w:sz w:val="24"/>
          <w:szCs w:val="24"/>
        </w:rPr>
        <w:t xml:space="preserve">): </w:t>
      </w:r>
      <w:r w:rsidR="00896101">
        <w:rPr>
          <w:rFonts w:ascii="Arial Narrow" w:hAnsi="Arial Narrow" w:cs="Times New Roman"/>
          <w:sz w:val="24"/>
          <w:szCs w:val="24"/>
        </w:rPr>
        <w:t>πρωτοπόρος</w:t>
      </w:r>
      <w:r w:rsidR="00896101" w:rsidRPr="00896101">
        <w:rPr>
          <w:rFonts w:ascii="Arial Narrow" w:hAnsi="Arial Narrow" w:cs="Times New Roman"/>
          <w:sz w:val="24"/>
          <w:szCs w:val="24"/>
        </w:rPr>
        <w:t xml:space="preserve"> </w:t>
      </w:r>
      <w:r w:rsidR="00896101">
        <w:rPr>
          <w:rFonts w:ascii="Arial Narrow" w:hAnsi="Arial Narrow" w:cs="Times New Roman"/>
          <w:sz w:val="24"/>
          <w:szCs w:val="24"/>
        </w:rPr>
        <w:t>στην</w:t>
      </w:r>
      <w:r w:rsidR="00896101" w:rsidRPr="00896101">
        <w:rPr>
          <w:rFonts w:ascii="Arial Narrow" w:hAnsi="Arial Narrow" w:cs="Times New Roman"/>
          <w:sz w:val="24"/>
          <w:szCs w:val="24"/>
        </w:rPr>
        <w:t xml:space="preserve"> </w:t>
      </w:r>
      <w:r w:rsidR="00896101">
        <w:rPr>
          <w:rFonts w:ascii="Arial Narrow" w:hAnsi="Arial Narrow" w:cs="Times New Roman"/>
          <w:sz w:val="24"/>
          <w:szCs w:val="24"/>
        </w:rPr>
        <w:t>πιλοτική</w:t>
      </w:r>
      <w:r w:rsidR="00896101" w:rsidRPr="00896101">
        <w:rPr>
          <w:rFonts w:ascii="Arial Narrow" w:hAnsi="Arial Narrow" w:cs="Times New Roman"/>
          <w:sz w:val="24"/>
          <w:szCs w:val="24"/>
        </w:rPr>
        <w:t xml:space="preserve"> </w:t>
      </w:r>
      <w:r w:rsidR="00896101">
        <w:rPr>
          <w:rFonts w:ascii="Arial Narrow" w:hAnsi="Arial Narrow" w:cs="Times New Roman"/>
          <w:sz w:val="24"/>
          <w:szCs w:val="24"/>
        </w:rPr>
        <w:t>παραγωγή</w:t>
      </w:r>
      <w:r w:rsidR="00896101" w:rsidRPr="00896101">
        <w:rPr>
          <w:rFonts w:ascii="Arial Narrow" w:hAnsi="Arial Narrow" w:cs="Times New Roman"/>
          <w:sz w:val="24"/>
          <w:szCs w:val="24"/>
        </w:rPr>
        <w:t xml:space="preserve"> </w:t>
      </w:r>
      <w:r w:rsidR="00896101">
        <w:rPr>
          <w:rFonts w:ascii="Arial Narrow" w:hAnsi="Arial Narrow" w:cs="Times New Roman"/>
          <w:sz w:val="24"/>
          <w:szCs w:val="24"/>
        </w:rPr>
        <w:t>πράσινου υδρογόνου στο Ντουμπάϊ.</w:t>
      </w:r>
    </w:p>
    <w:p w14:paraId="6D3FCBF2" w14:textId="029F6A08" w:rsidR="00A66A6E" w:rsidRDefault="001E32A3" w:rsidP="00E923A4">
      <w:pPr>
        <w:spacing w:before="120" w:after="120"/>
        <w:jc w:val="both"/>
        <w:rPr>
          <w:rFonts w:ascii="Arial Narrow" w:hAnsi="Arial Narrow" w:cs="Times New Roman"/>
          <w:sz w:val="24"/>
          <w:szCs w:val="24"/>
        </w:rPr>
      </w:pPr>
      <w:r>
        <w:rPr>
          <w:rFonts w:ascii="Arial Narrow" w:hAnsi="Arial Narrow" w:cs="Times New Roman"/>
          <w:b/>
          <w:color w:val="548DD4" w:themeColor="text2" w:themeTint="99"/>
          <w:sz w:val="24"/>
          <w:szCs w:val="24"/>
        </w:rPr>
        <w:t>18.1.7.</w:t>
      </w:r>
      <w:r w:rsidR="00896101" w:rsidRPr="006E6CDB">
        <w:rPr>
          <w:rFonts w:ascii="Arial Narrow" w:hAnsi="Arial Narrow" w:cs="Times New Roman"/>
          <w:b/>
          <w:color w:val="548DD4" w:themeColor="text2" w:themeTint="99"/>
          <w:sz w:val="24"/>
          <w:szCs w:val="24"/>
        </w:rPr>
        <w:t>Το Πρώτο Εργοστάσιο Πράσινου Υδρογόνου στα ΗΑΕ (</w:t>
      </w:r>
      <w:r w:rsidR="00A66A6E" w:rsidRPr="006E6CDB">
        <w:rPr>
          <w:rFonts w:ascii="Arial Narrow" w:hAnsi="Arial Narrow" w:cs="Times New Roman"/>
          <w:b/>
          <w:color w:val="548DD4" w:themeColor="text2" w:themeTint="99"/>
          <w:sz w:val="24"/>
          <w:szCs w:val="24"/>
          <w:lang w:val="en-US"/>
        </w:rPr>
        <w:t>Green</w:t>
      </w:r>
      <w:r w:rsidR="00A66A6E" w:rsidRPr="006E6CDB">
        <w:rPr>
          <w:rFonts w:ascii="Arial Narrow" w:hAnsi="Arial Narrow" w:cs="Times New Roman"/>
          <w:b/>
          <w:color w:val="548DD4" w:themeColor="text2" w:themeTint="99"/>
          <w:sz w:val="24"/>
          <w:szCs w:val="24"/>
        </w:rPr>
        <w:t xml:space="preserve"> </w:t>
      </w:r>
      <w:r w:rsidR="00A66A6E" w:rsidRPr="006E6CDB">
        <w:rPr>
          <w:rFonts w:ascii="Arial Narrow" w:hAnsi="Arial Narrow" w:cs="Times New Roman"/>
          <w:b/>
          <w:color w:val="548DD4" w:themeColor="text2" w:themeTint="99"/>
          <w:sz w:val="24"/>
          <w:szCs w:val="24"/>
          <w:lang w:val="en-US"/>
        </w:rPr>
        <w:t>Hydrogen</w:t>
      </w:r>
      <w:r w:rsidR="00A66A6E" w:rsidRPr="006E6CDB">
        <w:rPr>
          <w:rFonts w:ascii="Arial Narrow" w:hAnsi="Arial Narrow" w:cs="Times New Roman"/>
          <w:b/>
          <w:color w:val="548DD4" w:themeColor="text2" w:themeTint="99"/>
          <w:sz w:val="24"/>
          <w:szCs w:val="24"/>
        </w:rPr>
        <w:t xml:space="preserve"> </w:t>
      </w:r>
      <w:r w:rsidR="00A66A6E" w:rsidRPr="006E6CDB">
        <w:rPr>
          <w:rFonts w:ascii="Arial Narrow" w:hAnsi="Arial Narrow" w:cs="Times New Roman"/>
          <w:b/>
          <w:color w:val="548DD4" w:themeColor="text2" w:themeTint="99"/>
          <w:sz w:val="24"/>
          <w:szCs w:val="24"/>
          <w:lang w:val="en-US"/>
        </w:rPr>
        <w:t>Project</w:t>
      </w:r>
      <w:r w:rsidR="00A66A6E" w:rsidRPr="006E6CDB">
        <w:rPr>
          <w:rFonts w:ascii="Arial Narrow" w:hAnsi="Arial Narrow" w:cs="Times New Roman"/>
          <w:b/>
          <w:color w:val="548DD4" w:themeColor="text2" w:themeTint="99"/>
          <w:sz w:val="24"/>
          <w:szCs w:val="24"/>
        </w:rPr>
        <w:t xml:space="preserve"> – </w:t>
      </w:r>
      <w:r w:rsidR="00A66A6E" w:rsidRPr="006E6CDB">
        <w:rPr>
          <w:rFonts w:ascii="Arial Narrow" w:hAnsi="Arial Narrow" w:cs="Times New Roman"/>
          <w:b/>
          <w:color w:val="548DD4" w:themeColor="text2" w:themeTint="99"/>
          <w:sz w:val="24"/>
          <w:szCs w:val="24"/>
          <w:lang w:val="en-US"/>
        </w:rPr>
        <w:t>Dubai</w:t>
      </w:r>
      <w:r w:rsidR="00A66A6E" w:rsidRPr="006E6CDB">
        <w:rPr>
          <w:rFonts w:ascii="Arial Narrow" w:hAnsi="Arial Narrow" w:cs="Times New Roman"/>
          <w:b/>
          <w:color w:val="548DD4" w:themeColor="text2" w:themeTint="99"/>
          <w:sz w:val="24"/>
          <w:szCs w:val="24"/>
        </w:rPr>
        <w:t>):</w:t>
      </w:r>
      <w:r w:rsidR="00A66A6E" w:rsidRPr="00A66A6E">
        <w:rPr>
          <w:rFonts w:ascii="Arial Narrow" w:hAnsi="Arial Narrow" w:cs="Times New Roman"/>
          <w:color w:val="548DD4" w:themeColor="text2" w:themeTint="99"/>
          <w:sz w:val="24"/>
          <w:szCs w:val="24"/>
        </w:rPr>
        <w:t xml:space="preserve"> </w:t>
      </w:r>
      <w:r w:rsidR="00A66A6E">
        <w:rPr>
          <w:rFonts w:ascii="Arial Narrow" w:hAnsi="Arial Narrow" w:cs="Times New Roman"/>
          <w:sz w:val="24"/>
          <w:szCs w:val="24"/>
        </w:rPr>
        <w:t xml:space="preserve">το έργο αναπτύχθηκε από </w:t>
      </w:r>
      <w:r w:rsidR="00A66A6E">
        <w:rPr>
          <w:rFonts w:ascii="Arial Narrow" w:hAnsi="Arial Narrow" w:cs="Times New Roman"/>
          <w:sz w:val="24"/>
          <w:szCs w:val="24"/>
          <w:lang w:val="en-US"/>
        </w:rPr>
        <w:t>DEWA</w:t>
      </w:r>
      <w:r w:rsidR="00A66A6E" w:rsidRPr="00A66A6E">
        <w:rPr>
          <w:rFonts w:ascii="Arial Narrow" w:hAnsi="Arial Narrow" w:cs="Times New Roman"/>
          <w:sz w:val="24"/>
          <w:szCs w:val="24"/>
        </w:rPr>
        <w:t xml:space="preserve">, </w:t>
      </w:r>
      <w:r w:rsidR="00A66A6E">
        <w:rPr>
          <w:rFonts w:ascii="Arial Narrow" w:hAnsi="Arial Narrow" w:cs="Times New Roman"/>
          <w:sz w:val="24"/>
          <w:szCs w:val="24"/>
          <w:lang w:val="en-US"/>
        </w:rPr>
        <w:t>Siemens</w:t>
      </w:r>
      <w:r w:rsidR="00A66A6E" w:rsidRPr="00A66A6E">
        <w:rPr>
          <w:rFonts w:ascii="Arial Narrow" w:hAnsi="Arial Narrow" w:cs="Times New Roman"/>
          <w:sz w:val="24"/>
          <w:szCs w:val="24"/>
        </w:rPr>
        <w:t xml:space="preserve"> </w:t>
      </w:r>
      <w:r w:rsidR="00A66A6E">
        <w:rPr>
          <w:rFonts w:ascii="Arial Narrow" w:hAnsi="Arial Narrow" w:cs="Times New Roman"/>
          <w:sz w:val="24"/>
          <w:szCs w:val="24"/>
          <w:lang w:val="en-US"/>
        </w:rPr>
        <w:t>Energy</w:t>
      </w:r>
      <w:r w:rsidR="00A66A6E" w:rsidRPr="00A66A6E">
        <w:rPr>
          <w:rFonts w:ascii="Arial Narrow" w:hAnsi="Arial Narrow" w:cs="Times New Roman"/>
          <w:sz w:val="24"/>
          <w:szCs w:val="24"/>
        </w:rPr>
        <w:t xml:space="preserve">, </w:t>
      </w:r>
      <w:r w:rsidR="00A66A6E">
        <w:rPr>
          <w:rFonts w:ascii="Arial Narrow" w:hAnsi="Arial Narrow" w:cs="Times New Roman"/>
          <w:sz w:val="24"/>
          <w:szCs w:val="24"/>
          <w:lang w:val="en-US"/>
        </w:rPr>
        <w:t>EXPO</w:t>
      </w:r>
      <w:r w:rsidR="00A66A6E" w:rsidRPr="00A66A6E">
        <w:rPr>
          <w:rFonts w:ascii="Arial Narrow" w:hAnsi="Arial Narrow" w:cs="Times New Roman"/>
          <w:sz w:val="24"/>
          <w:szCs w:val="24"/>
        </w:rPr>
        <w:t xml:space="preserve"> 2020 </w:t>
      </w:r>
      <w:r w:rsidR="00A66A6E">
        <w:rPr>
          <w:rFonts w:ascii="Arial Narrow" w:hAnsi="Arial Narrow" w:cs="Times New Roman"/>
          <w:sz w:val="24"/>
          <w:szCs w:val="24"/>
          <w:lang w:val="en-US"/>
        </w:rPr>
        <w:t>Dubai</w:t>
      </w:r>
      <w:r w:rsidR="00A66A6E" w:rsidRPr="00A66A6E">
        <w:rPr>
          <w:rFonts w:ascii="Arial Narrow" w:hAnsi="Arial Narrow" w:cs="Times New Roman"/>
          <w:sz w:val="24"/>
          <w:szCs w:val="24"/>
        </w:rPr>
        <w:t xml:space="preserve">. </w:t>
      </w:r>
      <w:r w:rsidR="00A66A6E">
        <w:rPr>
          <w:rFonts w:ascii="Arial Narrow" w:hAnsi="Arial Narrow" w:cs="Times New Roman"/>
          <w:sz w:val="24"/>
          <w:szCs w:val="24"/>
        </w:rPr>
        <w:t>Τα κύρια χαρακτηριστικά του είναι ότι αποτελεί τη πρώτη μονάδα πράσινου υδρογόνου στη Μέση Ανατολή, τη χρήση ηλιακής ενέργειας, τη παραγωγή υδρογόνου μέσω ηλεκτρόλυσης και τις εφαρμογές σε μεταφορές και βιομηχανία.</w:t>
      </w:r>
    </w:p>
    <w:p w14:paraId="0092B51C" w14:textId="114D9208" w:rsidR="00C269EE" w:rsidRDefault="001E32A3" w:rsidP="00E923A4">
      <w:pPr>
        <w:spacing w:before="120" w:after="120"/>
        <w:jc w:val="both"/>
        <w:rPr>
          <w:rFonts w:ascii="Arial Narrow" w:hAnsi="Arial Narrow" w:cs="Times New Roman"/>
          <w:sz w:val="24"/>
          <w:szCs w:val="24"/>
        </w:rPr>
      </w:pPr>
      <w:r>
        <w:rPr>
          <w:rFonts w:ascii="Arial Narrow" w:hAnsi="Arial Narrow" w:cs="Times New Roman"/>
          <w:b/>
          <w:color w:val="548DD4" w:themeColor="text2" w:themeTint="99"/>
          <w:sz w:val="24"/>
          <w:szCs w:val="24"/>
        </w:rPr>
        <w:t xml:space="preserve">18.1.8. </w:t>
      </w:r>
      <w:r w:rsidR="00A66A6E" w:rsidRPr="006E6CDB">
        <w:rPr>
          <w:rFonts w:ascii="Arial Narrow" w:hAnsi="Arial Narrow" w:cs="Times New Roman"/>
          <w:b/>
          <w:color w:val="548DD4" w:themeColor="text2" w:themeTint="99"/>
          <w:sz w:val="24"/>
          <w:szCs w:val="24"/>
        </w:rPr>
        <w:t>Πράσινη Αμμωνία (</w:t>
      </w:r>
      <w:r w:rsidR="00A66A6E" w:rsidRPr="006E6CDB">
        <w:rPr>
          <w:rFonts w:ascii="Arial Narrow" w:hAnsi="Arial Narrow" w:cs="Times New Roman"/>
          <w:b/>
          <w:color w:val="548DD4" w:themeColor="text2" w:themeTint="99"/>
          <w:sz w:val="24"/>
          <w:szCs w:val="24"/>
          <w:lang w:val="en-US"/>
        </w:rPr>
        <w:t>Green</w:t>
      </w:r>
      <w:r w:rsidR="00A66A6E" w:rsidRPr="006E6CDB">
        <w:rPr>
          <w:rFonts w:ascii="Arial Narrow" w:hAnsi="Arial Narrow" w:cs="Times New Roman"/>
          <w:b/>
          <w:color w:val="548DD4" w:themeColor="text2" w:themeTint="99"/>
          <w:sz w:val="24"/>
          <w:szCs w:val="24"/>
        </w:rPr>
        <w:t xml:space="preserve"> </w:t>
      </w:r>
      <w:r w:rsidR="00A66A6E" w:rsidRPr="006E6CDB">
        <w:rPr>
          <w:rFonts w:ascii="Arial Narrow" w:hAnsi="Arial Narrow" w:cs="Times New Roman"/>
          <w:b/>
          <w:color w:val="548DD4" w:themeColor="text2" w:themeTint="99"/>
          <w:sz w:val="24"/>
          <w:szCs w:val="24"/>
          <w:lang w:val="en-US"/>
        </w:rPr>
        <w:t>Ammonia</w:t>
      </w:r>
      <w:r w:rsidR="00A66A6E" w:rsidRPr="006E6CDB">
        <w:rPr>
          <w:rFonts w:ascii="Arial Narrow" w:hAnsi="Arial Narrow" w:cs="Times New Roman"/>
          <w:b/>
          <w:color w:val="548DD4" w:themeColor="text2" w:themeTint="99"/>
          <w:sz w:val="24"/>
          <w:szCs w:val="24"/>
        </w:rPr>
        <w:t>):</w:t>
      </w:r>
      <w:r w:rsidR="00A66A6E" w:rsidRPr="00C269EE">
        <w:rPr>
          <w:rFonts w:ascii="Arial Narrow" w:hAnsi="Arial Narrow" w:cs="Times New Roman"/>
          <w:color w:val="548DD4" w:themeColor="text2" w:themeTint="99"/>
          <w:sz w:val="24"/>
          <w:szCs w:val="24"/>
        </w:rPr>
        <w:t xml:space="preserve"> </w:t>
      </w:r>
      <w:r w:rsidR="00C269EE">
        <w:rPr>
          <w:rFonts w:ascii="Arial Narrow" w:hAnsi="Arial Narrow" w:cs="Times New Roman"/>
          <w:sz w:val="24"/>
          <w:szCs w:val="24"/>
        </w:rPr>
        <w:t xml:space="preserve">τα ΗΑΕ επενδύουν σημαντικά στη παραγωγή πράσινης αμμωνίας. Η αμμωνία μεταφέρεται ευκολότερα από το υδρογόνο, χρησιμοποιείται ως καύσιμο ναυτηλίας και λειτουργεί ως μέσο αποθήκευσης υδρογόνου. Κύριοι εξαγωγικοί προορισμοι είναι Ιαπωνία, Νότιος Κορέα, Γερμανία και Ολλανδία. </w:t>
      </w:r>
    </w:p>
    <w:p w14:paraId="1C461FAC" w14:textId="662C419D" w:rsidR="00C269EE" w:rsidRPr="006E6CDB" w:rsidRDefault="009D4BB2" w:rsidP="00E923A4">
      <w:pPr>
        <w:spacing w:before="120" w:after="120"/>
        <w:jc w:val="both"/>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18.1.9. </w:t>
      </w:r>
      <w:r w:rsidR="00C269EE" w:rsidRPr="006E6CDB">
        <w:rPr>
          <w:rFonts w:ascii="Arial Narrow" w:hAnsi="Arial Narrow" w:cs="Times New Roman"/>
          <w:b/>
          <w:color w:val="548DD4" w:themeColor="text2" w:themeTint="99"/>
          <w:sz w:val="24"/>
          <w:szCs w:val="24"/>
        </w:rPr>
        <w:t>Διεθνείς Συνεργασίες</w:t>
      </w:r>
    </w:p>
    <w:p w14:paraId="4298F389" w14:textId="77777777" w:rsidR="00C269EE" w:rsidRDefault="00C269EE" w:rsidP="00E923A4">
      <w:pPr>
        <w:spacing w:before="120" w:after="120"/>
        <w:jc w:val="both"/>
        <w:rPr>
          <w:rFonts w:ascii="Arial Narrow" w:hAnsi="Arial Narrow" w:cs="Times New Roman"/>
          <w:sz w:val="24"/>
          <w:szCs w:val="24"/>
        </w:rPr>
      </w:pPr>
      <w:r>
        <w:rPr>
          <w:rFonts w:ascii="Arial Narrow" w:hAnsi="Arial Narrow" w:cs="Times New Roman"/>
          <w:sz w:val="24"/>
          <w:szCs w:val="24"/>
        </w:rPr>
        <w:t>Τα ΗΑΕ έχουν υπογράψει Μνημόνια Συνεργασίας (</w:t>
      </w:r>
      <w:r>
        <w:rPr>
          <w:rFonts w:ascii="Arial Narrow" w:hAnsi="Arial Narrow" w:cs="Times New Roman"/>
          <w:sz w:val="24"/>
          <w:szCs w:val="24"/>
          <w:lang w:val="en-US"/>
        </w:rPr>
        <w:t>MoU</w:t>
      </w:r>
      <w:r w:rsidRPr="00C269EE">
        <w:rPr>
          <w:rFonts w:ascii="Arial Narrow" w:hAnsi="Arial Narrow" w:cs="Times New Roman"/>
          <w:sz w:val="24"/>
          <w:szCs w:val="24"/>
        </w:rPr>
        <w:t>’</w:t>
      </w:r>
      <w:r>
        <w:rPr>
          <w:rFonts w:ascii="Arial Narrow" w:hAnsi="Arial Narrow" w:cs="Times New Roman"/>
          <w:sz w:val="24"/>
          <w:szCs w:val="24"/>
          <w:lang w:val="en-US"/>
        </w:rPr>
        <w:t>s</w:t>
      </w:r>
      <w:r w:rsidRPr="00C269EE">
        <w:rPr>
          <w:rFonts w:ascii="Arial Narrow" w:hAnsi="Arial Narrow" w:cs="Times New Roman"/>
          <w:sz w:val="24"/>
          <w:szCs w:val="24"/>
        </w:rPr>
        <w:t xml:space="preserve">) </w:t>
      </w:r>
      <w:r>
        <w:rPr>
          <w:rFonts w:ascii="Arial Narrow" w:hAnsi="Arial Narrow" w:cs="Times New Roman"/>
          <w:sz w:val="24"/>
          <w:szCs w:val="24"/>
        </w:rPr>
        <w:t xml:space="preserve">με διάφορες χώρες όπως Γερμανία, Γαλλία, Ιταλία, Ολλανδία, Ιαπωνία, Νότιο Κορέα, Ινδία και Κίνα, ενώ στόχος παραμένει η δημιουργία διεθνών αλυσίδων εφοδιασμού υδρογόνου. </w:t>
      </w:r>
    </w:p>
    <w:p w14:paraId="3104249A" w14:textId="412D4C36" w:rsidR="00C269EE" w:rsidRPr="006E6CDB" w:rsidRDefault="009D4BB2" w:rsidP="00E923A4">
      <w:pPr>
        <w:spacing w:before="120" w:after="120"/>
        <w:jc w:val="both"/>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18.1.10. </w:t>
      </w:r>
      <w:r w:rsidR="00C269EE" w:rsidRPr="006E6CDB">
        <w:rPr>
          <w:rFonts w:ascii="Arial Narrow" w:hAnsi="Arial Narrow" w:cs="Times New Roman"/>
          <w:b/>
          <w:color w:val="548DD4" w:themeColor="text2" w:themeTint="99"/>
          <w:sz w:val="24"/>
          <w:szCs w:val="24"/>
        </w:rPr>
        <w:t>Χρήσεις του Πράσινου Υδρογόνου στα ΗΑΕ</w:t>
      </w:r>
    </w:p>
    <w:p w14:paraId="0729AB16" w14:textId="77777777" w:rsidR="00C12D4A" w:rsidRDefault="00C12D4A" w:rsidP="00E923A4">
      <w:pPr>
        <w:spacing w:before="120" w:after="120"/>
        <w:jc w:val="both"/>
        <w:rPr>
          <w:rFonts w:ascii="Arial Narrow" w:hAnsi="Arial Narrow" w:cs="Times New Roman"/>
          <w:sz w:val="24"/>
          <w:szCs w:val="24"/>
        </w:rPr>
      </w:pPr>
      <w:r>
        <w:rPr>
          <w:rFonts w:ascii="Arial Narrow" w:hAnsi="Arial Narrow" w:cs="Times New Roman"/>
          <w:sz w:val="24"/>
          <w:szCs w:val="24"/>
        </w:rPr>
        <w:t>Το πράσινο υδρογόνο χρησιμοποιείται στη Βιομηχανία και συγκεκριμένα στη παραγωγή χάλυβα, στην τσιμεντοβιομηχανία, στη χημική βιομηχανία και στα διϋλιστήρια. Στις Μεταφορές οδικές με φορτηγά, λεωφορεία, στις σιδηροδρομικές και αεροπορικές μεταφορές. Στο τομέα της ναυτιλίας τα λιμάνια των ΗΑΕ επιδιώκουν να εξελιχθούν σε κόμβους ανεφοδιασμού πλοίων με πράσινη αμμωνία, υδρογόνο και συνθετικά καύσιμα.</w:t>
      </w:r>
    </w:p>
    <w:p w14:paraId="45733985" w14:textId="26803B6F" w:rsidR="00C12D4A" w:rsidRPr="006E6CDB" w:rsidRDefault="009D4BB2" w:rsidP="00E923A4">
      <w:pPr>
        <w:spacing w:before="120" w:after="120"/>
        <w:jc w:val="both"/>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18.1.11. </w:t>
      </w:r>
      <w:r w:rsidR="00C12D4A" w:rsidRPr="006E6CDB">
        <w:rPr>
          <w:rFonts w:ascii="Arial Narrow" w:hAnsi="Arial Narrow" w:cs="Times New Roman"/>
          <w:b/>
          <w:color w:val="548DD4" w:themeColor="text2" w:themeTint="99"/>
          <w:sz w:val="24"/>
          <w:szCs w:val="24"/>
        </w:rPr>
        <w:t>Οικονομικές Επιπτώσεις</w:t>
      </w:r>
    </w:p>
    <w:p w14:paraId="53ADCD95" w14:textId="77777777" w:rsidR="00B56DBE" w:rsidRDefault="00D03A05"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Οι εκτιμήσεις των κρατικών φορέων προβλέπουν: </w:t>
      </w:r>
      <w:r w:rsidR="00706F63">
        <w:rPr>
          <w:rFonts w:ascii="Arial Narrow" w:hAnsi="Arial Narrow" w:cs="Times New Roman"/>
          <w:sz w:val="24"/>
          <w:szCs w:val="24"/>
        </w:rPr>
        <w:t>οι επενδύσεις έως το 2030 θα αγγίξουν &gt;20 δις $</w:t>
      </w:r>
      <w:r w:rsidR="00B56DBE">
        <w:rPr>
          <w:rFonts w:ascii="Arial Narrow" w:hAnsi="Arial Narrow" w:cs="Times New Roman"/>
          <w:sz w:val="24"/>
          <w:szCs w:val="24"/>
        </w:rPr>
        <w:t xml:space="preserve"> και έως το 2050 &gt;100 δις $. Η παραγωγική ικανότητα έως το 2030 σε 1 με 2 εκατ. τόνους και έως το 2050 σε 15 εκατ. τόνους. Οι θέσεις εργασίας έως το 2030 δεκάδες χιλιάδες και έως το 2050 σε εκατοντάδες χιλιάδες και οι εξαγωγές έως το 2030 θα βαίνουν συνεχώς αυξανόμενες και έως το 2050 θα αποτελούν στρατηγικό ενεργειακό τομέα για την οικονομία των ΗΑΕ.</w:t>
      </w:r>
    </w:p>
    <w:p w14:paraId="19CA2727" w14:textId="3E1D2A47" w:rsidR="00B56DBE" w:rsidRPr="006E6CDB" w:rsidRDefault="009D4BB2" w:rsidP="00E923A4">
      <w:pPr>
        <w:spacing w:before="120" w:after="120"/>
        <w:jc w:val="both"/>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18.1.12. </w:t>
      </w:r>
      <w:r w:rsidR="00B56DBE" w:rsidRPr="006E6CDB">
        <w:rPr>
          <w:rFonts w:ascii="Arial Narrow" w:hAnsi="Arial Narrow" w:cs="Times New Roman"/>
          <w:b/>
          <w:color w:val="548DD4" w:themeColor="text2" w:themeTint="99"/>
          <w:sz w:val="24"/>
          <w:szCs w:val="24"/>
        </w:rPr>
        <w:t>Προκλήσεις</w:t>
      </w:r>
    </w:p>
    <w:p w14:paraId="4C37DED2" w14:textId="77777777" w:rsidR="001B0386" w:rsidRDefault="001B0386" w:rsidP="00E923A4">
      <w:pPr>
        <w:spacing w:before="120" w:after="120"/>
        <w:jc w:val="both"/>
        <w:rPr>
          <w:rFonts w:ascii="Arial Narrow" w:hAnsi="Arial Narrow" w:cs="Times New Roman"/>
          <w:sz w:val="24"/>
          <w:szCs w:val="24"/>
        </w:rPr>
      </w:pPr>
      <w:r>
        <w:rPr>
          <w:rFonts w:ascii="Arial Narrow" w:hAnsi="Arial Narrow" w:cs="Times New Roman"/>
          <w:sz w:val="24"/>
          <w:szCs w:val="24"/>
        </w:rPr>
        <w:t>Παρά τις σημαντικές οικονομικές προοπτικές, όπως αναφέρονται ανωτέρω, υπάρχουν και προκλήσεις όπως το κόστος παραγωγής με το πράσινο υδρογόνο να παραμένει ακριβότερο από το πετρέλαιο, το φ/α και το γκρί υδρογόνο. Στις υποδομές απαιτούνται αγωγοί, σταθμοί αποθήκευσης και εξειδικευμένα λιμάνια. Στο τομέα του ανταγωνισμού, ως κυριώτεροι ανταγωνιστές θεωρούνται η Σαουδική Αραβία, το Ομάν, η Αυστραλία και η Χιλή.</w:t>
      </w:r>
    </w:p>
    <w:p w14:paraId="367D04C3" w14:textId="1B5C3C36" w:rsidR="00997595" w:rsidRDefault="009D4BB2" w:rsidP="00E923A4">
      <w:pPr>
        <w:spacing w:before="120" w:after="120"/>
        <w:jc w:val="both"/>
        <w:rPr>
          <w:rFonts w:ascii="Arial Narrow" w:hAnsi="Arial Narrow" w:cs="Times New Roman"/>
          <w:sz w:val="24"/>
          <w:szCs w:val="24"/>
        </w:rPr>
      </w:pPr>
      <w:r>
        <w:rPr>
          <w:rFonts w:ascii="Arial Narrow" w:hAnsi="Arial Narrow" w:cs="Times New Roman"/>
          <w:b/>
          <w:color w:val="548DD4" w:themeColor="text2" w:themeTint="99"/>
          <w:sz w:val="24"/>
          <w:szCs w:val="24"/>
        </w:rPr>
        <w:t>18.1.13.</w:t>
      </w:r>
      <w:r w:rsidR="001B0386" w:rsidRPr="006E6CDB">
        <w:rPr>
          <w:rFonts w:ascii="Arial Narrow" w:hAnsi="Arial Narrow" w:cs="Times New Roman"/>
          <w:b/>
          <w:color w:val="548DD4" w:themeColor="text2" w:themeTint="99"/>
          <w:sz w:val="24"/>
          <w:szCs w:val="24"/>
        </w:rPr>
        <w:t xml:space="preserve"> Η θέση των ΗΑΕ στην Παγκόσμια Αγορά Υδρογόνου:</w:t>
      </w:r>
      <w:r w:rsidR="001B0386">
        <w:rPr>
          <w:rFonts w:ascii="Arial Narrow" w:hAnsi="Arial Narrow" w:cs="Times New Roman"/>
          <w:color w:val="548DD4" w:themeColor="text2" w:themeTint="99"/>
          <w:sz w:val="24"/>
          <w:szCs w:val="24"/>
        </w:rPr>
        <w:t xml:space="preserve"> </w:t>
      </w:r>
      <w:r w:rsidR="009D13B9">
        <w:rPr>
          <w:rFonts w:ascii="Arial Narrow" w:hAnsi="Arial Narrow" w:cs="Times New Roman"/>
          <w:sz w:val="24"/>
          <w:szCs w:val="24"/>
        </w:rPr>
        <w:t>τα ΗΑΕ συγκαταλέγονται</w:t>
      </w:r>
      <w:r w:rsidR="00997595">
        <w:rPr>
          <w:rFonts w:ascii="Arial Narrow" w:hAnsi="Arial Narrow" w:cs="Times New Roman"/>
          <w:sz w:val="24"/>
          <w:szCs w:val="24"/>
        </w:rPr>
        <w:t xml:space="preserve"> μεταξύ των πλέον δραστήριων χωρών παγκοσμίως στο τομέα του υδρογόνου. Ως βασικά πλεονεκτήματα εκτιμώνται η χαμηλό κόστος ηλιακής ενέργειας, η ισχυρή χρηματοδοτική δυνατότητα, οι ενεργειακές υποδομές παγκόσμιας κλάσεως, η στρατηγική γεωγραφική θέση μεταξύ Ευρώπης και Ασίας και η ισχυρή κρατική στήριξη.</w:t>
      </w:r>
    </w:p>
    <w:p w14:paraId="21FCB244" w14:textId="3C8E1866" w:rsidR="00997595" w:rsidRDefault="00997595" w:rsidP="00E923A4">
      <w:pPr>
        <w:spacing w:before="120" w:after="120"/>
        <w:jc w:val="both"/>
        <w:rPr>
          <w:rFonts w:ascii="Arial Narrow" w:hAnsi="Arial Narrow" w:cs="Times New Roman"/>
          <w:sz w:val="24"/>
          <w:szCs w:val="24"/>
        </w:rPr>
      </w:pPr>
      <w:r>
        <w:rPr>
          <w:rFonts w:ascii="Arial Narrow" w:hAnsi="Arial Narrow" w:cs="Times New Roman"/>
          <w:sz w:val="24"/>
          <w:szCs w:val="24"/>
        </w:rPr>
        <w:t>Στα συμπεράσματα αναφέρονται ότι το πράσινο υδρογόνο αναμένεται να αποτελέσει έναν από τους σημαντικότερους νέους κλάδους της οικονομίας των Ηνωμένων Αραβικών Εμιράτων κατά τις επόμενες δεκαετίες. Η χώρα επενδύει συστηματικά στη παραγωγή, αποθήκευση, μεταφορά και εξαγωγή υδρογόνου  με στόχο να εξελιχθεί σε παγκόσμια δύναμη της οικονομίας μηδενικών εκπομπών άνθρακα. Σε συνδυασμό με τις επενδύσεις στις Ανανεώσιμες Πηγές Ενέργειας, τη πυρηνική ένεργεια, τα δίκτυα ηλεκτρισμού και τις τεχνολογίες δέσμευσης άνθρακα, το πράσινο υδρογόνο αποτελεί κεντρικό πυλώνα του οράματος των ΗΑΕ για μια διαφοροποιημένη και βιώσιμη οικονομία έως το 2050.</w:t>
      </w:r>
    </w:p>
    <w:p w14:paraId="4F68FB93" w14:textId="77777777" w:rsidR="00C35680" w:rsidRDefault="00C35680" w:rsidP="00E923A4">
      <w:pPr>
        <w:spacing w:before="120" w:after="120"/>
        <w:jc w:val="both"/>
        <w:rPr>
          <w:rFonts w:ascii="Arial Narrow" w:hAnsi="Arial Narrow" w:cs="Times New Roman"/>
          <w:color w:val="548DD4" w:themeColor="text2" w:themeTint="99"/>
          <w:sz w:val="24"/>
          <w:szCs w:val="24"/>
        </w:rPr>
      </w:pPr>
    </w:p>
    <w:p w14:paraId="4C31C74A" w14:textId="0E95BDBA" w:rsidR="00C35680" w:rsidRPr="00205BE4" w:rsidRDefault="009D4BB2" w:rsidP="009D4BB2">
      <w:pPr>
        <w:spacing w:before="120" w:after="120"/>
        <w:jc w:val="center"/>
        <w:rPr>
          <w:rFonts w:ascii="Arial Narrow" w:hAnsi="Arial Narrow" w:cs="Times New Roman"/>
          <w:b/>
          <w:color w:val="548DD4" w:themeColor="text2" w:themeTint="99"/>
          <w:sz w:val="28"/>
          <w:szCs w:val="28"/>
        </w:rPr>
      </w:pPr>
      <w:r>
        <w:rPr>
          <w:rFonts w:ascii="Arial Narrow" w:hAnsi="Arial Narrow" w:cs="Times New Roman"/>
          <w:b/>
          <w:color w:val="548DD4" w:themeColor="text2" w:themeTint="99"/>
          <w:sz w:val="28"/>
          <w:szCs w:val="28"/>
        </w:rPr>
        <w:t xml:space="preserve">19. </w:t>
      </w:r>
      <w:r w:rsidR="00C35680" w:rsidRPr="00205BE4">
        <w:rPr>
          <w:rFonts w:ascii="Arial Narrow" w:hAnsi="Arial Narrow" w:cs="Times New Roman"/>
          <w:b/>
          <w:color w:val="548DD4" w:themeColor="text2" w:themeTint="99"/>
          <w:sz w:val="28"/>
          <w:szCs w:val="28"/>
        </w:rPr>
        <w:t>Ο ΤΟΜΕΑΣ ΤΗΣ ΜΕΤΑΠΟΙΗΣΗΣ ΣΤΑ ΗΑΕ</w:t>
      </w:r>
    </w:p>
    <w:p w14:paraId="4B45F48D" w14:textId="34BBE88E" w:rsidR="00C35680" w:rsidRPr="006E6CDB" w:rsidRDefault="009D4BB2" w:rsidP="00E923A4">
      <w:pPr>
        <w:spacing w:before="120" w:after="120"/>
        <w:jc w:val="both"/>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19.1. </w:t>
      </w:r>
      <w:r w:rsidR="00C35680" w:rsidRPr="006E6CDB">
        <w:rPr>
          <w:rFonts w:ascii="Arial Narrow" w:hAnsi="Arial Narrow" w:cs="Times New Roman"/>
          <w:b/>
          <w:color w:val="548DD4" w:themeColor="text2" w:themeTint="99"/>
          <w:sz w:val="24"/>
          <w:szCs w:val="24"/>
        </w:rPr>
        <w:t xml:space="preserve">Γενική Επισκόπηση </w:t>
      </w:r>
    </w:p>
    <w:p w14:paraId="1FC328FC" w14:textId="45395717" w:rsidR="007D77BE" w:rsidRDefault="00C532C2" w:rsidP="00E923A4">
      <w:pPr>
        <w:spacing w:before="120" w:after="120"/>
        <w:jc w:val="both"/>
        <w:rPr>
          <w:rFonts w:ascii="Arial Narrow" w:hAnsi="Arial Narrow" w:cs="Times New Roman"/>
          <w:sz w:val="24"/>
          <w:szCs w:val="24"/>
        </w:rPr>
      </w:pPr>
      <w:r>
        <w:rPr>
          <w:rFonts w:ascii="Arial Narrow" w:hAnsi="Arial Narrow" w:cs="Times New Roman"/>
          <w:sz w:val="24"/>
          <w:szCs w:val="24"/>
        </w:rPr>
        <w:t>Ο τομέας της μεταποίησης αποτελεί έναν από τους σημαντικότερους πυλώνες της στρατηγικής οικονομικής δραστηριοποίησης των ΗΑΕ, με στόχο τη μείωση της εξάρτησης από τα έσοδα υδρογονανθράκων και την ανάπτυξη</w:t>
      </w:r>
      <w:r w:rsidR="007D77BE">
        <w:rPr>
          <w:rFonts w:ascii="Arial Narrow" w:hAnsi="Arial Narrow" w:cs="Times New Roman"/>
          <w:sz w:val="24"/>
          <w:szCs w:val="24"/>
        </w:rPr>
        <w:t xml:space="preserve"> μιας ανταγωνιστικής βιομηχανικής οικονομίας υψηλής προστιθέμενης αξίας. Η Κυβέρνηση των ΗΑΕ έχει θέσει τη μεταποίηση στο επίκεντρο του εθνικού αναπτυξιακού συνδυασμού μέσω της στρατηγικής «</w:t>
      </w:r>
      <w:r w:rsidR="007D77BE">
        <w:rPr>
          <w:rFonts w:ascii="Arial Narrow" w:hAnsi="Arial Narrow" w:cs="Times New Roman"/>
          <w:sz w:val="24"/>
          <w:szCs w:val="24"/>
          <w:lang w:val="en-US"/>
        </w:rPr>
        <w:t>Operaton</w:t>
      </w:r>
      <w:r w:rsidR="007D77BE" w:rsidRPr="007D77BE">
        <w:rPr>
          <w:rFonts w:ascii="Arial Narrow" w:hAnsi="Arial Narrow" w:cs="Times New Roman"/>
          <w:sz w:val="24"/>
          <w:szCs w:val="24"/>
        </w:rPr>
        <w:t xml:space="preserve"> 300</w:t>
      </w:r>
      <w:r w:rsidR="007D77BE">
        <w:rPr>
          <w:rFonts w:ascii="Arial Narrow" w:hAnsi="Arial Narrow" w:cs="Times New Roman"/>
          <w:sz w:val="24"/>
          <w:szCs w:val="24"/>
          <w:lang w:val="en-US"/>
        </w:rPr>
        <w:t>bn</w:t>
      </w:r>
      <w:r w:rsidR="00695F53">
        <w:rPr>
          <w:rFonts w:ascii="Arial Narrow" w:hAnsi="Arial Narrow" w:cs="Times New Roman"/>
          <w:sz w:val="24"/>
          <w:szCs w:val="24"/>
        </w:rPr>
        <w:t xml:space="preserve">&gt;», η οποία αποσκοπεί στην αύξηση της συνεισφοράς του βιομηχανικού τομέα από 133 δις </w:t>
      </w:r>
      <w:r w:rsidR="00695F53">
        <w:rPr>
          <w:rFonts w:ascii="Arial Narrow" w:hAnsi="Arial Narrow" w:cs="Times New Roman"/>
          <w:sz w:val="24"/>
          <w:szCs w:val="24"/>
          <w:lang w:val="en-US"/>
        </w:rPr>
        <w:t>AED</w:t>
      </w:r>
      <w:r w:rsidR="00695F53" w:rsidRPr="00695F53">
        <w:rPr>
          <w:rFonts w:ascii="Arial Narrow" w:hAnsi="Arial Narrow" w:cs="Times New Roman"/>
          <w:sz w:val="24"/>
          <w:szCs w:val="24"/>
        </w:rPr>
        <w:t xml:space="preserve"> (</w:t>
      </w:r>
      <w:r w:rsidR="00695F53">
        <w:rPr>
          <w:rFonts w:ascii="Arial Narrow" w:hAnsi="Arial Narrow" w:cs="Times New Roman"/>
          <w:sz w:val="24"/>
          <w:szCs w:val="24"/>
          <w:lang w:val="en-US"/>
        </w:rPr>
        <w:t>N</w:t>
      </w:r>
      <w:r w:rsidR="002E5F29">
        <w:rPr>
          <w:rFonts w:ascii="Arial Narrow" w:hAnsi="Arial Narrow" w:cs="Times New Roman"/>
          <w:sz w:val="24"/>
          <w:szCs w:val="24"/>
        </w:rPr>
        <w:t xml:space="preserve">τίρχαμ) το 2021 σε 300 δις </w:t>
      </w:r>
      <w:r w:rsidR="002E5F29">
        <w:rPr>
          <w:rFonts w:ascii="Arial Narrow" w:hAnsi="Arial Narrow" w:cs="Times New Roman"/>
          <w:sz w:val="24"/>
          <w:szCs w:val="24"/>
          <w:lang w:val="en-US"/>
        </w:rPr>
        <w:t>AED</w:t>
      </w:r>
      <w:r w:rsidR="002E5F29" w:rsidRPr="002E5F29">
        <w:rPr>
          <w:rFonts w:ascii="Arial Narrow" w:hAnsi="Arial Narrow" w:cs="Times New Roman"/>
          <w:sz w:val="24"/>
          <w:szCs w:val="24"/>
        </w:rPr>
        <w:t xml:space="preserve"> (</w:t>
      </w:r>
      <w:r w:rsidR="002E5F29">
        <w:rPr>
          <w:rFonts w:ascii="Arial Narrow" w:hAnsi="Arial Narrow" w:cs="Times New Roman"/>
          <w:sz w:val="24"/>
          <w:szCs w:val="24"/>
        </w:rPr>
        <w:t>Ντίρχαμ) έως το 2031.</w:t>
      </w:r>
    </w:p>
    <w:p w14:paraId="044B0C9F" w14:textId="379A49F5" w:rsidR="002E5F29" w:rsidRPr="006E6CDB" w:rsidRDefault="009D4BB2" w:rsidP="00E923A4">
      <w:pPr>
        <w:spacing w:before="120" w:after="120"/>
        <w:jc w:val="both"/>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19.2. </w:t>
      </w:r>
      <w:r w:rsidR="002E5F29" w:rsidRPr="006E6CDB">
        <w:rPr>
          <w:rFonts w:ascii="Arial Narrow" w:hAnsi="Arial Narrow" w:cs="Times New Roman"/>
          <w:b/>
          <w:color w:val="548DD4" w:themeColor="text2" w:themeTint="99"/>
          <w:sz w:val="24"/>
          <w:szCs w:val="24"/>
        </w:rPr>
        <w:t>Μέγεθος και Συμβολή στην Οικονομία</w:t>
      </w:r>
    </w:p>
    <w:p w14:paraId="7855207D" w14:textId="77777777" w:rsidR="006D65D3" w:rsidRDefault="002E5F29"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Οι βασικοί δείκτες της μεταποίησης είναι η συμβολή του βιομηχανικού τομέα στο ΑΕΠ (2023), σε μέγεθος 205 δις </w:t>
      </w:r>
      <w:r>
        <w:rPr>
          <w:rFonts w:ascii="Arial Narrow" w:hAnsi="Arial Narrow" w:cs="Times New Roman"/>
          <w:sz w:val="24"/>
          <w:szCs w:val="24"/>
          <w:lang w:val="en-US"/>
        </w:rPr>
        <w:t>AED</w:t>
      </w:r>
      <w:r w:rsidRPr="002E5F29">
        <w:rPr>
          <w:rFonts w:ascii="Arial Narrow" w:hAnsi="Arial Narrow" w:cs="Times New Roman"/>
          <w:sz w:val="24"/>
          <w:szCs w:val="24"/>
        </w:rPr>
        <w:t xml:space="preserve"> </w:t>
      </w:r>
      <w:r w:rsidRPr="00B02F12">
        <w:rPr>
          <w:rFonts w:ascii="Arial Narrow" w:hAnsi="Arial Narrow" w:cs="Times New Roman"/>
          <w:sz w:val="24"/>
          <w:szCs w:val="24"/>
        </w:rPr>
        <w:t>(</w:t>
      </w:r>
      <w:r w:rsidR="00B02F12">
        <w:rPr>
          <w:rFonts w:ascii="Arial Narrow" w:hAnsi="Arial Narrow" w:cs="Times New Roman"/>
          <w:sz w:val="24"/>
          <w:szCs w:val="24"/>
        </w:rPr>
        <w:t xml:space="preserve">Ντίρχαμ), ποσοστό συμμετοχής 11%, στόχος για το 2031 είναι η συμβολή του βιομηχανικού τομέα να φθάσει έως τα 300 δις </w:t>
      </w:r>
      <w:r w:rsidR="00B02F12">
        <w:rPr>
          <w:rFonts w:ascii="Arial Narrow" w:hAnsi="Arial Narrow" w:cs="Times New Roman"/>
          <w:sz w:val="24"/>
          <w:szCs w:val="24"/>
          <w:lang w:val="en-US"/>
        </w:rPr>
        <w:t>AED</w:t>
      </w:r>
      <w:r w:rsidR="00B02F12" w:rsidRPr="00B02F12">
        <w:rPr>
          <w:rFonts w:ascii="Arial Narrow" w:hAnsi="Arial Narrow" w:cs="Times New Roman"/>
          <w:sz w:val="24"/>
          <w:szCs w:val="24"/>
        </w:rPr>
        <w:t xml:space="preserve"> (</w:t>
      </w:r>
      <w:r w:rsidR="00B02F12">
        <w:rPr>
          <w:rFonts w:ascii="Arial Narrow" w:hAnsi="Arial Narrow" w:cs="Times New Roman"/>
          <w:sz w:val="24"/>
          <w:szCs w:val="24"/>
        </w:rPr>
        <w:t xml:space="preserve">Ντίρχαμ), η προστιθέμενη αξία (2023) για τη μεταποίηση έφθασε στα 55,8 δις </w:t>
      </w:r>
      <w:r w:rsidR="00B02F12">
        <w:rPr>
          <w:rFonts w:ascii="Arial Narrow" w:hAnsi="Arial Narrow" w:cs="Times New Roman"/>
          <w:sz w:val="24"/>
          <w:szCs w:val="24"/>
          <w:lang w:val="en-US"/>
        </w:rPr>
        <w:t>AED</w:t>
      </w:r>
      <w:r w:rsidR="00B02F12" w:rsidRPr="00B02F12">
        <w:rPr>
          <w:rFonts w:ascii="Arial Narrow" w:hAnsi="Arial Narrow" w:cs="Times New Roman"/>
          <w:sz w:val="24"/>
          <w:szCs w:val="24"/>
        </w:rPr>
        <w:t xml:space="preserve"> </w:t>
      </w:r>
      <w:r w:rsidR="00B02F12" w:rsidRPr="006D65D3">
        <w:rPr>
          <w:rFonts w:ascii="Arial Narrow" w:hAnsi="Arial Narrow" w:cs="Times New Roman"/>
          <w:sz w:val="24"/>
          <w:szCs w:val="24"/>
        </w:rPr>
        <w:t>(</w:t>
      </w:r>
      <w:r w:rsidR="006D65D3">
        <w:rPr>
          <w:rFonts w:ascii="Arial Narrow" w:hAnsi="Arial Narrow" w:cs="Times New Roman"/>
          <w:sz w:val="24"/>
          <w:szCs w:val="24"/>
        </w:rPr>
        <w:t xml:space="preserve">Ντίρχαμ) και το μερίδιο της μεταποίησης στο ΑΕΠ ανέρχεται περίπου στο 9% με 10%. </w:t>
      </w:r>
    </w:p>
    <w:p w14:paraId="3B61747D" w14:textId="77777777" w:rsidR="002E538C" w:rsidRDefault="006D65D3"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Το 2023 η βιομηχανία συνέβαλε με περίπου 205 δις </w:t>
      </w:r>
      <w:r>
        <w:rPr>
          <w:rFonts w:ascii="Arial Narrow" w:hAnsi="Arial Narrow" w:cs="Times New Roman"/>
          <w:sz w:val="24"/>
          <w:szCs w:val="24"/>
          <w:lang w:val="en-US"/>
        </w:rPr>
        <w:t>AED</w:t>
      </w:r>
      <w:r w:rsidRPr="006D65D3">
        <w:rPr>
          <w:rFonts w:ascii="Arial Narrow" w:hAnsi="Arial Narrow" w:cs="Times New Roman"/>
          <w:sz w:val="24"/>
          <w:szCs w:val="24"/>
        </w:rPr>
        <w:t xml:space="preserve"> (</w:t>
      </w:r>
      <w:r>
        <w:rPr>
          <w:rFonts w:ascii="Arial Narrow" w:hAnsi="Arial Narrow" w:cs="Times New Roman"/>
          <w:sz w:val="24"/>
          <w:szCs w:val="24"/>
        </w:rPr>
        <w:t>Ντίρχαμ) στο ΑΕΠ, αντιπροσωπεύοντας το 11% της οικονομικής δραστηριότητας της χώρας. Η μεταποιητική προστιθέμενη αξία ανήλθε σε περίπου 55,8 δις $</w:t>
      </w:r>
      <w:r w:rsidR="006D6330">
        <w:rPr>
          <w:rFonts w:ascii="Arial Narrow" w:hAnsi="Arial Narrow" w:cs="Times New Roman"/>
          <w:sz w:val="24"/>
          <w:szCs w:val="24"/>
        </w:rPr>
        <w:t xml:space="preserve">, σημειώνοντας σημαντική αύξηση σε σχέση με τα προηγούμενα έτη. Παράλληλα, το συνολικό ΑΕΠ των ΗΑΕ έφθασε τα 1,9 τρις </w:t>
      </w:r>
      <w:r w:rsidR="006D6330">
        <w:rPr>
          <w:rFonts w:ascii="Arial Narrow" w:hAnsi="Arial Narrow" w:cs="Times New Roman"/>
          <w:sz w:val="24"/>
          <w:szCs w:val="24"/>
          <w:lang w:val="en-US"/>
        </w:rPr>
        <w:t>AED</w:t>
      </w:r>
      <w:r w:rsidR="006D6330" w:rsidRPr="002E538C">
        <w:rPr>
          <w:rFonts w:ascii="Arial Narrow" w:hAnsi="Arial Narrow" w:cs="Times New Roman"/>
          <w:sz w:val="24"/>
          <w:szCs w:val="24"/>
        </w:rPr>
        <w:t xml:space="preserve"> (</w:t>
      </w:r>
      <w:r w:rsidR="002E538C">
        <w:rPr>
          <w:rFonts w:ascii="Arial Narrow" w:hAnsi="Arial Narrow" w:cs="Times New Roman"/>
          <w:sz w:val="24"/>
          <w:szCs w:val="24"/>
        </w:rPr>
        <w:t>Ντίρχαμ) για το 2025, με τον μη πετρελαϊκό τομέα να αντιπροσωπεύει περίπου το 79% της οικονομίας, γεγονός που ενισχύει τη σημασία της μεταποίησης ως βασικού πυλώνα ανάπτυξης.</w:t>
      </w:r>
    </w:p>
    <w:p w14:paraId="2437B622" w14:textId="68D7B5BF" w:rsidR="002E538C" w:rsidRPr="006E6CDB" w:rsidRDefault="009D4BB2" w:rsidP="00E923A4">
      <w:pPr>
        <w:spacing w:before="120" w:after="120"/>
        <w:jc w:val="both"/>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19.3. </w:t>
      </w:r>
      <w:r w:rsidR="002E538C" w:rsidRPr="006E6CDB">
        <w:rPr>
          <w:rFonts w:ascii="Arial Narrow" w:hAnsi="Arial Narrow" w:cs="Times New Roman"/>
          <w:b/>
          <w:color w:val="548DD4" w:themeColor="text2" w:themeTint="99"/>
          <w:sz w:val="24"/>
          <w:szCs w:val="24"/>
        </w:rPr>
        <w:t>Γεωγραφική Κατανομή της Μεταποίησης</w:t>
      </w:r>
    </w:p>
    <w:p w14:paraId="50917B1D" w14:textId="77777777" w:rsidR="006A68C0" w:rsidRDefault="002E538C"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Εμιράτο του </w:t>
      </w:r>
      <w:r>
        <w:rPr>
          <w:rFonts w:ascii="Arial Narrow" w:hAnsi="Arial Narrow" w:cs="Times New Roman"/>
          <w:sz w:val="24"/>
          <w:szCs w:val="24"/>
          <w:lang w:val="en-US"/>
        </w:rPr>
        <w:t>Abu</w:t>
      </w:r>
      <w:r w:rsidRPr="00C2487A">
        <w:rPr>
          <w:rFonts w:ascii="Arial Narrow" w:hAnsi="Arial Narrow" w:cs="Times New Roman"/>
          <w:sz w:val="24"/>
          <w:szCs w:val="24"/>
        </w:rPr>
        <w:t xml:space="preserve"> </w:t>
      </w:r>
      <w:r>
        <w:rPr>
          <w:rFonts w:ascii="Arial Narrow" w:hAnsi="Arial Narrow" w:cs="Times New Roman"/>
          <w:sz w:val="24"/>
          <w:szCs w:val="24"/>
          <w:lang w:val="en-US"/>
        </w:rPr>
        <w:t>Dhabi</w:t>
      </w:r>
      <w:r w:rsidRPr="00C2487A">
        <w:rPr>
          <w:rFonts w:ascii="Arial Narrow" w:hAnsi="Arial Narrow" w:cs="Times New Roman"/>
          <w:sz w:val="24"/>
          <w:szCs w:val="24"/>
        </w:rPr>
        <w:t xml:space="preserve">: </w:t>
      </w:r>
      <w:r>
        <w:rPr>
          <w:rFonts w:ascii="Arial Narrow" w:hAnsi="Arial Narrow" w:cs="Times New Roman"/>
          <w:sz w:val="24"/>
          <w:szCs w:val="24"/>
        </w:rPr>
        <w:t xml:space="preserve">Το Εμιράτο του </w:t>
      </w:r>
      <w:r>
        <w:rPr>
          <w:rFonts w:ascii="Arial Narrow" w:hAnsi="Arial Narrow" w:cs="Times New Roman"/>
          <w:sz w:val="24"/>
          <w:szCs w:val="24"/>
          <w:lang w:val="en-US"/>
        </w:rPr>
        <w:t>Abu</w:t>
      </w:r>
      <w:r w:rsidRPr="00C2487A">
        <w:rPr>
          <w:rFonts w:ascii="Arial Narrow" w:hAnsi="Arial Narrow" w:cs="Times New Roman"/>
          <w:sz w:val="24"/>
          <w:szCs w:val="24"/>
        </w:rPr>
        <w:t xml:space="preserve"> </w:t>
      </w:r>
      <w:r>
        <w:rPr>
          <w:rFonts w:ascii="Arial Narrow" w:hAnsi="Arial Narrow" w:cs="Times New Roman"/>
          <w:sz w:val="24"/>
          <w:szCs w:val="24"/>
          <w:lang w:val="en-US"/>
        </w:rPr>
        <w:t>Dhabi</w:t>
      </w:r>
      <w:r w:rsidRPr="00C2487A">
        <w:rPr>
          <w:rFonts w:ascii="Arial Narrow" w:hAnsi="Arial Narrow" w:cs="Times New Roman"/>
          <w:sz w:val="24"/>
          <w:szCs w:val="24"/>
        </w:rPr>
        <w:t xml:space="preserve"> </w:t>
      </w:r>
      <w:r w:rsidR="00C2487A">
        <w:rPr>
          <w:rFonts w:ascii="Arial Narrow" w:hAnsi="Arial Narrow" w:cs="Times New Roman"/>
          <w:sz w:val="24"/>
          <w:szCs w:val="24"/>
        </w:rPr>
        <w:t>διαθέτει τη μεγαλύτερη βιομηχανική βάση της χώρας. Κύριες</w:t>
      </w:r>
      <w:r w:rsidR="00C2487A" w:rsidRPr="00C2487A">
        <w:rPr>
          <w:rFonts w:ascii="Arial Narrow" w:hAnsi="Arial Narrow" w:cs="Times New Roman"/>
          <w:sz w:val="24"/>
          <w:szCs w:val="24"/>
        </w:rPr>
        <w:t xml:space="preserve"> </w:t>
      </w:r>
      <w:r w:rsidR="00C2487A">
        <w:rPr>
          <w:rFonts w:ascii="Arial Narrow" w:hAnsi="Arial Narrow" w:cs="Times New Roman"/>
          <w:sz w:val="24"/>
          <w:szCs w:val="24"/>
        </w:rPr>
        <w:t>βιομηχανικές</w:t>
      </w:r>
      <w:r w:rsidR="00C2487A" w:rsidRPr="00C2487A">
        <w:rPr>
          <w:rFonts w:ascii="Arial Narrow" w:hAnsi="Arial Narrow" w:cs="Times New Roman"/>
          <w:sz w:val="24"/>
          <w:szCs w:val="24"/>
        </w:rPr>
        <w:t xml:space="preserve"> </w:t>
      </w:r>
      <w:r w:rsidR="00C2487A">
        <w:rPr>
          <w:rFonts w:ascii="Arial Narrow" w:hAnsi="Arial Narrow" w:cs="Times New Roman"/>
          <w:sz w:val="24"/>
          <w:szCs w:val="24"/>
        </w:rPr>
        <w:t>περιοχές</w:t>
      </w:r>
      <w:r w:rsidR="00C2487A" w:rsidRPr="00C2487A">
        <w:rPr>
          <w:rFonts w:ascii="Arial Narrow" w:hAnsi="Arial Narrow" w:cs="Times New Roman"/>
          <w:sz w:val="24"/>
          <w:szCs w:val="24"/>
        </w:rPr>
        <w:t xml:space="preserve"> </w:t>
      </w:r>
      <w:r w:rsidR="00C2487A">
        <w:rPr>
          <w:rFonts w:ascii="Arial Narrow" w:hAnsi="Arial Narrow" w:cs="Times New Roman"/>
          <w:sz w:val="24"/>
          <w:szCs w:val="24"/>
        </w:rPr>
        <w:t>είναι</w:t>
      </w:r>
      <w:r w:rsidR="00C2487A" w:rsidRPr="00C2487A">
        <w:rPr>
          <w:rFonts w:ascii="Arial Narrow" w:hAnsi="Arial Narrow" w:cs="Times New Roman"/>
          <w:sz w:val="24"/>
          <w:szCs w:val="24"/>
        </w:rPr>
        <w:t xml:space="preserve">: </w:t>
      </w:r>
      <w:r w:rsidR="00C2487A">
        <w:rPr>
          <w:rFonts w:ascii="Arial Narrow" w:hAnsi="Arial Narrow" w:cs="Times New Roman"/>
          <w:sz w:val="24"/>
          <w:szCs w:val="24"/>
          <w:lang w:val="en-US"/>
        </w:rPr>
        <w:t>Khalifa</w:t>
      </w:r>
      <w:r w:rsidR="00C2487A" w:rsidRPr="00C2487A">
        <w:rPr>
          <w:rFonts w:ascii="Arial Narrow" w:hAnsi="Arial Narrow" w:cs="Times New Roman"/>
          <w:sz w:val="24"/>
          <w:szCs w:val="24"/>
        </w:rPr>
        <w:t xml:space="preserve"> </w:t>
      </w:r>
      <w:r w:rsidR="00C2487A">
        <w:rPr>
          <w:rFonts w:ascii="Arial Narrow" w:hAnsi="Arial Narrow" w:cs="Times New Roman"/>
          <w:sz w:val="24"/>
          <w:szCs w:val="24"/>
          <w:lang w:val="en-US"/>
        </w:rPr>
        <w:t>Industrial</w:t>
      </w:r>
      <w:r w:rsidR="00C2487A" w:rsidRPr="00C2487A">
        <w:rPr>
          <w:rFonts w:ascii="Arial Narrow" w:hAnsi="Arial Narrow" w:cs="Times New Roman"/>
          <w:sz w:val="24"/>
          <w:szCs w:val="24"/>
        </w:rPr>
        <w:t xml:space="preserve"> </w:t>
      </w:r>
      <w:r w:rsidR="00C2487A">
        <w:rPr>
          <w:rFonts w:ascii="Arial Narrow" w:hAnsi="Arial Narrow" w:cs="Times New Roman"/>
          <w:sz w:val="24"/>
          <w:szCs w:val="24"/>
          <w:lang w:val="en-US"/>
        </w:rPr>
        <w:t>Zone</w:t>
      </w:r>
      <w:r w:rsidR="00C2487A" w:rsidRPr="00C2487A">
        <w:rPr>
          <w:rFonts w:ascii="Arial Narrow" w:hAnsi="Arial Narrow" w:cs="Times New Roman"/>
          <w:sz w:val="24"/>
          <w:szCs w:val="24"/>
        </w:rPr>
        <w:t xml:space="preserve"> </w:t>
      </w:r>
      <w:r w:rsidR="00C2487A">
        <w:rPr>
          <w:rFonts w:ascii="Arial Narrow" w:hAnsi="Arial Narrow" w:cs="Times New Roman"/>
          <w:sz w:val="24"/>
          <w:szCs w:val="24"/>
          <w:lang w:val="en-US"/>
        </w:rPr>
        <w:t>Abu</w:t>
      </w:r>
      <w:r w:rsidR="00C2487A" w:rsidRPr="00C2487A">
        <w:rPr>
          <w:rFonts w:ascii="Arial Narrow" w:hAnsi="Arial Narrow" w:cs="Times New Roman"/>
          <w:sz w:val="24"/>
          <w:szCs w:val="24"/>
        </w:rPr>
        <w:t xml:space="preserve"> </w:t>
      </w:r>
      <w:r w:rsidR="00C2487A">
        <w:rPr>
          <w:rFonts w:ascii="Arial Narrow" w:hAnsi="Arial Narrow" w:cs="Times New Roman"/>
          <w:sz w:val="24"/>
          <w:szCs w:val="24"/>
          <w:lang w:val="en-US"/>
        </w:rPr>
        <w:t>Dhabi</w:t>
      </w:r>
      <w:r w:rsidR="00C2487A" w:rsidRPr="00C2487A">
        <w:rPr>
          <w:rFonts w:ascii="Arial Narrow" w:hAnsi="Arial Narrow" w:cs="Times New Roman"/>
          <w:sz w:val="24"/>
          <w:szCs w:val="24"/>
        </w:rPr>
        <w:t xml:space="preserve"> (</w:t>
      </w:r>
      <w:r w:rsidR="00C2487A">
        <w:rPr>
          <w:rFonts w:ascii="Arial Narrow" w:hAnsi="Arial Narrow" w:cs="Times New Roman"/>
          <w:sz w:val="24"/>
          <w:szCs w:val="24"/>
          <w:lang w:val="en-US"/>
        </w:rPr>
        <w:t>KIZAD</w:t>
      </w:r>
      <w:r w:rsidR="00C2487A" w:rsidRPr="00C2487A">
        <w:rPr>
          <w:rFonts w:ascii="Arial Narrow" w:hAnsi="Arial Narrow" w:cs="Times New Roman"/>
          <w:sz w:val="24"/>
          <w:szCs w:val="24"/>
        </w:rPr>
        <w:t xml:space="preserve">), </w:t>
      </w:r>
      <w:r w:rsidR="00C2487A">
        <w:rPr>
          <w:rFonts w:ascii="Arial Narrow" w:hAnsi="Arial Narrow" w:cs="Times New Roman"/>
          <w:sz w:val="24"/>
          <w:szCs w:val="24"/>
          <w:lang w:val="en-US"/>
        </w:rPr>
        <w:t>Industrial</w:t>
      </w:r>
      <w:r w:rsidR="00C2487A" w:rsidRPr="00C2487A">
        <w:rPr>
          <w:rFonts w:ascii="Arial Narrow" w:hAnsi="Arial Narrow" w:cs="Times New Roman"/>
          <w:sz w:val="24"/>
          <w:szCs w:val="24"/>
        </w:rPr>
        <w:t xml:space="preserve"> </w:t>
      </w:r>
      <w:r w:rsidR="00C2487A">
        <w:rPr>
          <w:rFonts w:ascii="Arial Narrow" w:hAnsi="Arial Narrow" w:cs="Times New Roman"/>
          <w:sz w:val="24"/>
          <w:szCs w:val="24"/>
          <w:lang w:val="en-US"/>
        </w:rPr>
        <w:t>City</w:t>
      </w:r>
      <w:r w:rsidR="00C2487A" w:rsidRPr="00C2487A">
        <w:rPr>
          <w:rFonts w:ascii="Arial Narrow" w:hAnsi="Arial Narrow" w:cs="Times New Roman"/>
          <w:sz w:val="24"/>
          <w:szCs w:val="24"/>
        </w:rPr>
        <w:t xml:space="preserve"> </w:t>
      </w:r>
      <w:r w:rsidR="00C2487A">
        <w:rPr>
          <w:rFonts w:ascii="Arial Narrow" w:hAnsi="Arial Narrow" w:cs="Times New Roman"/>
          <w:sz w:val="24"/>
          <w:szCs w:val="24"/>
          <w:lang w:val="en-US"/>
        </w:rPr>
        <w:t>of</w:t>
      </w:r>
      <w:r w:rsidR="00C2487A" w:rsidRPr="00C2487A">
        <w:rPr>
          <w:rFonts w:ascii="Arial Narrow" w:hAnsi="Arial Narrow" w:cs="Times New Roman"/>
          <w:sz w:val="24"/>
          <w:szCs w:val="24"/>
        </w:rPr>
        <w:t xml:space="preserve"> </w:t>
      </w:r>
      <w:r w:rsidR="00C2487A">
        <w:rPr>
          <w:rFonts w:ascii="Arial Narrow" w:hAnsi="Arial Narrow" w:cs="Times New Roman"/>
          <w:sz w:val="24"/>
          <w:szCs w:val="24"/>
          <w:lang w:val="en-US"/>
        </w:rPr>
        <w:t>Abu</w:t>
      </w:r>
      <w:r w:rsidR="00C2487A" w:rsidRPr="00C2487A">
        <w:rPr>
          <w:rFonts w:ascii="Arial Narrow" w:hAnsi="Arial Narrow" w:cs="Times New Roman"/>
          <w:sz w:val="24"/>
          <w:szCs w:val="24"/>
        </w:rPr>
        <w:t xml:space="preserve"> </w:t>
      </w:r>
      <w:r w:rsidR="00C2487A">
        <w:rPr>
          <w:rFonts w:ascii="Arial Narrow" w:hAnsi="Arial Narrow" w:cs="Times New Roman"/>
          <w:sz w:val="24"/>
          <w:szCs w:val="24"/>
          <w:lang w:val="en-US"/>
        </w:rPr>
        <w:t>Dhabi</w:t>
      </w:r>
      <w:r w:rsidR="00C2487A" w:rsidRPr="00C2487A">
        <w:rPr>
          <w:rFonts w:ascii="Arial Narrow" w:hAnsi="Arial Narrow" w:cs="Times New Roman"/>
          <w:sz w:val="24"/>
          <w:szCs w:val="24"/>
        </w:rPr>
        <w:t xml:space="preserve">, </w:t>
      </w:r>
      <w:r w:rsidR="00C2487A">
        <w:rPr>
          <w:rFonts w:ascii="Arial Narrow" w:hAnsi="Arial Narrow" w:cs="Times New Roman"/>
          <w:sz w:val="24"/>
          <w:szCs w:val="24"/>
          <w:lang w:val="en-US"/>
        </w:rPr>
        <w:t>KEZAD</w:t>
      </w:r>
      <w:r w:rsidR="00C2487A" w:rsidRPr="00C2487A">
        <w:rPr>
          <w:rFonts w:ascii="Arial Narrow" w:hAnsi="Arial Narrow" w:cs="Times New Roman"/>
          <w:sz w:val="24"/>
          <w:szCs w:val="24"/>
        </w:rPr>
        <w:t xml:space="preserve"> </w:t>
      </w:r>
      <w:r w:rsidR="00C2487A">
        <w:rPr>
          <w:rFonts w:ascii="Arial Narrow" w:hAnsi="Arial Narrow" w:cs="Times New Roman"/>
          <w:sz w:val="24"/>
          <w:szCs w:val="24"/>
          <w:lang w:val="en-US"/>
        </w:rPr>
        <w:t>Group</w:t>
      </w:r>
      <w:r w:rsidR="00C2487A" w:rsidRPr="00C2487A">
        <w:rPr>
          <w:rFonts w:ascii="Arial Narrow" w:hAnsi="Arial Narrow" w:cs="Times New Roman"/>
          <w:sz w:val="24"/>
          <w:szCs w:val="24"/>
        </w:rPr>
        <w:t xml:space="preserve">. </w:t>
      </w:r>
      <w:r w:rsidR="006A68C0">
        <w:rPr>
          <w:rFonts w:ascii="Arial Narrow" w:hAnsi="Arial Narrow" w:cs="Times New Roman"/>
          <w:sz w:val="24"/>
          <w:szCs w:val="24"/>
        </w:rPr>
        <w:t>Κύριοι Κλάδοι μεταποίησης είναι αλουμίνιο, χάλυβας, πετροχημικά, αεροδιαστημική, αμυντική βιομηχανία και Τρόφιμα.</w:t>
      </w:r>
    </w:p>
    <w:p w14:paraId="791C8DBD" w14:textId="77777777" w:rsidR="002F5FE5" w:rsidRDefault="006A68C0"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Εμιράτο του Ντουμπάϊ: Το </w:t>
      </w:r>
      <w:r>
        <w:rPr>
          <w:rFonts w:ascii="Arial Narrow" w:hAnsi="Arial Narrow" w:cs="Times New Roman"/>
          <w:sz w:val="24"/>
          <w:szCs w:val="24"/>
          <w:lang w:val="en-US"/>
        </w:rPr>
        <w:t>Dubai</w:t>
      </w:r>
      <w:r w:rsidR="003F6587">
        <w:rPr>
          <w:rFonts w:ascii="Arial Narrow" w:hAnsi="Arial Narrow" w:cs="Times New Roman"/>
          <w:sz w:val="24"/>
          <w:szCs w:val="24"/>
        </w:rPr>
        <w:t xml:space="preserve"> λειτουργεί ως κέντρο ελαφριάς και εξαγωγικής μεταποίησης. Κύριες</w:t>
      </w:r>
      <w:r w:rsidR="003F6587" w:rsidRPr="003F6587">
        <w:rPr>
          <w:rFonts w:ascii="Arial Narrow" w:hAnsi="Arial Narrow" w:cs="Times New Roman"/>
          <w:sz w:val="24"/>
          <w:szCs w:val="24"/>
          <w:lang w:val="en-AE"/>
        </w:rPr>
        <w:t xml:space="preserve"> </w:t>
      </w:r>
      <w:r w:rsidR="003F6587">
        <w:rPr>
          <w:rFonts w:ascii="Arial Narrow" w:hAnsi="Arial Narrow" w:cs="Times New Roman"/>
          <w:sz w:val="24"/>
          <w:szCs w:val="24"/>
        </w:rPr>
        <w:t>περιοχές</w:t>
      </w:r>
      <w:r w:rsidR="003F6587" w:rsidRPr="003F6587">
        <w:rPr>
          <w:rFonts w:ascii="Arial Narrow" w:hAnsi="Arial Narrow" w:cs="Times New Roman"/>
          <w:sz w:val="24"/>
          <w:szCs w:val="24"/>
          <w:lang w:val="en-AE"/>
        </w:rPr>
        <w:t xml:space="preserve"> </w:t>
      </w:r>
      <w:r w:rsidR="003F6587">
        <w:rPr>
          <w:rFonts w:ascii="Arial Narrow" w:hAnsi="Arial Narrow" w:cs="Times New Roman"/>
          <w:sz w:val="24"/>
          <w:szCs w:val="24"/>
        </w:rPr>
        <w:t>είναι</w:t>
      </w:r>
      <w:r w:rsidR="003F6587" w:rsidRPr="003F6587">
        <w:rPr>
          <w:rFonts w:ascii="Arial Narrow" w:hAnsi="Arial Narrow" w:cs="Times New Roman"/>
          <w:sz w:val="24"/>
          <w:szCs w:val="24"/>
          <w:lang w:val="en-AE"/>
        </w:rPr>
        <w:t xml:space="preserve">: </w:t>
      </w:r>
      <w:r w:rsidR="003F6587">
        <w:rPr>
          <w:rFonts w:ascii="Arial Narrow" w:hAnsi="Arial Narrow" w:cs="Times New Roman"/>
          <w:sz w:val="24"/>
          <w:szCs w:val="24"/>
          <w:lang w:val="en-US"/>
        </w:rPr>
        <w:t xml:space="preserve">Jebel Ali Free Zone, Dubai Industrial City. </w:t>
      </w:r>
      <w:r w:rsidR="002F5FE5">
        <w:rPr>
          <w:rFonts w:ascii="Arial Narrow" w:hAnsi="Arial Narrow" w:cs="Times New Roman"/>
          <w:sz w:val="24"/>
          <w:szCs w:val="24"/>
        </w:rPr>
        <w:t xml:space="preserve">Βασικές δραστηριότητες είναι τρόφιμα &amp; ποτά, φαρμακευτικά προϊόντα, συσκευασία, πλαστικά, εξοπλισμός </w:t>
      </w:r>
      <w:r w:rsidR="002F5FE5">
        <w:rPr>
          <w:rFonts w:ascii="Arial Narrow" w:hAnsi="Arial Narrow" w:cs="Times New Roman"/>
          <w:sz w:val="24"/>
          <w:szCs w:val="24"/>
          <w:lang w:val="en-US"/>
        </w:rPr>
        <w:t>logistics</w:t>
      </w:r>
      <w:r w:rsidR="002F5FE5" w:rsidRPr="002F5FE5">
        <w:rPr>
          <w:rFonts w:ascii="Arial Narrow" w:hAnsi="Arial Narrow" w:cs="Times New Roman"/>
          <w:sz w:val="24"/>
          <w:szCs w:val="24"/>
        </w:rPr>
        <w:t xml:space="preserve"> &amp; </w:t>
      </w:r>
      <w:r w:rsidR="002F5FE5">
        <w:rPr>
          <w:rFonts w:ascii="Arial Narrow" w:hAnsi="Arial Narrow" w:cs="Times New Roman"/>
          <w:sz w:val="24"/>
          <w:szCs w:val="24"/>
        </w:rPr>
        <w:t>ηλεκτρολογικός εξοπλισμός.</w:t>
      </w:r>
    </w:p>
    <w:p w14:paraId="11D67B5A" w14:textId="77777777" w:rsidR="002F5FE5" w:rsidRDefault="002F5FE5" w:rsidP="00E923A4">
      <w:pPr>
        <w:spacing w:before="120" w:after="120"/>
        <w:jc w:val="both"/>
        <w:rPr>
          <w:rFonts w:ascii="Arial Narrow" w:hAnsi="Arial Narrow" w:cs="Times New Roman"/>
          <w:sz w:val="24"/>
          <w:szCs w:val="24"/>
        </w:rPr>
      </w:pPr>
      <w:r>
        <w:rPr>
          <w:rFonts w:ascii="Arial Narrow" w:hAnsi="Arial Narrow" w:cs="Times New Roman"/>
          <w:sz w:val="24"/>
          <w:szCs w:val="24"/>
        </w:rPr>
        <w:t xml:space="preserve">Βόρεια Εμιράτα: ιδιαίτερα σημαντικά είναι: </w:t>
      </w:r>
      <w:r>
        <w:rPr>
          <w:rFonts w:ascii="Arial Narrow" w:hAnsi="Arial Narrow" w:cs="Times New Roman"/>
          <w:sz w:val="24"/>
          <w:szCs w:val="24"/>
          <w:lang w:val="en-US"/>
        </w:rPr>
        <w:t>Ras</w:t>
      </w:r>
      <w:r w:rsidRPr="002F5FE5">
        <w:rPr>
          <w:rFonts w:ascii="Arial Narrow" w:hAnsi="Arial Narrow" w:cs="Times New Roman"/>
          <w:sz w:val="24"/>
          <w:szCs w:val="24"/>
        </w:rPr>
        <w:t xml:space="preserve"> </w:t>
      </w:r>
      <w:r>
        <w:rPr>
          <w:rFonts w:ascii="Arial Narrow" w:hAnsi="Arial Narrow" w:cs="Times New Roman"/>
          <w:sz w:val="24"/>
          <w:szCs w:val="24"/>
          <w:lang w:val="en-US"/>
        </w:rPr>
        <w:t>Al</w:t>
      </w:r>
      <w:r w:rsidRPr="002F5FE5">
        <w:rPr>
          <w:rFonts w:ascii="Arial Narrow" w:hAnsi="Arial Narrow" w:cs="Times New Roman"/>
          <w:sz w:val="24"/>
          <w:szCs w:val="24"/>
        </w:rPr>
        <w:t xml:space="preserve"> </w:t>
      </w:r>
      <w:r>
        <w:rPr>
          <w:rFonts w:ascii="Arial Narrow" w:hAnsi="Arial Narrow" w:cs="Times New Roman"/>
          <w:sz w:val="24"/>
          <w:szCs w:val="24"/>
          <w:lang w:val="en-US"/>
        </w:rPr>
        <w:t>Khaimah</w:t>
      </w:r>
      <w:r w:rsidRPr="002F5FE5">
        <w:rPr>
          <w:rFonts w:ascii="Arial Narrow" w:hAnsi="Arial Narrow" w:cs="Times New Roman"/>
          <w:sz w:val="24"/>
          <w:szCs w:val="24"/>
        </w:rPr>
        <w:t xml:space="preserve">, </w:t>
      </w:r>
      <w:r>
        <w:rPr>
          <w:rFonts w:ascii="Arial Narrow" w:hAnsi="Arial Narrow" w:cs="Times New Roman"/>
          <w:sz w:val="24"/>
          <w:szCs w:val="24"/>
          <w:lang w:val="en-US"/>
        </w:rPr>
        <w:t>Sharjah</w:t>
      </w:r>
      <w:r w:rsidRPr="002F5FE5">
        <w:rPr>
          <w:rFonts w:ascii="Arial Narrow" w:hAnsi="Arial Narrow" w:cs="Times New Roman"/>
          <w:sz w:val="24"/>
          <w:szCs w:val="24"/>
        </w:rPr>
        <w:t xml:space="preserve">, </w:t>
      </w:r>
      <w:r>
        <w:rPr>
          <w:rFonts w:ascii="Arial Narrow" w:hAnsi="Arial Narrow" w:cs="Times New Roman"/>
          <w:sz w:val="24"/>
          <w:szCs w:val="24"/>
          <w:lang w:val="en-US"/>
        </w:rPr>
        <w:t>Ajman</w:t>
      </w:r>
      <w:r w:rsidRPr="002F5FE5">
        <w:rPr>
          <w:rFonts w:ascii="Arial Narrow" w:hAnsi="Arial Narrow" w:cs="Times New Roman"/>
          <w:sz w:val="24"/>
          <w:szCs w:val="24"/>
        </w:rPr>
        <w:t xml:space="preserve">. </w:t>
      </w:r>
      <w:r>
        <w:rPr>
          <w:rFonts w:ascii="Arial Narrow" w:hAnsi="Arial Narrow" w:cs="Times New Roman"/>
          <w:sz w:val="24"/>
          <w:szCs w:val="24"/>
        </w:rPr>
        <w:t>Βασικές δραστηριότητες είναι τσιμέντο, δομικά υλικά, κεραμικά, χημικά προϊόντα και πλαστικά.</w:t>
      </w:r>
    </w:p>
    <w:p w14:paraId="051634E8" w14:textId="706E7487" w:rsidR="002F5FE5" w:rsidRPr="006E6CDB" w:rsidRDefault="009D4BB2" w:rsidP="00E923A4">
      <w:pPr>
        <w:spacing w:before="120" w:after="120"/>
        <w:jc w:val="both"/>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19.4. </w:t>
      </w:r>
      <w:r w:rsidR="002F5FE5" w:rsidRPr="006E6CDB">
        <w:rPr>
          <w:rFonts w:ascii="Arial Narrow" w:hAnsi="Arial Narrow" w:cs="Times New Roman"/>
          <w:b/>
          <w:color w:val="548DD4" w:themeColor="text2" w:themeTint="99"/>
          <w:sz w:val="24"/>
          <w:szCs w:val="24"/>
        </w:rPr>
        <w:t xml:space="preserve">Κύριοι Υποτομείς Μεταποίησης </w:t>
      </w:r>
    </w:p>
    <w:p w14:paraId="3240C5B3" w14:textId="77777777" w:rsidR="008C3FF8" w:rsidRDefault="004F0313" w:rsidP="00E923A4">
      <w:pPr>
        <w:spacing w:before="120" w:after="120"/>
        <w:jc w:val="both"/>
        <w:rPr>
          <w:rFonts w:ascii="Arial Narrow" w:hAnsi="Arial Narrow" w:cs="Times New Roman"/>
          <w:sz w:val="24"/>
          <w:szCs w:val="24"/>
        </w:rPr>
      </w:pPr>
      <w:r>
        <w:rPr>
          <w:rFonts w:ascii="Arial Narrow" w:hAnsi="Arial Narrow" w:cs="Times New Roman"/>
          <w:sz w:val="24"/>
          <w:szCs w:val="24"/>
        </w:rPr>
        <w:t>Α. Αλουμίνιο: η παραγωγή αλουμινίου αποτελεί τον σημαντικότερο μεταποιητικό κλάδο εκτός πετρελαίου. Κορυφαία εμιρατιή εταιρεία</w:t>
      </w:r>
      <w:r w:rsidR="008C3FF8" w:rsidRPr="008C3FF8">
        <w:rPr>
          <w:rFonts w:ascii="Arial Narrow" w:hAnsi="Arial Narrow" w:cs="Times New Roman"/>
          <w:sz w:val="24"/>
          <w:szCs w:val="24"/>
        </w:rPr>
        <w:t xml:space="preserve"> </w:t>
      </w:r>
      <w:r w:rsidR="008C3FF8">
        <w:rPr>
          <w:rFonts w:ascii="Arial Narrow" w:hAnsi="Arial Narrow" w:cs="Times New Roman"/>
          <w:sz w:val="24"/>
          <w:szCs w:val="24"/>
        </w:rPr>
        <w:t>«</w:t>
      </w:r>
      <w:r w:rsidR="008C3FF8">
        <w:rPr>
          <w:rFonts w:ascii="Arial Narrow" w:hAnsi="Arial Narrow" w:cs="Times New Roman"/>
          <w:sz w:val="24"/>
          <w:szCs w:val="24"/>
          <w:lang w:val="en-US"/>
        </w:rPr>
        <w:t>Emirates</w:t>
      </w:r>
      <w:r w:rsidR="008C3FF8" w:rsidRPr="008C3FF8">
        <w:rPr>
          <w:rFonts w:ascii="Arial Narrow" w:hAnsi="Arial Narrow" w:cs="Times New Roman"/>
          <w:sz w:val="24"/>
          <w:szCs w:val="24"/>
        </w:rPr>
        <w:t xml:space="preserve"> </w:t>
      </w:r>
      <w:r w:rsidR="008C3FF8">
        <w:rPr>
          <w:rFonts w:ascii="Arial Narrow" w:hAnsi="Arial Narrow" w:cs="Times New Roman"/>
          <w:sz w:val="24"/>
          <w:szCs w:val="24"/>
          <w:lang w:val="en-US"/>
        </w:rPr>
        <w:t>Global</w:t>
      </w:r>
      <w:r w:rsidR="008C3FF8" w:rsidRPr="008C3FF8">
        <w:rPr>
          <w:rFonts w:ascii="Arial Narrow" w:hAnsi="Arial Narrow" w:cs="Times New Roman"/>
          <w:sz w:val="24"/>
          <w:szCs w:val="24"/>
        </w:rPr>
        <w:t xml:space="preserve"> </w:t>
      </w:r>
      <w:r w:rsidR="008C3FF8">
        <w:rPr>
          <w:rFonts w:ascii="Arial Narrow" w:hAnsi="Arial Narrow" w:cs="Times New Roman"/>
          <w:sz w:val="24"/>
          <w:szCs w:val="24"/>
          <w:lang w:val="en-US"/>
        </w:rPr>
        <w:t>Aluminium</w:t>
      </w:r>
      <w:r w:rsidR="008C3FF8" w:rsidRPr="008C3FF8">
        <w:rPr>
          <w:rFonts w:ascii="Arial Narrow" w:hAnsi="Arial Narrow" w:cs="Times New Roman"/>
          <w:sz w:val="24"/>
          <w:szCs w:val="24"/>
        </w:rPr>
        <w:t xml:space="preserve"> (</w:t>
      </w:r>
      <w:r w:rsidR="008C3FF8">
        <w:rPr>
          <w:rFonts w:ascii="Arial Narrow" w:hAnsi="Arial Narrow" w:cs="Times New Roman"/>
          <w:sz w:val="24"/>
          <w:szCs w:val="24"/>
          <w:lang w:val="en-US"/>
        </w:rPr>
        <w:t>EGA</w:t>
      </w:r>
      <w:r w:rsidR="008C3FF8" w:rsidRPr="008C3FF8">
        <w:rPr>
          <w:rFonts w:ascii="Arial Narrow" w:hAnsi="Arial Narrow" w:cs="Times New Roman"/>
          <w:sz w:val="24"/>
          <w:szCs w:val="24"/>
        </w:rPr>
        <w:t xml:space="preserve">), </w:t>
      </w:r>
      <w:r w:rsidR="008C3FF8">
        <w:rPr>
          <w:rFonts w:ascii="Arial Narrow" w:hAnsi="Arial Narrow" w:cs="Times New Roman"/>
          <w:sz w:val="24"/>
          <w:szCs w:val="24"/>
        </w:rPr>
        <w:t>ένας από τους μεγαλύτερους παραγωγούς αλουμινίου παγκοσμίως.Σημαντικές εξαγωγές προς Ευρώπη, Ασία και Βόρεια Αμερική. Τροφοδοτεί κυρίως κλάδους αυτοκινητοβιομηχανίας, αεροναυπηγικής και κατασκευών.</w:t>
      </w:r>
    </w:p>
    <w:p w14:paraId="53321A6C" w14:textId="77777777" w:rsidR="009D4BB2" w:rsidRDefault="009D4BB2" w:rsidP="00E923A4">
      <w:pPr>
        <w:spacing w:before="120" w:after="120"/>
        <w:jc w:val="both"/>
        <w:rPr>
          <w:rFonts w:ascii="Arial Narrow" w:hAnsi="Arial Narrow" w:cs="Times New Roman"/>
          <w:sz w:val="24"/>
          <w:szCs w:val="24"/>
        </w:rPr>
      </w:pPr>
      <w:r>
        <w:rPr>
          <w:rFonts w:ascii="Arial Narrow" w:hAnsi="Arial Narrow" w:cs="Times New Roman"/>
          <w:b/>
          <w:color w:val="548DD4" w:themeColor="text2" w:themeTint="99"/>
          <w:sz w:val="24"/>
          <w:szCs w:val="24"/>
        </w:rPr>
        <w:t xml:space="preserve">19.5. </w:t>
      </w:r>
      <w:r w:rsidR="008C3FF8" w:rsidRPr="006E6CDB">
        <w:rPr>
          <w:rFonts w:ascii="Arial Narrow" w:hAnsi="Arial Narrow" w:cs="Times New Roman"/>
          <w:b/>
          <w:color w:val="548DD4" w:themeColor="text2" w:themeTint="99"/>
          <w:sz w:val="24"/>
          <w:szCs w:val="24"/>
        </w:rPr>
        <w:t>Χαλυβουργία &amp; Μεταλλουργία</w:t>
      </w:r>
      <w:r w:rsidR="008C3FF8">
        <w:rPr>
          <w:rFonts w:ascii="Arial Narrow" w:hAnsi="Arial Narrow" w:cs="Times New Roman"/>
          <w:color w:val="548DD4" w:themeColor="text2" w:themeTint="99"/>
          <w:sz w:val="24"/>
          <w:szCs w:val="24"/>
        </w:rPr>
        <w:t xml:space="preserve">: </w:t>
      </w:r>
      <w:r w:rsidR="008C3FF8">
        <w:rPr>
          <w:rFonts w:ascii="Arial Narrow" w:hAnsi="Arial Narrow" w:cs="Times New Roman"/>
          <w:sz w:val="24"/>
          <w:szCs w:val="24"/>
        </w:rPr>
        <w:t>κύριος παραγωγός η εταιρεία «</w:t>
      </w:r>
      <w:r w:rsidR="008C3FF8">
        <w:rPr>
          <w:rFonts w:ascii="Arial Narrow" w:hAnsi="Arial Narrow" w:cs="Times New Roman"/>
          <w:sz w:val="24"/>
          <w:szCs w:val="24"/>
          <w:lang w:val="en-US"/>
        </w:rPr>
        <w:t>Emirates</w:t>
      </w:r>
      <w:r w:rsidR="008C3FF8" w:rsidRPr="008C3FF8">
        <w:rPr>
          <w:rFonts w:ascii="Arial Narrow" w:hAnsi="Arial Narrow" w:cs="Times New Roman"/>
          <w:sz w:val="24"/>
          <w:szCs w:val="24"/>
        </w:rPr>
        <w:t xml:space="preserve"> </w:t>
      </w:r>
      <w:r w:rsidR="008C3FF8">
        <w:rPr>
          <w:rFonts w:ascii="Arial Narrow" w:hAnsi="Arial Narrow" w:cs="Times New Roman"/>
          <w:sz w:val="24"/>
          <w:szCs w:val="24"/>
          <w:lang w:val="en-US"/>
        </w:rPr>
        <w:t>Steel</w:t>
      </w:r>
      <w:r w:rsidR="008C3FF8" w:rsidRPr="008C3FF8">
        <w:rPr>
          <w:rFonts w:ascii="Arial Narrow" w:hAnsi="Arial Narrow" w:cs="Times New Roman"/>
          <w:sz w:val="24"/>
          <w:szCs w:val="24"/>
        </w:rPr>
        <w:t xml:space="preserve"> </w:t>
      </w:r>
      <w:r w:rsidR="008C3FF8">
        <w:rPr>
          <w:rFonts w:ascii="Arial Narrow" w:hAnsi="Arial Narrow" w:cs="Times New Roman"/>
          <w:sz w:val="24"/>
          <w:szCs w:val="24"/>
          <w:lang w:val="en-US"/>
        </w:rPr>
        <w:t>Arkan</w:t>
      </w:r>
      <w:r w:rsidR="008C3FF8">
        <w:rPr>
          <w:rFonts w:ascii="Arial Narrow" w:hAnsi="Arial Narrow" w:cs="Times New Roman"/>
          <w:sz w:val="24"/>
          <w:szCs w:val="24"/>
        </w:rPr>
        <w:t>». Η παραγωγή εστιάζεται στον χάλυβα κατασκευών, στους σωλήνες και στα βιομηχανικά μέταλλα. Η ανάπτυξη του κατασκευαστικού τομέα των ΗΑΕ και των χωρών του Κόλπου διατηρεί ισχυρή ζήτηση για μεταλλουργικά προϊόντα.</w:t>
      </w:r>
    </w:p>
    <w:p w14:paraId="1BDE6B89" w14:textId="76675F12" w:rsidR="00CD60E6" w:rsidRDefault="009D4BB2" w:rsidP="00E923A4">
      <w:pPr>
        <w:spacing w:before="120" w:after="120"/>
        <w:jc w:val="both"/>
        <w:rPr>
          <w:rFonts w:ascii="Arial Narrow" w:hAnsi="Arial Narrow" w:cs="Times New Roman"/>
          <w:sz w:val="24"/>
          <w:szCs w:val="24"/>
        </w:rPr>
      </w:pPr>
      <w:r>
        <w:rPr>
          <w:rFonts w:ascii="Arial Narrow" w:hAnsi="Arial Narrow" w:cs="Times New Roman"/>
          <w:b/>
          <w:color w:val="548DD4" w:themeColor="text2" w:themeTint="99"/>
          <w:sz w:val="24"/>
          <w:szCs w:val="24"/>
        </w:rPr>
        <w:t xml:space="preserve">19.6. </w:t>
      </w:r>
      <w:r w:rsidR="008C3FF8" w:rsidRPr="006E6CDB">
        <w:rPr>
          <w:rFonts w:ascii="Arial Narrow" w:hAnsi="Arial Narrow" w:cs="Times New Roman"/>
          <w:b/>
          <w:color w:val="548DD4" w:themeColor="text2" w:themeTint="99"/>
          <w:sz w:val="24"/>
          <w:szCs w:val="24"/>
        </w:rPr>
        <w:t>Πετροχημική Βιομηχανία</w:t>
      </w:r>
      <w:r w:rsidR="008C3FF8">
        <w:rPr>
          <w:rFonts w:ascii="Arial Narrow" w:hAnsi="Arial Narrow" w:cs="Times New Roman"/>
          <w:color w:val="548DD4" w:themeColor="text2" w:themeTint="99"/>
          <w:sz w:val="24"/>
          <w:szCs w:val="24"/>
        </w:rPr>
        <w:t xml:space="preserve">: </w:t>
      </w:r>
      <w:r w:rsidR="00CD60E6">
        <w:rPr>
          <w:rFonts w:ascii="Arial Narrow" w:hAnsi="Arial Narrow" w:cs="Times New Roman"/>
          <w:sz w:val="24"/>
          <w:szCs w:val="24"/>
        </w:rPr>
        <w:t>στρατηγικός τομέας λόγω αφθονίας φ/α και πετρελαίου. Παραγόμενα προϊόντα πολυαιθυλένιο, πολυπροπυλένιο, βιομηχανικά χημικά και πλαστικά. Οι βιομηχανίες πετροχημικών παραμένουν μεταξύ των κορυφαίων προτεραιοτήτων της βιομηχανικής στρατηγικής των ΗΑΕ.</w:t>
      </w:r>
    </w:p>
    <w:p w14:paraId="1111F03C" w14:textId="1F08DF45" w:rsidR="008C496A" w:rsidRDefault="009D4BB2" w:rsidP="00E923A4">
      <w:pPr>
        <w:spacing w:before="120" w:after="120"/>
        <w:jc w:val="both"/>
        <w:rPr>
          <w:rFonts w:ascii="Arial Narrow" w:hAnsi="Arial Narrow" w:cs="Times New Roman"/>
          <w:sz w:val="24"/>
          <w:szCs w:val="24"/>
        </w:rPr>
      </w:pPr>
      <w:r>
        <w:rPr>
          <w:rFonts w:ascii="Arial Narrow" w:hAnsi="Arial Narrow" w:cs="Times New Roman"/>
          <w:b/>
          <w:color w:val="548DD4" w:themeColor="text2" w:themeTint="99"/>
          <w:sz w:val="24"/>
          <w:szCs w:val="24"/>
        </w:rPr>
        <w:t xml:space="preserve">19.7. </w:t>
      </w:r>
      <w:r w:rsidR="00CD60E6" w:rsidRPr="006E6CDB">
        <w:rPr>
          <w:rFonts w:ascii="Arial Narrow" w:hAnsi="Arial Narrow" w:cs="Times New Roman"/>
          <w:b/>
          <w:color w:val="548DD4" w:themeColor="text2" w:themeTint="99"/>
          <w:sz w:val="24"/>
          <w:szCs w:val="24"/>
        </w:rPr>
        <w:t>Αεροδιαστημική Βιομηχανία</w:t>
      </w:r>
      <w:r w:rsidR="00CD60E6">
        <w:rPr>
          <w:rFonts w:ascii="Arial Narrow" w:hAnsi="Arial Narrow" w:cs="Times New Roman"/>
          <w:color w:val="548DD4" w:themeColor="text2" w:themeTint="99"/>
          <w:sz w:val="24"/>
          <w:szCs w:val="24"/>
        </w:rPr>
        <w:t xml:space="preserve">: </w:t>
      </w:r>
      <w:r w:rsidR="00CD60E6">
        <w:rPr>
          <w:rFonts w:ascii="Arial Narrow" w:hAnsi="Arial Narrow" w:cs="Times New Roman"/>
          <w:sz w:val="24"/>
          <w:szCs w:val="24"/>
        </w:rPr>
        <w:t>κύριος φορέας η εταιρεία «</w:t>
      </w:r>
      <w:r w:rsidR="00CD60E6">
        <w:rPr>
          <w:rFonts w:ascii="Arial Narrow" w:hAnsi="Arial Narrow" w:cs="Times New Roman"/>
          <w:sz w:val="24"/>
          <w:szCs w:val="24"/>
          <w:lang w:val="en-US"/>
        </w:rPr>
        <w:t>Strata</w:t>
      </w:r>
      <w:r w:rsidR="00CD60E6" w:rsidRPr="00CD60E6">
        <w:rPr>
          <w:rFonts w:ascii="Arial Narrow" w:hAnsi="Arial Narrow" w:cs="Times New Roman"/>
          <w:sz w:val="24"/>
          <w:szCs w:val="24"/>
        </w:rPr>
        <w:t xml:space="preserve"> </w:t>
      </w:r>
      <w:r w:rsidR="00CD60E6">
        <w:rPr>
          <w:rFonts w:ascii="Arial Narrow" w:hAnsi="Arial Narrow" w:cs="Times New Roman"/>
          <w:sz w:val="24"/>
          <w:szCs w:val="24"/>
          <w:lang w:val="en-US"/>
        </w:rPr>
        <w:t>Manufacturing</w:t>
      </w:r>
      <w:r w:rsidR="00CD60E6" w:rsidRPr="00CD60E6">
        <w:rPr>
          <w:rFonts w:ascii="Arial Narrow" w:hAnsi="Arial Narrow" w:cs="Times New Roman"/>
          <w:sz w:val="24"/>
          <w:szCs w:val="24"/>
        </w:rPr>
        <w:t xml:space="preserve"> </w:t>
      </w:r>
      <w:r w:rsidR="00CD60E6">
        <w:rPr>
          <w:rFonts w:ascii="Arial Narrow" w:hAnsi="Arial Narrow" w:cs="Times New Roman"/>
          <w:sz w:val="24"/>
          <w:szCs w:val="24"/>
          <w:lang w:val="en-US"/>
        </w:rPr>
        <w:t>PJSC</w:t>
      </w:r>
      <w:r w:rsidR="00CD60E6">
        <w:rPr>
          <w:rFonts w:ascii="Arial Narrow" w:hAnsi="Arial Narrow" w:cs="Times New Roman"/>
          <w:sz w:val="24"/>
          <w:szCs w:val="24"/>
        </w:rPr>
        <w:t xml:space="preserve">» με δραστηριότητες για συνθετικά υλικά αεροσκαφών, εξαρτήματα για </w:t>
      </w:r>
      <w:r w:rsidR="00CD60E6">
        <w:rPr>
          <w:rFonts w:ascii="Arial Narrow" w:hAnsi="Arial Narrow" w:cs="Times New Roman"/>
          <w:sz w:val="24"/>
          <w:szCs w:val="24"/>
          <w:lang w:val="en-US"/>
        </w:rPr>
        <w:t>Airbus</w:t>
      </w:r>
      <w:r w:rsidR="00CD60E6" w:rsidRPr="00CD60E6">
        <w:rPr>
          <w:rFonts w:ascii="Arial Narrow" w:hAnsi="Arial Narrow" w:cs="Times New Roman"/>
          <w:sz w:val="24"/>
          <w:szCs w:val="24"/>
        </w:rPr>
        <w:t xml:space="preserve"> &amp; </w:t>
      </w:r>
      <w:r w:rsidR="00CD60E6">
        <w:rPr>
          <w:rFonts w:ascii="Arial Narrow" w:hAnsi="Arial Narrow" w:cs="Times New Roman"/>
          <w:sz w:val="24"/>
          <w:szCs w:val="24"/>
          <w:lang w:val="en-US"/>
        </w:rPr>
        <w:t>Boeing</w:t>
      </w:r>
      <w:r w:rsidR="00CD60E6" w:rsidRPr="00CD60E6">
        <w:rPr>
          <w:rFonts w:ascii="Arial Narrow" w:hAnsi="Arial Narrow" w:cs="Times New Roman"/>
          <w:sz w:val="24"/>
          <w:szCs w:val="24"/>
        </w:rPr>
        <w:t xml:space="preserve">, </w:t>
      </w:r>
      <w:r w:rsidR="00CD60E6">
        <w:rPr>
          <w:rFonts w:ascii="Arial Narrow" w:hAnsi="Arial Narrow" w:cs="Times New Roman"/>
          <w:sz w:val="24"/>
          <w:szCs w:val="24"/>
        </w:rPr>
        <w:t xml:space="preserve">προηγμένες τεχνολογίες παραγωγής. Η εταιρεία </w:t>
      </w:r>
      <w:r w:rsidR="00CD60E6">
        <w:rPr>
          <w:rFonts w:ascii="Arial Narrow" w:hAnsi="Arial Narrow" w:cs="Times New Roman"/>
          <w:sz w:val="24"/>
          <w:szCs w:val="24"/>
          <w:lang w:val="en-US"/>
        </w:rPr>
        <w:t>Strata</w:t>
      </w:r>
      <w:r w:rsidR="00CD60E6" w:rsidRPr="008C496A">
        <w:rPr>
          <w:rFonts w:ascii="Arial Narrow" w:hAnsi="Arial Narrow" w:cs="Times New Roman"/>
          <w:sz w:val="24"/>
          <w:szCs w:val="24"/>
        </w:rPr>
        <w:t xml:space="preserve"> </w:t>
      </w:r>
      <w:r w:rsidR="00CD60E6">
        <w:rPr>
          <w:rFonts w:ascii="Arial Narrow" w:hAnsi="Arial Narrow" w:cs="Times New Roman"/>
          <w:sz w:val="24"/>
          <w:szCs w:val="24"/>
        </w:rPr>
        <w:t>αποτελεί ένα από τα πλέον ε</w:t>
      </w:r>
      <w:r w:rsidR="008C496A">
        <w:rPr>
          <w:rFonts w:ascii="Arial Narrow" w:hAnsi="Arial Narrow" w:cs="Times New Roman"/>
          <w:sz w:val="24"/>
          <w:szCs w:val="24"/>
        </w:rPr>
        <w:t xml:space="preserve">πιτυχημένα παραδείγματα βιομηχανίας υψηλής τεχνολογίας στη Μέση Ανατολή. </w:t>
      </w:r>
    </w:p>
    <w:p w14:paraId="6F54F8A0" w14:textId="190BE01E" w:rsidR="00ED2B5D" w:rsidRDefault="009D4BB2" w:rsidP="00E923A4">
      <w:pPr>
        <w:spacing w:before="120" w:after="120"/>
        <w:jc w:val="both"/>
        <w:rPr>
          <w:rFonts w:ascii="Arial Narrow" w:hAnsi="Arial Narrow" w:cs="Times New Roman"/>
          <w:sz w:val="24"/>
          <w:szCs w:val="24"/>
        </w:rPr>
      </w:pPr>
      <w:r>
        <w:rPr>
          <w:rFonts w:ascii="Arial Narrow" w:hAnsi="Arial Narrow" w:cs="Times New Roman"/>
          <w:b/>
          <w:color w:val="548DD4" w:themeColor="text2" w:themeTint="99"/>
          <w:sz w:val="24"/>
          <w:szCs w:val="24"/>
        </w:rPr>
        <w:t xml:space="preserve">19.20. </w:t>
      </w:r>
      <w:r w:rsidR="00ED2B5D" w:rsidRPr="006E6CDB">
        <w:rPr>
          <w:rFonts w:ascii="Arial Narrow" w:hAnsi="Arial Narrow" w:cs="Times New Roman"/>
          <w:b/>
          <w:color w:val="548DD4" w:themeColor="text2" w:themeTint="99"/>
          <w:sz w:val="24"/>
          <w:szCs w:val="24"/>
        </w:rPr>
        <w:t>Φαρμακευτική Βιομηχανία:</w:t>
      </w:r>
      <w:r w:rsidR="00ED2B5D">
        <w:rPr>
          <w:rFonts w:ascii="Arial Narrow" w:hAnsi="Arial Narrow" w:cs="Times New Roman"/>
          <w:color w:val="548DD4" w:themeColor="text2" w:themeTint="99"/>
          <w:sz w:val="24"/>
          <w:szCs w:val="24"/>
        </w:rPr>
        <w:t xml:space="preserve"> </w:t>
      </w:r>
      <w:r w:rsidR="00ED2B5D">
        <w:rPr>
          <w:rFonts w:ascii="Arial Narrow" w:hAnsi="Arial Narrow" w:cs="Times New Roman"/>
          <w:sz w:val="24"/>
          <w:szCs w:val="24"/>
        </w:rPr>
        <w:t xml:space="preserve">το κράτος προωθεί τη τοπική παραγωγή φαρμάκων, την βιοτεχνολογία και τον ιατροτεχνολογικό εξοπλισμό. Ο φαρμακευτικές εφαρμογές αποτελούν βασικό τομέα ανάπτυξης στο πλαίσιο του </w:t>
      </w:r>
      <w:r w:rsidR="00ED2B5D">
        <w:rPr>
          <w:rFonts w:ascii="Arial Narrow" w:hAnsi="Arial Narrow" w:cs="Times New Roman"/>
          <w:sz w:val="24"/>
          <w:szCs w:val="24"/>
          <w:lang w:val="en-US"/>
        </w:rPr>
        <w:t>Operation</w:t>
      </w:r>
      <w:r w:rsidR="00ED2B5D" w:rsidRPr="00ED2B5D">
        <w:rPr>
          <w:rFonts w:ascii="Arial Narrow" w:hAnsi="Arial Narrow" w:cs="Times New Roman"/>
          <w:sz w:val="24"/>
          <w:szCs w:val="24"/>
        </w:rPr>
        <w:t xml:space="preserve"> 300</w:t>
      </w:r>
      <w:r w:rsidR="00ED2B5D">
        <w:rPr>
          <w:rFonts w:ascii="Arial Narrow" w:hAnsi="Arial Narrow" w:cs="Times New Roman"/>
          <w:sz w:val="24"/>
          <w:szCs w:val="24"/>
          <w:lang w:val="en-US"/>
        </w:rPr>
        <w:t>bn</w:t>
      </w:r>
      <w:r w:rsidR="00ED2B5D" w:rsidRPr="00ED2B5D">
        <w:rPr>
          <w:rFonts w:ascii="Arial Narrow" w:hAnsi="Arial Narrow" w:cs="Times New Roman"/>
          <w:sz w:val="24"/>
          <w:szCs w:val="24"/>
        </w:rPr>
        <w:t>.</w:t>
      </w:r>
    </w:p>
    <w:p w14:paraId="69FE63C8" w14:textId="33301424" w:rsidR="00ED2B5D" w:rsidRDefault="009D4BB2" w:rsidP="00E923A4">
      <w:pPr>
        <w:spacing w:before="120" w:after="120"/>
        <w:jc w:val="both"/>
        <w:rPr>
          <w:rFonts w:ascii="Arial Narrow" w:hAnsi="Arial Narrow" w:cs="Times New Roman"/>
          <w:sz w:val="24"/>
          <w:szCs w:val="24"/>
        </w:rPr>
      </w:pPr>
      <w:r>
        <w:rPr>
          <w:rFonts w:ascii="Arial Narrow" w:hAnsi="Arial Narrow" w:cs="Times New Roman"/>
          <w:b/>
          <w:color w:val="548DD4" w:themeColor="text2" w:themeTint="99"/>
          <w:sz w:val="24"/>
          <w:szCs w:val="24"/>
        </w:rPr>
        <w:t xml:space="preserve">19.21. </w:t>
      </w:r>
      <w:r w:rsidR="00ED2B5D" w:rsidRPr="006E6CDB">
        <w:rPr>
          <w:rFonts w:ascii="Arial Narrow" w:hAnsi="Arial Narrow" w:cs="Times New Roman"/>
          <w:b/>
          <w:color w:val="548DD4" w:themeColor="text2" w:themeTint="99"/>
          <w:sz w:val="24"/>
          <w:szCs w:val="24"/>
        </w:rPr>
        <w:t xml:space="preserve"> Βιομηχανία Τροφίμων</w:t>
      </w:r>
      <w:r w:rsidR="00ED2B5D">
        <w:rPr>
          <w:rFonts w:ascii="Arial Narrow" w:hAnsi="Arial Narrow" w:cs="Times New Roman"/>
          <w:color w:val="548DD4" w:themeColor="text2" w:themeTint="99"/>
          <w:sz w:val="24"/>
          <w:szCs w:val="24"/>
        </w:rPr>
        <w:t xml:space="preserve">: </w:t>
      </w:r>
      <w:r w:rsidR="00ED2B5D">
        <w:rPr>
          <w:rFonts w:ascii="Arial Narrow" w:hAnsi="Arial Narrow" w:cs="Times New Roman"/>
          <w:sz w:val="24"/>
          <w:szCs w:val="24"/>
        </w:rPr>
        <w:t>βασικοί στόχοι είναι η ενίσχυση επισιτιστικής ασφάλειας, μείωσης εισαγωγών και ανάπτυξη εξαγωγών τροφίμων. Η παραγωγή περιλαμβάνει γαλακτοκομικά προϊόντα, αναψυκτικά, επεξεργασμένα τρόφιμα, κατεψυγμένα προϊόντα. Η βιομηχανία τροφίμων αποτελεί έναν από τους ταχύτερα αναπτυσσόμενους μεταποιητικούς κλάδους.</w:t>
      </w:r>
    </w:p>
    <w:p w14:paraId="1D5CE3C7" w14:textId="2B5BBC09" w:rsidR="00ED2B5D" w:rsidRDefault="009D4BB2" w:rsidP="00E923A4">
      <w:pPr>
        <w:spacing w:before="120" w:after="120"/>
        <w:jc w:val="both"/>
        <w:rPr>
          <w:rFonts w:ascii="Arial Narrow" w:hAnsi="Arial Narrow" w:cs="Times New Roman"/>
          <w:sz w:val="24"/>
          <w:szCs w:val="24"/>
        </w:rPr>
      </w:pPr>
      <w:r>
        <w:rPr>
          <w:rFonts w:ascii="Arial Narrow" w:hAnsi="Arial Narrow" w:cs="Times New Roman"/>
          <w:b/>
          <w:color w:val="548DD4" w:themeColor="text2" w:themeTint="99"/>
          <w:sz w:val="24"/>
          <w:szCs w:val="24"/>
        </w:rPr>
        <w:t xml:space="preserve">19.22. </w:t>
      </w:r>
      <w:r w:rsidR="00ED2B5D" w:rsidRPr="006E6CDB">
        <w:rPr>
          <w:rFonts w:ascii="Arial Narrow" w:hAnsi="Arial Narrow" w:cs="Times New Roman"/>
          <w:b/>
          <w:color w:val="548DD4" w:themeColor="text2" w:themeTint="99"/>
          <w:sz w:val="24"/>
          <w:szCs w:val="24"/>
        </w:rPr>
        <w:t xml:space="preserve">Εθνική Βιομηχανική Στρατηγική </w:t>
      </w:r>
      <w:r w:rsidR="00ED2B5D" w:rsidRPr="006E6CDB">
        <w:rPr>
          <w:rFonts w:ascii="Arial Narrow" w:hAnsi="Arial Narrow" w:cs="Times New Roman"/>
          <w:b/>
          <w:color w:val="548DD4" w:themeColor="text2" w:themeTint="99"/>
          <w:sz w:val="24"/>
          <w:szCs w:val="24"/>
          <w:lang w:val="en-US"/>
        </w:rPr>
        <w:t>Operation</w:t>
      </w:r>
      <w:r w:rsidR="00ED2B5D" w:rsidRPr="006E6CDB">
        <w:rPr>
          <w:rFonts w:ascii="Arial Narrow" w:hAnsi="Arial Narrow" w:cs="Times New Roman"/>
          <w:b/>
          <w:color w:val="548DD4" w:themeColor="text2" w:themeTint="99"/>
          <w:sz w:val="24"/>
          <w:szCs w:val="24"/>
        </w:rPr>
        <w:t xml:space="preserve"> 300</w:t>
      </w:r>
      <w:r w:rsidR="00ED2B5D" w:rsidRPr="006E6CDB">
        <w:rPr>
          <w:rFonts w:ascii="Arial Narrow" w:hAnsi="Arial Narrow" w:cs="Times New Roman"/>
          <w:b/>
          <w:color w:val="548DD4" w:themeColor="text2" w:themeTint="99"/>
          <w:sz w:val="24"/>
          <w:szCs w:val="24"/>
          <w:lang w:val="en-US"/>
        </w:rPr>
        <w:t>bn</w:t>
      </w:r>
      <w:r w:rsidR="00ED2B5D" w:rsidRPr="006E6CDB">
        <w:rPr>
          <w:rFonts w:ascii="Arial Narrow" w:hAnsi="Arial Narrow" w:cs="Times New Roman"/>
          <w:b/>
          <w:color w:val="548DD4" w:themeColor="text2" w:themeTint="99"/>
          <w:sz w:val="24"/>
          <w:szCs w:val="24"/>
        </w:rPr>
        <w:t xml:space="preserve"> – Υπουργείο Βιομηχανίας &amp; Προηγμένων Τεχνολογιών (</w:t>
      </w:r>
      <w:r w:rsidR="00ED2B5D" w:rsidRPr="006E6CDB">
        <w:rPr>
          <w:rFonts w:ascii="Arial Narrow" w:hAnsi="Arial Narrow" w:cs="Times New Roman"/>
          <w:b/>
          <w:color w:val="548DD4" w:themeColor="text2" w:themeTint="99"/>
          <w:sz w:val="24"/>
          <w:szCs w:val="24"/>
          <w:lang w:val="en-US"/>
        </w:rPr>
        <w:t>Ministry</w:t>
      </w:r>
      <w:r w:rsidR="00ED2B5D" w:rsidRPr="006E6CDB">
        <w:rPr>
          <w:rFonts w:ascii="Arial Narrow" w:hAnsi="Arial Narrow" w:cs="Times New Roman"/>
          <w:b/>
          <w:color w:val="548DD4" w:themeColor="text2" w:themeTint="99"/>
          <w:sz w:val="24"/>
          <w:szCs w:val="24"/>
        </w:rPr>
        <w:t xml:space="preserve"> </w:t>
      </w:r>
      <w:r w:rsidR="00ED2B5D" w:rsidRPr="006E6CDB">
        <w:rPr>
          <w:rFonts w:ascii="Arial Narrow" w:hAnsi="Arial Narrow" w:cs="Times New Roman"/>
          <w:b/>
          <w:color w:val="548DD4" w:themeColor="text2" w:themeTint="99"/>
          <w:sz w:val="24"/>
          <w:szCs w:val="24"/>
          <w:lang w:val="en-US"/>
        </w:rPr>
        <w:t>of</w:t>
      </w:r>
      <w:r w:rsidR="00ED2B5D" w:rsidRPr="006E6CDB">
        <w:rPr>
          <w:rFonts w:ascii="Arial Narrow" w:hAnsi="Arial Narrow" w:cs="Times New Roman"/>
          <w:b/>
          <w:color w:val="548DD4" w:themeColor="text2" w:themeTint="99"/>
          <w:sz w:val="24"/>
          <w:szCs w:val="24"/>
        </w:rPr>
        <w:t xml:space="preserve"> </w:t>
      </w:r>
      <w:r w:rsidR="00ED2B5D" w:rsidRPr="006E6CDB">
        <w:rPr>
          <w:rFonts w:ascii="Arial Narrow" w:hAnsi="Arial Narrow" w:cs="Times New Roman"/>
          <w:b/>
          <w:color w:val="548DD4" w:themeColor="text2" w:themeTint="99"/>
          <w:sz w:val="24"/>
          <w:szCs w:val="24"/>
          <w:lang w:val="en-US"/>
        </w:rPr>
        <w:t>Industry</w:t>
      </w:r>
      <w:r w:rsidR="00ED2B5D" w:rsidRPr="006E6CDB">
        <w:rPr>
          <w:rFonts w:ascii="Arial Narrow" w:hAnsi="Arial Narrow" w:cs="Times New Roman"/>
          <w:b/>
          <w:color w:val="548DD4" w:themeColor="text2" w:themeTint="99"/>
          <w:sz w:val="24"/>
          <w:szCs w:val="24"/>
        </w:rPr>
        <w:t xml:space="preserve"> </w:t>
      </w:r>
      <w:r w:rsidR="00ED2B5D" w:rsidRPr="006E6CDB">
        <w:rPr>
          <w:rFonts w:ascii="Arial Narrow" w:hAnsi="Arial Narrow" w:cs="Times New Roman"/>
          <w:b/>
          <w:color w:val="548DD4" w:themeColor="text2" w:themeTint="99"/>
          <w:sz w:val="24"/>
          <w:szCs w:val="24"/>
          <w:lang w:val="en-US"/>
        </w:rPr>
        <w:t>and</w:t>
      </w:r>
      <w:r w:rsidR="00ED2B5D" w:rsidRPr="006E6CDB">
        <w:rPr>
          <w:rFonts w:ascii="Arial Narrow" w:hAnsi="Arial Narrow" w:cs="Times New Roman"/>
          <w:b/>
          <w:color w:val="548DD4" w:themeColor="text2" w:themeTint="99"/>
          <w:sz w:val="24"/>
          <w:szCs w:val="24"/>
        </w:rPr>
        <w:t xml:space="preserve"> </w:t>
      </w:r>
      <w:r w:rsidR="00ED2B5D" w:rsidRPr="006E6CDB">
        <w:rPr>
          <w:rFonts w:ascii="Arial Narrow" w:hAnsi="Arial Narrow" w:cs="Times New Roman"/>
          <w:b/>
          <w:color w:val="548DD4" w:themeColor="text2" w:themeTint="99"/>
          <w:sz w:val="24"/>
          <w:szCs w:val="24"/>
          <w:lang w:val="en-US"/>
        </w:rPr>
        <w:t>Advanced</w:t>
      </w:r>
      <w:r w:rsidR="00ED2B5D" w:rsidRPr="006E6CDB">
        <w:rPr>
          <w:rFonts w:ascii="Arial Narrow" w:hAnsi="Arial Narrow" w:cs="Times New Roman"/>
          <w:b/>
          <w:color w:val="548DD4" w:themeColor="text2" w:themeTint="99"/>
          <w:sz w:val="24"/>
          <w:szCs w:val="24"/>
        </w:rPr>
        <w:t xml:space="preserve"> </w:t>
      </w:r>
      <w:r w:rsidR="00ED2B5D" w:rsidRPr="006E6CDB">
        <w:rPr>
          <w:rFonts w:ascii="Arial Narrow" w:hAnsi="Arial Narrow" w:cs="Times New Roman"/>
          <w:b/>
          <w:color w:val="548DD4" w:themeColor="text2" w:themeTint="99"/>
          <w:sz w:val="24"/>
          <w:szCs w:val="24"/>
          <w:lang w:val="en-US"/>
        </w:rPr>
        <w:t>Technology</w:t>
      </w:r>
      <w:r w:rsidR="00ED2B5D" w:rsidRPr="006E6CDB">
        <w:rPr>
          <w:rFonts w:ascii="Arial Narrow" w:hAnsi="Arial Narrow" w:cs="Times New Roman"/>
          <w:b/>
          <w:color w:val="548DD4" w:themeColor="text2" w:themeTint="99"/>
          <w:sz w:val="24"/>
          <w:szCs w:val="24"/>
        </w:rPr>
        <w:t xml:space="preserve"> (</w:t>
      </w:r>
      <w:r w:rsidR="00ED2B5D" w:rsidRPr="006E6CDB">
        <w:rPr>
          <w:rFonts w:ascii="Arial Narrow" w:hAnsi="Arial Narrow" w:cs="Times New Roman"/>
          <w:b/>
          <w:color w:val="548DD4" w:themeColor="text2" w:themeTint="99"/>
          <w:sz w:val="24"/>
          <w:szCs w:val="24"/>
          <w:lang w:val="en-US"/>
        </w:rPr>
        <w:t>MoIAT</w:t>
      </w:r>
      <w:r w:rsidR="00ED2B5D" w:rsidRPr="006E6CDB">
        <w:rPr>
          <w:rFonts w:ascii="Arial Narrow" w:hAnsi="Arial Narrow" w:cs="Times New Roman"/>
          <w:b/>
          <w:color w:val="548DD4" w:themeColor="text2" w:themeTint="99"/>
          <w:sz w:val="24"/>
          <w:szCs w:val="24"/>
        </w:rPr>
        <w:t>).</w:t>
      </w:r>
      <w:r w:rsidR="00ED2B5D" w:rsidRPr="00ED2B5D">
        <w:rPr>
          <w:rFonts w:ascii="Arial Narrow" w:hAnsi="Arial Narrow" w:cs="Times New Roman"/>
          <w:color w:val="548DD4" w:themeColor="text2" w:themeTint="99"/>
          <w:sz w:val="24"/>
          <w:szCs w:val="24"/>
        </w:rPr>
        <w:t xml:space="preserve"> </w:t>
      </w:r>
      <w:r w:rsidR="00ED2B5D">
        <w:rPr>
          <w:rFonts w:ascii="Arial Narrow" w:hAnsi="Arial Narrow" w:cs="Times New Roman"/>
          <w:sz w:val="24"/>
          <w:szCs w:val="24"/>
          <w:lang w:val="en-US"/>
        </w:rPr>
        <w:t>O</w:t>
      </w:r>
      <w:r w:rsidR="00ED2B5D">
        <w:rPr>
          <w:rFonts w:ascii="Arial Narrow" w:hAnsi="Arial Narrow" w:cs="Times New Roman"/>
          <w:sz w:val="24"/>
          <w:szCs w:val="24"/>
        </w:rPr>
        <w:t>ι έξη βασικοί άξονες της στρατηγικής είναι: προσέλκυση επενδύσεων, ανάπτυξη προηγμένων τεχνολογιών, ενίσχυση εξαγωγών, αύξηση εγχώριας προστιθέμενης αξίας (</w:t>
      </w:r>
      <w:r w:rsidR="00ED2B5D">
        <w:rPr>
          <w:rFonts w:ascii="Arial Narrow" w:hAnsi="Arial Narrow" w:cs="Times New Roman"/>
          <w:sz w:val="24"/>
          <w:szCs w:val="24"/>
          <w:lang w:val="en-US"/>
        </w:rPr>
        <w:t>IVC</w:t>
      </w:r>
      <w:r w:rsidR="00ED2B5D" w:rsidRPr="00ED2B5D">
        <w:rPr>
          <w:rFonts w:ascii="Arial Narrow" w:hAnsi="Arial Narrow" w:cs="Times New Roman"/>
          <w:sz w:val="24"/>
          <w:szCs w:val="24"/>
        </w:rPr>
        <w:t>)</w:t>
      </w:r>
      <w:r w:rsidR="00ED2B5D">
        <w:rPr>
          <w:rFonts w:ascii="Arial Narrow" w:hAnsi="Arial Narrow" w:cs="Times New Roman"/>
          <w:sz w:val="24"/>
          <w:szCs w:val="24"/>
        </w:rPr>
        <w:t xml:space="preserve">, ανάπτυξη ανθρώπινου δυναμικού, βιώσιμη βιομηχανική ανάπτυξη. </w:t>
      </w:r>
    </w:p>
    <w:p w14:paraId="6901601D" w14:textId="34F1F246" w:rsidR="00153451" w:rsidRDefault="009D4BB2" w:rsidP="00E923A4">
      <w:pPr>
        <w:spacing w:before="120" w:after="120"/>
        <w:jc w:val="both"/>
        <w:rPr>
          <w:rFonts w:ascii="Arial Narrow" w:hAnsi="Arial Narrow" w:cs="Times New Roman"/>
          <w:sz w:val="24"/>
          <w:szCs w:val="24"/>
        </w:rPr>
      </w:pPr>
      <w:r>
        <w:rPr>
          <w:rFonts w:ascii="Arial Narrow" w:hAnsi="Arial Narrow" w:cs="Times New Roman"/>
          <w:b/>
          <w:color w:val="548DD4" w:themeColor="text2" w:themeTint="99"/>
          <w:sz w:val="24"/>
          <w:szCs w:val="24"/>
        </w:rPr>
        <w:t xml:space="preserve">19.23. </w:t>
      </w:r>
      <w:r w:rsidR="004E15DA" w:rsidRPr="006E6CDB">
        <w:rPr>
          <w:rFonts w:ascii="Arial Narrow" w:hAnsi="Arial Narrow" w:cs="Times New Roman"/>
          <w:b/>
          <w:color w:val="548DD4" w:themeColor="text2" w:themeTint="99"/>
          <w:sz w:val="24"/>
          <w:szCs w:val="24"/>
        </w:rPr>
        <w:t>Ξένες Επενδύσεις στη Μεταποίηση</w:t>
      </w:r>
      <w:r w:rsidR="004E15DA">
        <w:rPr>
          <w:rFonts w:ascii="Arial Narrow" w:hAnsi="Arial Narrow" w:cs="Times New Roman"/>
          <w:color w:val="548DD4" w:themeColor="text2" w:themeTint="99"/>
          <w:sz w:val="24"/>
          <w:szCs w:val="24"/>
        </w:rPr>
        <w:t xml:space="preserve">: </w:t>
      </w:r>
      <w:r w:rsidR="00366151">
        <w:rPr>
          <w:rFonts w:ascii="Arial Narrow" w:hAnsi="Arial Narrow" w:cs="Times New Roman"/>
          <w:sz w:val="24"/>
          <w:szCs w:val="24"/>
        </w:rPr>
        <w:t xml:space="preserve">οι κύριοι επενδυτές προέρχονται από Κίνα, Ινδία, ΗΠΑ, Γερμανία, Νότιο Κορέα και Ιαπωνία. Στα πλεονεκτήματα για τα ΗΑΕ καταγράφονται φορολογικά κίνητρα, ελεύθερες οικονομικές ζώνες, σύγχρονα λιμάνια, ισχυρό δίκτυο </w:t>
      </w:r>
      <w:r w:rsidR="00153451">
        <w:rPr>
          <w:rFonts w:ascii="Arial Narrow" w:hAnsi="Arial Narrow" w:cs="Times New Roman"/>
          <w:sz w:val="24"/>
          <w:szCs w:val="24"/>
          <w:lang w:val="en-US"/>
        </w:rPr>
        <w:t>logistics</w:t>
      </w:r>
      <w:r w:rsidR="00153451" w:rsidRPr="00153451">
        <w:rPr>
          <w:rFonts w:ascii="Arial Narrow" w:hAnsi="Arial Narrow" w:cs="Times New Roman"/>
          <w:sz w:val="24"/>
          <w:szCs w:val="24"/>
        </w:rPr>
        <w:t xml:space="preserve">, </w:t>
      </w:r>
      <w:r w:rsidR="00153451">
        <w:rPr>
          <w:rFonts w:ascii="Arial Narrow" w:hAnsi="Arial Narrow" w:cs="Times New Roman"/>
          <w:sz w:val="24"/>
          <w:szCs w:val="24"/>
        </w:rPr>
        <w:t>πρόσβαση σε αγορές Μέσης Ανατολής, Ασίας και Αφρικής.</w:t>
      </w:r>
    </w:p>
    <w:p w14:paraId="705B10A4" w14:textId="388C7534" w:rsidR="00153451" w:rsidRDefault="009D4BB2" w:rsidP="00E923A4">
      <w:pPr>
        <w:spacing w:before="120" w:after="120"/>
        <w:jc w:val="both"/>
        <w:rPr>
          <w:rFonts w:ascii="Arial Narrow" w:hAnsi="Arial Narrow" w:cs="Times New Roman"/>
          <w:sz w:val="24"/>
          <w:szCs w:val="24"/>
        </w:rPr>
      </w:pPr>
      <w:r>
        <w:rPr>
          <w:rFonts w:ascii="Arial Narrow" w:hAnsi="Arial Narrow" w:cs="Times New Roman"/>
          <w:b/>
          <w:color w:val="548DD4" w:themeColor="text2" w:themeTint="99"/>
          <w:sz w:val="24"/>
          <w:szCs w:val="24"/>
        </w:rPr>
        <w:t xml:space="preserve">19.24. </w:t>
      </w:r>
      <w:r w:rsidR="00153451" w:rsidRPr="006E6CDB">
        <w:rPr>
          <w:rFonts w:ascii="Arial Narrow" w:hAnsi="Arial Narrow" w:cs="Times New Roman"/>
          <w:b/>
          <w:color w:val="548DD4" w:themeColor="text2" w:themeTint="99"/>
          <w:sz w:val="24"/>
          <w:szCs w:val="24"/>
        </w:rPr>
        <w:t xml:space="preserve">Τεχνολογικός Μετασχηματισμός – </w:t>
      </w:r>
      <w:r w:rsidR="00153451" w:rsidRPr="006E6CDB">
        <w:rPr>
          <w:rFonts w:ascii="Arial Narrow" w:hAnsi="Arial Narrow" w:cs="Times New Roman"/>
          <w:b/>
          <w:color w:val="548DD4" w:themeColor="text2" w:themeTint="99"/>
          <w:sz w:val="24"/>
          <w:szCs w:val="24"/>
          <w:lang w:val="en-US"/>
        </w:rPr>
        <w:t>Industry</w:t>
      </w:r>
      <w:r w:rsidR="00153451" w:rsidRPr="006E6CDB">
        <w:rPr>
          <w:rFonts w:ascii="Arial Narrow" w:hAnsi="Arial Narrow" w:cs="Times New Roman"/>
          <w:b/>
          <w:color w:val="548DD4" w:themeColor="text2" w:themeTint="99"/>
          <w:sz w:val="24"/>
          <w:szCs w:val="24"/>
        </w:rPr>
        <w:t xml:space="preserve"> 4.0: τα ΗΑΕ επενδύουν σε Τεχνητή Νοημοσύνη (</w:t>
      </w:r>
      <w:r w:rsidR="00153451" w:rsidRPr="006E6CDB">
        <w:rPr>
          <w:rFonts w:ascii="Arial Narrow" w:hAnsi="Arial Narrow" w:cs="Times New Roman"/>
          <w:b/>
          <w:color w:val="548DD4" w:themeColor="text2" w:themeTint="99"/>
          <w:sz w:val="24"/>
          <w:szCs w:val="24"/>
          <w:lang w:val="en-US"/>
        </w:rPr>
        <w:t>AI</w:t>
      </w:r>
      <w:r w:rsidR="00153451" w:rsidRPr="006E6CDB">
        <w:rPr>
          <w:rFonts w:ascii="Arial Narrow" w:hAnsi="Arial Narrow" w:cs="Times New Roman"/>
          <w:b/>
          <w:color w:val="548DD4" w:themeColor="text2" w:themeTint="99"/>
          <w:sz w:val="24"/>
          <w:szCs w:val="24"/>
        </w:rPr>
        <w:t>), Ρομποτική, Ψηφιακά Δίδυμα (</w:t>
      </w:r>
      <w:r w:rsidR="00153451" w:rsidRPr="006E6CDB">
        <w:rPr>
          <w:rFonts w:ascii="Arial Narrow" w:hAnsi="Arial Narrow" w:cs="Times New Roman"/>
          <w:b/>
          <w:color w:val="548DD4" w:themeColor="text2" w:themeTint="99"/>
          <w:sz w:val="24"/>
          <w:szCs w:val="24"/>
          <w:lang w:val="en-US"/>
        </w:rPr>
        <w:t>Digital</w:t>
      </w:r>
      <w:r w:rsidR="00153451" w:rsidRPr="006E6CDB">
        <w:rPr>
          <w:rFonts w:ascii="Arial Narrow" w:hAnsi="Arial Narrow" w:cs="Times New Roman"/>
          <w:b/>
          <w:color w:val="548DD4" w:themeColor="text2" w:themeTint="99"/>
          <w:sz w:val="24"/>
          <w:szCs w:val="24"/>
        </w:rPr>
        <w:t xml:space="preserve"> </w:t>
      </w:r>
      <w:r w:rsidR="00153451" w:rsidRPr="006E6CDB">
        <w:rPr>
          <w:rFonts w:ascii="Arial Narrow" w:hAnsi="Arial Narrow" w:cs="Times New Roman"/>
          <w:b/>
          <w:color w:val="548DD4" w:themeColor="text2" w:themeTint="99"/>
          <w:sz w:val="24"/>
          <w:szCs w:val="24"/>
          <w:lang w:val="en-US"/>
        </w:rPr>
        <w:t>Twins</w:t>
      </w:r>
      <w:r w:rsidR="00153451" w:rsidRPr="006E6CDB">
        <w:rPr>
          <w:rFonts w:ascii="Arial Narrow" w:hAnsi="Arial Narrow" w:cs="Times New Roman"/>
          <w:b/>
          <w:color w:val="548DD4" w:themeColor="text2" w:themeTint="99"/>
          <w:sz w:val="24"/>
          <w:szCs w:val="24"/>
        </w:rPr>
        <w:t xml:space="preserve">), </w:t>
      </w:r>
      <w:r w:rsidR="00153451" w:rsidRPr="006E6CDB">
        <w:rPr>
          <w:rFonts w:ascii="Arial Narrow" w:hAnsi="Arial Narrow" w:cs="Times New Roman"/>
          <w:b/>
          <w:color w:val="548DD4" w:themeColor="text2" w:themeTint="99"/>
          <w:sz w:val="24"/>
          <w:szCs w:val="24"/>
          <w:lang w:val="en-US"/>
        </w:rPr>
        <w:t>IoT</w:t>
      </w:r>
      <w:r w:rsidR="00153451" w:rsidRPr="006E6CDB">
        <w:rPr>
          <w:rFonts w:ascii="Arial Narrow" w:hAnsi="Arial Narrow" w:cs="Times New Roman"/>
          <w:b/>
          <w:color w:val="548DD4" w:themeColor="text2" w:themeTint="99"/>
          <w:sz w:val="24"/>
          <w:szCs w:val="24"/>
        </w:rPr>
        <w:t>, Αυτοματισμούς, Προηγμένη ανάλυση δεδομένων.</w:t>
      </w:r>
      <w:r w:rsidR="00153451">
        <w:rPr>
          <w:rFonts w:ascii="Arial Narrow" w:hAnsi="Arial Narrow" w:cs="Times New Roman"/>
          <w:color w:val="548DD4" w:themeColor="text2" w:themeTint="99"/>
          <w:sz w:val="24"/>
          <w:szCs w:val="24"/>
        </w:rPr>
        <w:t xml:space="preserve"> </w:t>
      </w:r>
      <w:r w:rsidR="00153451">
        <w:rPr>
          <w:rFonts w:ascii="Arial Narrow" w:hAnsi="Arial Narrow" w:cs="Times New Roman"/>
          <w:sz w:val="24"/>
          <w:szCs w:val="24"/>
        </w:rPr>
        <w:t>Στόχος είναι η δημιουργία ενός από τα πλέον προηγμένα βιομηχανικά οικοσυστήματα παγκοσμίως.</w:t>
      </w:r>
    </w:p>
    <w:p w14:paraId="5BAE75CF" w14:textId="0D488D59" w:rsidR="00770E45" w:rsidRDefault="009D4BB2" w:rsidP="00E923A4">
      <w:pPr>
        <w:spacing w:before="120" w:after="120"/>
        <w:jc w:val="both"/>
        <w:rPr>
          <w:rFonts w:ascii="Arial Narrow" w:hAnsi="Arial Narrow" w:cs="Times New Roman"/>
          <w:sz w:val="24"/>
          <w:szCs w:val="24"/>
        </w:rPr>
      </w:pPr>
      <w:r>
        <w:rPr>
          <w:rFonts w:ascii="Arial Narrow" w:hAnsi="Arial Narrow" w:cs="Times New Roman"/>
          <w:b/>
          <w:color w:val="548DD4" w:themeColor="text2" w:themeTint="99"/>
          <w:sz w:val="24"/>
          <w:szCs w:val="24"/>
        </w:rPr>
        <w:t xml:space="preserve">19.25. </w:t>
      </w:r>
      <w:r w:rsidR="00153451" w:rsidRPr="006E6CDB">
        <w:rPr>
          <w:rFonts w:ascii="Arial Narrow" w:hAnsi="Arial Narrow" w:cs="Times New Roman"/>
          <w:b/>
          <w:color w:val="548DD4" w:themeColor="text2" w:themeTint="99"/>
          <w:sz w:val="24"/>
          <w:szCs w:val="24"/>
        </w:rPr>
        <w:t>Προκλήσεις</w:t>
      </w:r>
      <w:r w:rsidR="00153451" w:rsidRPr="00153451">
        <w:rPr>
          <w:rFonts w:ascii="Arial Narrow" w:hAnsi="Arial Narrow" w:cs="Times New Roman"/>
          <w:sz w:val="24"/>
          <w:szCs w:val="24"/>
        </w:rPr>
        <w:t>: στις εξωτερικές προκλήσεις περιλαμβάνονται ο</w:t>
      </w:r>
      <w:r w:rsidR="00153451">
        <w:rPr>
          <w:rFonts w:ascii="Arial Narrow" w:hAnsi="Arial Narrow" w:cs="Times New Roman"/>
          <w:sz w:val="24"/>
          <w:szCs w:val="24"/>
        </w:rPr>
        <w:t xml:space="preserve"> παγκόσμιος ανταγωνισμός, οι διακυμάνσεις τιμών πρώτων υλών και οι γεωπολτικές εντάσεις. Αντίστοιχα στις εσωτερικές προκλήσεις περιλαμβάνονται η έλλεψη εξειδικευμένου προσωπικού, το υψηλό ενεργειακό αποτύπωμα βαριάς βιομηχανίας και η ανάγκη</w:t>
      </w:r>
      <w:r w:rsidR="00770E45">
        <w:rPr>
          <w:rFonts w:ascii="Arial Narrow" w:hAnsi="Arial Narrow" w:cs="Times New Roman"/>
          <w:sz w:val="24"/>
          <w:szCs w:val="24"/>
        </w:rPr>
        <w:t xml:space="preserve"> μεγαλύτερης τεχνολογικής αυτάρκειας. </w:t>
      </w:r>
    </w:p>
    <w:p w14:paraId="79137F69" w14:textId="4C59A769" w:rsidR="00770E45" w:rsidRDefault="009D4BB2" w:rsidP="00E923A4">
      <w:pPr>
        <w:spacing w:before="120" w:after="120"/>
        <w:jc w:val="both"/>
        <w:rPr>
          <w:rFonts w:ascii="Arial Narrow" w:hAnsi="Arial Narrow" w:cs="Times New Roman"/>
          <w:sz w:val="24"/>
          <w:szCs w:val="24"/>
        </w:rPr>
      </w:pPr>
      <w:r>
        <w:rPr>
          <w:rFonts w:ascii="Arial Narrow" w:hAnsi="Arial Narrow" w:cs="Times New Roman"/>
          <w:b/>
          <w:color w:val="548DD4" w:themeColor="text2" w:themeTint="99"/>
          <w:sz w:val="24"/>
          <w:szCs w:val="24"/>
        </w:rPr>
        <w:t xml:space="preserve">19.26. </w:t>
      </w:r>
      <w:r w:rsidR="00770E45" w:rsidRPr="006E6CDB">
        <w:rPr>
          <w:rFonts w:ascii="Arial Narrow" w:hAnsi="Arial Narrow" w:cs="Times New Roman"/>
          <w:b/>
          <w:color w:val="548DD4" w:themeColor="text2" w:themeTint="99"/>
          <w:sz w:val="24"/>
          <w:szCs w:val="24"/>
        </w:rPr>
        <w:t>Προοπτικές έως το 2031</w:t>
      </w:r>
      <w:r w:rsidR="00770E45">
        <w:rPr>
          <w:rFonts w:ascii="Arial Narrow" w:hAnsi="Arial Narrow" w:cs="Times New Roman"/>
          <w:color w:val="548DD4" w:themeColor="text2" w:themeTint="99"/>
          <w:sz w:val="24"/>
          <w:szCs w:val="24"/>
        </w:rPr>
        <w:t xml:space="preserve">: </w:t>
      </w:r>
      <w:r w:rsidR="00770E45">
        <w:rPr>
          <w:rFonts w:ascii="Arial Narrow" w:hAnsi="Arial Narrow" w:cs="Times New Roman"/>
          <w:sz w:val="24"/>
          <w:szCs w:val="24"/>
        </w:rPr>
        <w:t xml:space="preserve">οι εκτιμήσεις συγκλίνουν ότι μέχρι το 2031 η βιομηχανική παραγωγή θα υπερδιπλασιαστεί, η συνεισφορά του τομέα της μεταποίησης θα φθάσει τα 300 δις </w:t>
      </w:r>
      <w:r w:rsidR="00770E45">
        <w:rPr>
          <w:rFonts w:ascii="Arial Narrow" w:hAnsi="Arial Narrow" w:cs="Times New Roman"/>
          <w:sz w:val="24"/>
          <w:szCs w:val="24"/>
          <w:lang w:val="en-US"/>
        </w:rPr>
        <w:t>AED</w:t>
      </w:r>
      <w:r w:rsidR="00770E45" w:rsidRPr="00770E45">
        <w:rPr>
          <w:rFonts w:ascii="Arial Narrow" w:hAnsi="Arial Narrow" w:cs="Times New Roman"/>
          <w:sz w:val="24"/>
          <w:szCs w:val="24"/>
        </w:rPr>
        <w:t xml:space="preserve"> (</w:t>
      </w:r>
      <w:r w:rsidR="00770E45">
        <w:rPr>
          <w:rFonts w:ascii="Arial Narrow" w:hAnsi="Arial Narrow" w:cs="Times New Roman"/>
          <w:sz w:val="24"/>
          <w:szCs w:val="24"/>
        </w:rPr>
        <w:t>Ντίρχαμ), αύξηση των εξαγωγών βιομηχανικών προϊόντων υψηλής τεχνολογίας. Επίσης προβλέπεται ότι τα ΗΑΕ θα εξελιχθούν σε κορυφαίο βιομηχανικό κόμβο της Μέσης Ανατολής και της Βόρειας Αφρικής. \</w:t>
      </w:r>
    </w:p>
    <w:p w14:paraId="5FC30C32" w14:textId="77777777" w:rsidR="00770E45" w:rsidRPr="006E6CDB" w:rsidRDefault="00770E45" w:rsidP="00E923A4">
      <w:pPr>
        <w:spacing w:before="120" w:after="120"/>
        <w:jc w:val="both"/>
        <w:rPr>
          <w:rFonts w:ascii="Arial Narrow" w:hAnsi="Arial Narrow" w:cs="Times New Roman"/>
          <w:b/>
          <w:color w:val="548DD4" w:themeColor="text2" w:themeTint="99"/>
          <w:sz w:val="24"/>
          <w:szCs w:val="24"/>
        </w:rPr>
      </w:pPr>
      <w:r w:rsidRPr="006E6CDB">
        <w:rPr>
          <w:rFonts w:ascii="Arial Narrow" w:hAnsi="Arial Narrow" w:cs="Times New Roman"/>
          <w:b/>
          <w:color w:val="548DD4" w:themeColor="text2" w:themeTint="99"/>
          <w:sz w:val="24"/>
          <w:szCs w:val="24"/>
        </w:rPr>
        <w:t xml:space="preserve">ΣΥΜΠΕΡΑΣΜΑ </w:t>
      </w:r>
    </w:p>
    <w:p w14:paraId="67E237D7" w14:textId="55E5CE56" w:rsidR="00EF02D8" w:rsidRPr="00153451" w:rsidRDefault="00770E45" w:rsidP="00E923A4">
      <w:pPr>
        <w:spacing w:before="120" w:after="120"/>
        <w:jc w:val="both"/>
        <w:rPr>
          <w:rFonts w:ascii="Arial Narrow" w:hAnsi="Arial Narrow" w:cs="Times New Roman"/>
          <w:sz w:val="24"/>
          <w:szCs w:val="24"/>
        </w:rPr>
      </w:pPr>
      <w:r>
        <w:rPr>
          <w:rFonts w:ascii="Arial Narrow" w:hAnsi="Arial Narrow" w:cs="Times New Roman"/>
          <w:sz w:val="24"/>
          <w:szCs w:val="24"/>
        </w:rPr>
        <w:t>Η μεταποίηση στα ΗΑΕ έχει εξελιχθεί από έναν συμπληρωματικό κλάδο σε έναν από τους βασικούς πυλώνες της οικονομικής διαφοροποίησης της χώρας. Με ισχυρές επενδύσεις σε αλουμίνιο, μέταλλα, πετροχημικά, αεροδιαστημική, φαρμακευτικά προϊόντα και προηγμένες τεχνολογίες, ο τομέας αναμένεται να διαδραματίσει καθοριστικό ρόλο στην επίτευξη του οράματος «</w:t>
      </w:r>
      <w:r>
        <w:rPr>
          <w:rFonts w:ascii="Arial Narrow" w:hAnsi="Arial Narrow" w:cs="Times New Roman"/>
          <w:sz w:val="24"/>
          <w:szCs w:val="24"/>
          <w:lang w:val="en-US"/>
        </w:rPr>
        <w:t>We</w:t>
      </w:r>
      <w:r w:rsidRPr="00770E45">
        <w:rPr>
          <w:rFonts w:ascii="Arial Narrow" w:hAnsi="Arial Narrow" w:cs="Times New Roman"/>
          <w:sz w:val="24"/>
          <w:szCs w:val="24"/>
        </w:rPr>
        <w:t xml:space="preserve"> </w:t>
      </w:r>
      <w:r>
        <w:rPr>
          <w:rFonts w:ascii="Arial Narrow" w:hAnsi="Arial Narrow" w:cs="Times New Roman"/>
          <w:sz w:val="24"/>
          <w:szCs w:val="24"/>
          <w:lang w:val="en-US"/>
        </w:rPr>
        <w:t>the</w:t>
      </w:r>
      <w:r w:rsidRPr="00770E45">
        <w:rPr>
          <w:rFonts w:ascii="Arial Narrow" w:hAnsi="Arial Narrow" w:cs="Times New Roman"/>
          <w:sz w:val="24"/>
          <w:szCs w:val="24"/>
        </w:rPr>
        <w:t xml:space="preserve"> </w:t>
      </w:r>
      <w:r>
        <w:rPr>
          <w:rFonts w:ascii="Arial Narrow" w:hAnsi="Arial Narrow" w:cs="Times New Roman"/>
          <w:sz w:val="24"/>
          <w:szCs w:val="24"/>
          <w:lang w:val="en-US"/>
        </w:rPr>
        <w:t>UAE</w:t>
      </w:r>
      <w:r w:rsidRPr="00770E45">
        <w:rPr>
          <w:rFonts w:ascii="Arial Narrow" w:hAnsi="Arial Narrow" w:cs="Times New Roman"/>
          <w:sz w:val="24"/>
          <w:szCs w:val="24"/>
        </w:rPr>
        <w:t xml:space="preserve"> 2031</w:t>
      </w:r>
      <w:r>
        <w:rPr>
          <w:rFonts w:ascii="Arial Narrow" w:hAnsi="Arial Narrow" w:cs="Times New Roman"/>
          <w:sz w:val="24"/>
          <w:szCs w:val="24"/>
        </w:rPr>
        <w:t xml:space="preserve">» και στη μετάβαση της χώρας σε μια οικονομία βασισμένη στη γνώση και στη βιομηχανική καινοτομία. </w:t>
      </w:r>
      <w:r w:rsidR="00EF02D8" w:rsidRPr="00153451">
        <w:rPr>
          <w:rFonts w:ascii="Arial Narrow" w:hAnsi="Arial Narrow" w:cs="Times New Roman"/>
          <w:sz w:val="24"/>
          <w:szCs w:val="24"/>
        </w:rPr>
        <w:t xml:space="preserve"> </w:t>
      </w:r>
    </w:p>
    <w:p w14:paraId="7A9B0A80" w14:textId="6D878F5E" w:rsidR="00191789" w:rsidRDefault="00191789" w:rsidP="00E923A4">
      <w:pPr>
        <w:jc w:val="both"/>
        <w:rPr>
          <w:rFonts w:ascii="Arial Narrow" w:hAnsi="Arial Narrow" w:cs="Times New Roman"/>
          <w:sz w:val="24"/>
          <w:szCs w:val="24"/>
        </w:rPr>
      </w:pPr>
    </w:p>
    <w:p w14:paraId="0493EBAF" w14:textId="4DD16E54" w:rsidR="00A37131" w:rsidRPr="00205BE4" w:rsidRDefault="009D4BB2" w:rsidP="009D4BB2">
      <w:pPr>
        <w:jc w:val="center"/>
        <w:rPr>
          <w:rFonts w:ascii="Arial Narrow" w:hAnsi="Arial Narrow" w:cs="Times New Roman"/>
          <w:b/>
          <w:color w:val="548DD4" w:themeColor="text2" w:themeTint="99"/>
          <w:sz w:val="28"/>
          <w:szCs w:val="28"/>
        </w:rPr>
      </w:pPr>
      <w:r>
        <w:rPr>
          <w:rFonts w:ascii="Arial Narrow" w:hAnsi="Arial Narrow" w:cs="Times New Roman"/>
          <w:b/>
          <w:color w:val="548DD4" w:themeColor="text2" w:themeTint="99"/>
          <w:sz w:val="28"/>
          <w:szCs w:val="28"/>
        </w:rPr>
        <w:t xml:space="preserve">20. </w:t>
      </w:r>
      <w:r w:rsidR="00A37131" w:rsidRPr="00205BE4">
        <w:rPr>
          <w:rFonts w:ascii="Arial Narrow" w:hAnsi="Arial Narrow" w:cs="Times New Roman"/>
          <w:b/>
          <w:color w:val="548DD4" w:themeColor="text2" w:themeTint="99"/>
          <w:sz w:val="28"/>
          <w:szCs w:val="28"/>
        </w:rPr>
        <w:t>ΤΡΙΤΟΓΕΝΗΣ ΤΟΜΕΑΣ – ΚΑΤΑΣΚΕΥΕΣ</w:t>
      </w:r>
    </w:p>
    <w:p w14:paraId="38E1F465" w14:textId="170E3966" w:rsidR="00A37131" w:rsidRDefault="003311DE" w:rsidP="00E923A4">
      <w:pPr>
        <w:jc w:val="both"/>
        <w:rPr>
          <w:rFonts w:ascii="Arial Narrow" w:hAnsi="Arial Narrow" w:cs="Times New Roman"/>
          <w:b/>
          <w:color w:val="548DD4" w:themeColor="text2" w:themeTint="99"/>
          <w:sz w:val="24"/>
          <w:szCs w:val="24"/>
        </w:rPr>
      </w:pPr>
      <w:r>
        <w:rPr>
          <w:rFonts w:ascii="Arial Narrow" w:hAnsi="Arial Narrow" w:cs="Times New Roman"/>
          <w:b/>
          <w:color w:val="548DD4" w:themeColor="text2" w:themeTint="99"/>
          <w:sz w:val="24"/>
          <w:szCs w:val="24"/>
        </w:rPr>
        <w:t xml:space="preserve">20.1. </w:t>
      </w:r>
      <w:r w:rsidR="00A37131" w:rsidRPr="00A37131">
        <w:rPr>
          <w:rFonts w:ascii="Arial Narrow" w:hAnsi="Arial Narrow" w:cs="Times New Roman"/>
          <w:b/>
          <w:color w:val="548DD4" w:themeColor="text2" w:themeTint="99"/>
          <w:sz w:val="24"/>
          <w:szCs w:val="24"/>
        </w:rPr>
        <w:t>Γενική Επισκόπηση</w:t>
      </w:r>
    </w:p>
    <w:p w14:paraId="5214DDFF" w14:textId="57F63E12" w:rsidR="00A37131" w:rsidRDefault="00A37131" w:rsidP="00E923A4">
      <w:pPr>
        <w:jc w:val="both"/>
        <w:rPr>
          <w:rFonts w:ascii="Arial Narrow" w:hAnsi="Arial Narrow" w:cs="Times New Roman"/>
          <w:sz w:val="24"/>
          <w:szCs w:val="24"/>
        </w:rPr>
      </w:pPr>
      <w:r>
        <w:rPr>
          <w:rFonts w:ascii="Arial Narrow" w:hAnsi="Arial Narrow" w:cs="Times New Roman"/>
          <w:sz w:val="24"/>
          <w:szCs w:val="24"/>
        </w:rPr>
        <w:t xml:space="preserve">Ο κατασκευαστικός τομέας αποτελεί έναν από τους σημαντικότερους πυλώνες της οικονομίας των Ηνωμένων Αραβικών Εμιράτων και βασικό εργαλείο υλοποίησης των στρατηγικών σχεδίων οικονομικής διαφοροποίησης της χώρας. Οι κατασκευές συνδέονται άμεσα με την ανάπτυξη των κλάδων ακινήτων, τουρισμού, μεταφορών, βιομηχανίας, ενέργειας και </w:t>
      </w:r>
      <w:r>
        <w:rPr>
          <w:rFonts w:ascii="Arial Narrow" w:hAnsi="Arial Narrow" w:cs="Times New Roman"/>
          <w:sz w:val="24"/>
          <w:szCs w:val="24"/>
          <w:lang w:val="en-US"/>
        </w:rPr>
        <w:t>logistics</w:t>
      </w:r>
      <w:r w:rsidRPr="00A37131">
        <w:rPr>
          <w:rFonts w:ascii="Arial Narrow" w:hAnsi="Arial Narrow" w:cs="Times New Roman"/>
          <w:sz w:val="24"/>
          <w:szCs w:val="24"/>
        </w:rPr>
        <w:t>.</w:t>
      </w:r>
    </w:p>
    <w:p w14:paraId="1CB82CE8" w14:textId="035C46E2" w:rsidR="00A37131" w:rsidRDefault="009A6109" w:rsidP="00E923A4">
      <w:pPr>
        <w:jc w:val="both"/>
        <w:rPr>
          <w:rFonts w:ascii="Arial Narrow" w:hAnsi="Arial Narrow" w:cs="Times New Roman"/>
          <w:sz w:val="24"/>
          <w:szCs w:val="24"/>
        </w:rPr>
      </w:pPr>
      <w:r>
        <w:rPr>
          <w:rFonts w:ascii="Arial Narrow" w:hAnsi="Arial Narrow" w:cs="Times New Roman"/>
          <w:sz w:val="24"/>
          <w:szCs w:val="24"/>
        </w:rPr>
        <w:t>Τα τελευταία χρόνια, η κυβέρνηση των ΗΑΕ προωθεί μεγάλες επενδύσεις σε οικιστικά συγκροτήματα, έξυπνες πόλεις (</w:t>
      </w:r>
      <w:r>
        <w:rPr>
          <w:rFonts w:ascii="Arial Narrow" w:hAnsi="Arial Narrow" w:cs="Times New Roman"/>
          <w:sz w:val="24"/>
          <w:szCs w:val="24"/>
          <w:lang w:val="en-US"/>
        </w:rPr>
        <w:t>Smart</w:t>
      </w:r>
      <w:r w:rsidRPr="009A6109">
        <w:rPr>
          <w:rFonts w:ascii="Arial Narrow" w:hAnsi="Arial Narrow" w:cs="Times New Roman"/>
          <w:sz w:val="24"/>
          <w:szCs w:val="24"/>
        </w:rPr>
        <w:t xml:space="preserve"> </w:t>
      </w:r>
      <w:r>
        <w:rPr>
          <w:rFonts w:ascii="Arial Narrow" w:hAnsi="Arial Narrow" w:cs="Times New Roman"/>
          <w:sz w:val="24"/>
          <w:szCs w:val="24"/>
          <w:lang w:val="en-US"/>
        </w:rPr>
        <w:t>Cities</w:t>
      </w:r>
      <w:r w:rsidRPr="009A6109">
        <w:rPr>
          <w:rFonts w:ascii="Arial Narrow" w:hAnsi="Arial Narrow" w:cs="Times New Roman"/>
          <w:sz w:val="24"/>
          <w:szCs w:val="24"/>
        </w:rPr>
        <w:t xml:space="preserve">), </w:t>
      </w:r>
      <w:r>
        <w:rPr>
          <w:rFonts w:ascii="Arial Narrow" w:hAnsi="Arial Narrow" w:cs="Times New Roman"/>
          <w:sz w:val="24"/>
          <w:szCs w:val="24"/>
        </w:rPr>
        <w:t>Βιομηχανικές ζώνες, λιμενικές και αεροπορικές υποδομές</w:t>
      </w:r>
      <w:r w:rsidR="00F94DA1">
        <w:rPr>
          <w:rFonts w:ascii="Arial Narrow" w:hAnsi="Arial Narrow" w:cs="Times New Roman"/>
          <w:sz w:val="24"/>
          <w:szCs w:val="24"/>
        </w:rPr>
        <w:t xml:space="preserve">, σιδηροδρομικά δίκτυα, ανανεώσιμες πηγές ενέργειας, τουριστικές εγκαταστάσεις και </w:t>
      </w:r>
      <w:r w:rsidR="00F94DA1">
        <w:rPr>
          <w:rFonts w:ascii="Arial Narrow" w:hAnsi="Arial Narrow" w:cs="Times New Roman"/>
          <w:sz w:val="24"/>
          <w:szCs w:val="24"/>
          <w:lang w:val="en-US"/>
        </w:rPr>
        <w:t>Data</w:t>
      </w:r>
      <w:r w:rsidR="00F94DA1" w:rsidRPr="00F94DA1">
        <w:rPr>
          <w:rFonts w:ascii="Arial Narrow" w:hAnsi="Arial Narrow" w:cs="Times New Roman"/>
          <w:sz w:val="24"/>
          <w:szCs w:val="24"/>
        </w:rPr>
        <w:t xml:space="preserve"> </w:t>
      </w:r>
      <w:r w:rsidR="00F94DA1">
        <w:rPr>
          <w:rFonts w:ascii="Arial Narrow" w:hAnsi="Arial Narrow" w:cs="Times New Roman"/>
          <w:sz w:val="24"/>
          <w:szCs w:val="24"/>
          <w:lang w:val="en-US"/>
        </w:rPr>
        <w:t>Centers</w:t>
      </w:r>
      <w:r w:rsidR="00F94DA1" w:rsidRPr="00F94DA1">
        <w:rPr>
          <w:rFonts w:ascii="Arial Narrow" w:hAnsi="Arial Narrow" w:cs="Times New Roman"/>
          <w:sz w:val="24"/>
          <w:szCs w:val="24"/>
        </w:rPr>
        <w:t xml:space="preserve"> </w:t>
      </w:r>
      <w:r w:rsidR="00F94DA1">
        <w:rPr>
          <w:rFonts w:ascii="Arial Narrow" w:hAnsi="Arial Narrow" w:cs="Times New Roman"/>
          <w:sz w:val="24"/>
          <w:szCs w:val="24"/>
        </w:rPr>
        <w:t>και ψηφιακές υποδομές.</w:t>
      </w:r>
    </w:p>
    <w:p w14:paraId="0618038D" w14:textId="31D349A5" w:rsidR="00F94DA1" w:rsidRPr="006E6CDB" w:rsidRDefault="003311DE" w:rsidP="00E923A4">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20.2. </w:t>
      </w:r>
      <w:r w:rsidR="00F94DA1" w:rsidRPr="006E6CDB">
        <w:rPr>
          <w:rFonts w:ascii="Arial Narrow" w:hAnsi="Arial Narrow" w:cs="Times New Roman"/>
          <w:b/>
          <w:color w:val="4F81BD" w:themeColor="accent1"/>
          <w:sz w:val="24"/>
          <w:szCs w:val="24"/>
        </w:rPr>
        <w:t xml:space="preserve">Μέγεθος Αγοράς </w:t>
      </w:r>
    </w:p>
    <w:p w14:paraId="139E1B8A" w14:textId="40621FD5" w:rsidR="00F94DA1" w:rsidRDefault="00F94DA1" w:rsidP="00E923A4">
      <w:pPr>
        <w:jc w:val="both"/>
        <w:rPr>
          <w:rFonts w:ascii="Arial Narrow" w:hAnsi="Arial Narrow" w:cs="Times New Roman"/>
          <w:sz w:val="24"/>
          <w:szCs w:val="24"/>
        </w:rPr>
      </w:pPr>
      <w:r>
        <w:rPr>
          <w:rFonts w:ascii="Arial Narrow" w:hAnsi="Arial Narrow" w:cs="Times New Roman"/>
          <w:sz w:val="24"/>
          <w:szCs w:val="24"/>
        </w:rPr>
        <w:t>Η αγορά κατασκευών των ΗΑΕ συγκαταλέγεται στις μεγαλύτερες της Μέσης Ανατολής. Τα βασικά στοιχεία του τομέα των κατασκευών συνοψίζονται στα εξής: αξία κατασκευαστικής παραγωγής 2024 με μέγεθος 107,2 δις $, εκτίμηση για το 2029 με μέγεθος 130,8 δις $, συνολικές συμβάσεις στο χρονικό διάστημα 2020-2025 με μέγεθος 328,7 δις $, συνολικό χαρτοφυλάκιο μελλοντικών έργων με μέγεθος 478,8 δις $ και μέσο ετήσιο ρυθμό ανάπτυξης έως το 2029 με μέγεθος 4% περίπου.</w:t>
      </w:r>
    </w:p>
    <w:p w14:paraId="0F6C169C" w14:textId="348CDFC0" w:rsidR="00F94DA1" w:rsidRDefault="00F94DA1" w:rsidP="00E923A4">
      <w:pPr>
        <w:jc w:val="both"/>
        <w:rPr>
          <w:rFonts w:ascii="Arial Narrow" w:hAnsi="Arial Narrow" w:cs="Times New Roman"/>
          <w:sz w:val="24"/>
          <w:szCs w:val="24"/>
        </w:rPr>
      </w:pPr>
      <w:r>
        <w:rPr>
          <w:rFonts w:ascii="Arial Narrow" w:hAnsi="Arial Narrow" w:cs="Times New Roman"/>
          <w:sz w:val="24"/>
          <w:szCs w:val="24"/>
        </w:rPr>
        <w:t xml:space="preserve">Σύμφωνα με εκτιμήσεις της αγοράς, η συνολική αξία της κατασκευαστικής βιομηχανίας ανήλθε σε περίπου 45,8 δις $ το 2025 και αναμένεται να προσεγγίσει τα 69 δις $ μέχρι το 2034. </w:t>
      </w:r>
    </w:p>
    <w:p w14:paraId="1B709721" w14:textId="73C2EFEA" w:rsidR="00F94DA1" w:rsidRPr="006E6CDB" w:rsidRDefault="003311DE" w:rsidP="00E923A4">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20.3. </w:t>
      </w:r>
      <w:r w:rsidR="00F94DA1" w:rsidRPr="006E6CDB">
        <w:rPr>
          <w:rFonts w:ascii="Arial Narrow" w:hAnsi="Arial Narrow" w:cs="Times New Roman"/>
          <w:b/>
          <w:color w:val="4F81BD" w:themeColor="accent1"/>
          <w:sz w:val="24"/>
          <w:szCs w:val="24"/>
        </w:rPr>
        <w:t>Συμβολή στην Οικονομία των ΗΑΕ</w:t>
      </w:r>
    </w:p>
    <w:p w14:paraId="4EDA2FCD" w14:textId="1C3E4218" w:rsidR="00F94DA1" w:rsidRDefault="00F94DA1" w:rsidP="00E923A4">
      <w:pPr>
        <w:jc w:val="both"/>
        <w:rPr>
          <w:rFonts w:ascii="Arial Narrow" w:hAnsi="Arial Narrow" w:cs="Times New Roman"/>
          <w:sz w:val="24"/>
          <w:szCs w:val="24"/>
        </w:rPr>
      </w:pPr>
      <w:r>
        <w:rPr>
          <w:rFonts w:ascii="Arial Narrow" w:hAnsi="Arial Narrow" w:cs="Times New Roman"/>
          <w:sz w:val="24"/>
          <w:szCs w:val="24"/>
        </w:rPr>
        <w:t>Οι κατασκευές αποτελούν έναν από τους μεγαλύτερους μη πετρελαϊκούς κλάδους της οικονο</w:t>
      </w:r>
      <w:r w:rsidR="009E387D">
        <w:rPr>
          <w:rFonts w:ascii="Arial Narrow" w:hAnsi="Arial Narrow" w:cs="Times New Roman"/>
          <w:sz w:val="24"/>
          <w:szCs w:val="24"/>
        </w:rPr>
        <w:t>μίας. Η ανάπτυξη του τομέα υποστηρίζεται από την οικονομική στρατηγική «</w:t>
      </w:r>
      <w:r w:rsidR="009E387D">
        <w:rPr>
          <w:rFonts w:ascii="Arial Narrow" w:hAnsi="Arial Narrow" w:cs="Times New Roman"/>
          <w:sz w:val="24"/>
          <w:szCs w:val="24"/>
          <w:lang w:val="en-US"/>
        </w:rPr>
        <w:t>We</w:t>
      </w:r>
      <w:r w:rsidR="009E387D" w:rsidRPr="009E387D">
        <w:rPr>
          <w:rFonts w:ascii="Arial Narrow" w:hAnsi="Arial Narrow" w:cs="Times New Roman"/>
          <w:sz w:val="24"/>
          <w:szCs w:val="24"/>
        </w:rPr>
        <w:t xml:space="preserve"> </w:t>
      </w:r>
      <w:r w:rsidR="009E387D">
        <w:rPr>
          <w:rFonts w:ascii="Arial Narrow" w:hAnsi="Arial Narrow" w:cs="Times New Roman"/>
          <w:sz w:val="24"/>
          <w:szCs w:val="24"/>
          <w:lang w:val="en-US"/>
        </w:rPr>
        <w:t>the</w:t>
      </w:r>
      <w:r w:rsidR="009E387D" w:rsidRPr="009E387D">
        <w:rPr>
          <w:rFonts w:ascii="Arial Narrow" w:hAnsi="Arial Narrow" w:cs="Times New Roman"/>
          <w:sz w:val="24"/>
          <w:szCs w:val="24"/>
        </w:rPr>
        <w:t xml:space="preserve"> </w:t>
      </w:r>
      <w:r w:rsidR="009E387D">
        <w:rPr>
          <w:rFonts w:ascii="Arial Narrow" w:hAnsi="Arial Narrow" w:cs="Times New Roman"/>
          <w:sz w:val="24"/>
          <w:szCs w:val="24"/>
          <w:lang w:val="en-US"/>
        </w:rPr>
        <w:t>UAE</w:t>
      </w:r>
      <w:r w:rsidR="009E387D" w:rsidRPr="009E387D">
        <w:rPr>
          <w:rFonts w:ascii="Arial Narrow" w:hAnsi="Arial Narrow" w:cs="Times New Roman"/>
          <w:sz w:val="24"/>
          <w:szCs w:val="24"/>
        </w:rPr>
        <w:t xml:space="preserve"> 2031</w:t>
      </w:r>
      <w:r w:rsidR="009E387D">
        <w:rPr>
          <w:rFonts w:ascii="Arial Narrow" w:hAnsi="Arial Narrow" w:cs="Times New Roman"/>
          <w:sz w:val="24"/>
          <w:szCs w:val="24"/>
        </w:rPr>
        <w:t>», το σχέδιο «</w:t>
      </w:r>
      <w:r w:rsidR="009E387D">
        <w:rPr>
          <w:rFonts w:ascii="Arial Narrow" w:hAnsi="Arial Narrow" w:cs="Times New Roman"/>
          <w:sz w:val="24"/>
          <w:szCs w:val="24"/>
          <w:lang w:val="en-US"/>
        </w:rPr>
        <w:t>Dubai</w:t>
      </w:r>
      <w:r w:rsidR="009E387D" w:rsidRPr="009E387D">
        <w:rPr>
          <w:rFonts w:ascii="Arial Narrow" w:hAnsi="Arial Narrow" w:cs="Times New Roman"/>
          <w:sz w:val="24"/>
          <w:szCs w:val="24"/>
        </w:rPr>
        <w:t xml:space="preserve"> </w:t>
      </w:r>
      <w:r w:rsidR="009E387D">
        <w:rPr>
          <w:rFonts w:ascii="Arial Narrow" w:hAnsi="Arial Narrow" w:cs="Times New Roman"/>
          <w:sz w:val="24"/>
          <w:szCs w:val="24"/>
          <w:lang w:val="en-US"/>
        </w:rPr>
        <w:t>Economic</w:t>
      </w:r>
      <w:r w:rsidR="009E387D" w:rsidRPr="009E387D">
        <w:rPr>
          <w:rFonts w:ascii="Arial Narrow" w:hAnsi="Arial Narrow" w:cs="Times New Roman"/>
          <w:sz w:val="24"/>
          <w:szCs w:val="24"/>
        </w:rPr>
        <w:t xml:space="preserve"> </w:t>
      </w:r>
      <w:r w:rsidR="009E387D">
        <w:rPr>
          <w:rFonts w:ascii="Arial Narrow" w:hAnsi="Arial Narrow" w:cs="Times New Roman"/>
          <w:sz w:val="24"/>
          <w:szCs w:val="24"/>
          <w:lang w:val="en-US"/>
        </w:rPr>
        <w:t>Agenda</w:t>
      </w:r>
      <w:r w:rsidR="009E387D" w:rsidRPr="009E387D">
        <w:rPr>
          <w:rFonts w:ascii="Arial Narrow" w:hAnsi="Arial Narrow" w:cs="Times New Roman"/>
          <w:sz w:val="24"/>
          <w:szCs w:val="24"/>
        </w:rPr>
        <w:t xml:space="preserve"> </w:t>
      </w:r>
      <w:r w:rsidR="009E387D">
        <w:rPr>
          <w:rFonts w:ascii="Arial Narrow" w:hAnsi="Arial Narrow" w:cs="Times New Roman"/>
          <w:sz w:val="24"/>
          <w:szCs w:val="24"/>
          <w:lang w:val="en-US"/>
        </w:rPr>
        <w:t>D</w:t>
      </w:r>
      <w:r w:rsidR="009E387D" w:rsidRPr="009E387D">
        <w:rPr>
          <w:rFonts w:ascii="Arial Narrow" w:hAnsi="Arial Narrow" w:cs="Times New Roman"/>
          <w:sz w:val="24"/>
          <w:szCs w:val="24"/>
        </w:rPr>
        <w:t>33</w:t>
      </w:r>
      <w:r w:rsidR="009E387D">
        <w:rPr>
          <w:rFonts w:ascii="Arial Narrow" w:hAnsi="Arial Narrow" w:cs="Times New Roman"/>
          <w:sz w:val="24"/>
          <w:szCs w:val="24"/>
        </w:rPr>
        <w:t>», το «</w:t>
      </w:r>
      <w:r w:rsidR="009E387D">
        <w:rPr>
          <w:rFonts w:ascii="Arial Narrow" w:hAnsi="Arial Narrow" w:cs="Times New Roman"/>
          <w:sz w:val="24"/>
          <w:szCs w:val="24"/>
          <w:lang w:val="en-US"/>
        </w:rPr>
        <w:t>Dubai</w:t>
      </w:r>
      <w:r w:rsidR="009E387D" w:rsidRPr="009E387D">
        <w:rPr>
          <w:rFonts w:ascii="Arial Narrow" w:hAnsi="Arial Narrow" w:cs="Times New Roman"/>
          <w:sz w:val="24"/>
          <w:szCs w:val="24"/>
        </w:rPr>
        <w:t xml:space="preserve"> </w:t>
      </w:r>
      <w:r w:rsidR="009E387D">
        <w:rPr>
          <w:rFonts w:ascii="Arial Narrow" w:hAnsi="Arial Narrow" w:cs="Times New Roman"/>
          <w:sz w:val="24"/>
          <w:szCs w:val="24"/>
          <w:lang w:val="en-US"/>
        </w:rPr>
        <w:t>Urban</w:t>
      </w:r>
      <w:r w:rsidR="009E387D" w:rsidRPr="009E387D">
        <w:rPr>
          <w:rFonts w:ascii="Arial Narrow" w:hAnsi="Arial Narrow" w:cs="Times New Roman"/>
          <w:sz w:val="24"/>
          <w:szCs w:val="24"/>
        </w:rPr>
        <w:t xml:space="preserve"> </w:t>
      </w:r>
      <w:r w:rsidR="009E387D">
        <w:rPr>
          <w:rFonts w:ascii="Arial Narrow" w:hAnsi="Arial Narrow" w:cs="Times New Roman"/>
          <w:sz w:val="24"/>
          <w:szCs w:val="24"/>
          <w:lang w:val="en-US"/>
        </w:rPr>
        <w:t>Master</w:t>
      </w:r>
      <w:r w:rsidR="009E387D" w:rsidRPr="009E387D">
        <w:rPr>
          <w:rFonts w:ascii="Arial Narrow" w:hAnsi="Arial Narrow" w:cs="Times New Roman"/>
          <w:sz w:val="24"/>
          <w:szCs w:val="24"/>
        </w:rPr>
        <w:t xml:space="preserve"> </w:t>
      </w:r>
      <w:r w:rsidR="009E387D">
        <w:rPr>
          <w:rFonts w:ascii="Arial Narrow" w:hAnsi="Arial Narrow" w:cs="Times New Roman"/>
          <w:sz w:val="24"/>
          <w:szCs w:val="24"/>
          <w:lang w:val="en-US"/>
        </w:rPr>
        <w:t>Plan</w:t>
      </w:r>
      <w:r w:rsidR="009E387D" w:rsidRPr="009E387D">
        <w:rPr>
          <w:rFonts w:ascii="Arial Narrow" w:hAnsi="Arial Narrow" w:cs="Times New Roman"/>
          <w:sz w:val="24"/>
          <w:szCs w:val="24"/>
        </w:rPr>
        <w:t xml:space="preserve"> 2040</w:t>
      </w:r>
      <w:r w:rsidR="009E387D">
        <w:rPr>
          <w:rFonts w:ascii="Arial Narrow" w:hAnsi="Arial Narrow" w:cs="Times New Roman"/>
          <w:sz w:val="24"/>
          <w:szCs w:val="24"/>
        </w:rPr>
        <w:t>» και το «</w:t>
      </w:r>
      <w:r w:rsidR="009E387D">
        <w:rPr>
          <w:rFonts w:ascii="Arial Narrow" w:hAnsi="Arial Narrow" w:cs="Times New Roman"/>
          <w:sz w:val="24"/>
          <w:szCs w:val="24"/>
          <w:lang w:val="en-US"/>
        </w:rPr>
        <w:t>Abu</w:t>
      </w:r>
      <w:r w:rsidR="009E387D" w:rsidRPr="009E387D">
        <w:rPr>
          <w:rFonts w:ascii="Arial Narrow" w:hAnsi="Arial Narrow" w:cs="Times New Roman"/>
          <w:sz w:val="24"/>
          <w:szCs w:val="24"/>
        </w:rPr>
        <w:t xml:space="preserve"> </w:t>
      </w:r>
      <w:r w:rsidR="009E387D">
        <w:rPr>
          <w:rFonts w:ascii="Arial Narrow" w:hAnsi="Arial Narrow" w:cs="Times New Roman"/>
          <w:sz w:val="24"/>
          <w:szCs w:val="24"/>
          <w:lang w:val="en-US"/>
        </w:rPr>
        <w:t>Dhabi</w:t>
      </w:r>
      <w:r w:rsidR="009E387D" w:rsidRPr="009E387D">
        <w:rPr>
          <w:rFonts w:ascii="Arial Narrow" w:hAnsi="Arial Narrow" w:cs="Times New Roman"/>
          <w:sz w:val="24"/>
          <w:szCs w:val="24"/>
        </w:rPr>
        <w:t xml:space="preserve"> </w:t>
      </w:r>
      <w:r w:rsidR="009E387D">
        <w:rPr>
          <w:rFonts w:ascii="Arial Narrow" w:hAnsi="Arial Narrow" w:cs="Times New Roman"/>
          <w:sz w:val="24"/>
          <w:szCs w:val="24"/>
          <w:lang w:val="en-US"/>
        </w:rPr>
        <w:t>Vision</w:t>
      </w:r>
      <w:r w:rsidR="009E387D" w:rsidRPr="009E387D">
        <w:rPr>
          <w:rFonts w:ascii="Arial Narrow" w:hAnsi="Arial Narrow" w:cs="Times New Roman"/>
          <w:sz w:val="24"/>
          <w:szCs w:val="24"/>
        </w:rPr>
        <w:t xml:space="preserve"> 2030</w:t>
      </w:r>
      <w:r w:rsidR="009E387D">
        <w:rPr>
          <w:rFonts w:ascii="Arial Narrow" w:hAnsi="Arial Narrow" w:cs="Times New Roman"/>
          <w:sz w:val="24"/>
          <w:szCs w:val="24"/>
        </w:rPr>
        <w:t xml:space="preserve">». Η ανάπτυξη των κατασκευών συμβάλλει σημαντικά στην αύξηση του μη πετρελαϊκού ΑΕΠ, το οποίο για το 2025 ανήλθε σε 1,5 τρις </w:t>
      </w:r>
      <w:r w:rsidR="009E387D">
        <w:rPr>
          <w:rFonts w:ascii="Arial Narrow" w:hAnsi="Arial Narrow" w:cs="Times New Roman"/>
          <w:sz w:val="24"/>
          <w:szCs w:val="24"/>
          <w:lang w:val="en-US"/>
        </w:rPr>
        <w:t>AED</w:t>
      </w:r>
      <w:r w:rsidR="009E387D" w:rsidRPr="009E387D">
        <w:rPr>
          <w:rFonts w:ascii="Arial Narrow" w:hAnsi="Arial Narrow" w:cs="Times New Roman"/>
          <w:sz w:val="24"/>
          <w:szCs w:val="24"/>
        </w:rPr>
        <w:t xml:space="preserve"> (</w:t>
      </w:r>
      <w:r w:rsidR="009E387D">
        <w:rPr>
          <w:rFonts w:ascii="Arial Narrow" w:hAnsi="Arial Narrow" w:cs="Times New Roman"/>
          <w:sz w:val="24"/>
          <w:szCs w:val="24"/>
        </w:rPr>
        <w:t>Ντίρχαμ), αντιπροωπεύοντας περίπου το 79% της οικονομίας των ΗΑΕ.</w:t>
      </w:r>
    </w:p>
    <w:p w14:paraId="1B7A5DE0" w14:textId="6C1E3A8B" w:rsidR="009E387D" w:rsidRPr="006E6CDB" w:rsidRDefault="003311DE" w:rsidP="00E923A4">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20.4. </w:t>
      </w:r>
      <w:r w:rsidR="009E387D" w:rsidRPr="006E6CDB">
        <w:rPr>
          <w:rFonts w:ascii="Arial Narrow" w:hAnsi="Arial Narrow" w:cs="Times New Roman"/>
          <w:b/>
          <w:color w:val="4F81BD" w:themeColor="accent1"/>
          <w:sz w:val="24"/>
          <w:szCs w:val="24"/>
        </w:rPr>
        <w:t>Κύριοι Υποτομείς Κατασκευών</w:t>
      </w:r>
    </w:p>
    <w:p w14:paraId="1C899CEB" w14:textId="6FBC0F0E" w:rsidR="009E387D" w:rsidRDefault="009E387D" w:rsidP="00E923A4">
      <w:pPr>
        <w:jc w:val="both"/>
        <w:rPr>
          <w:rFonts w:ascii="Arial Narrow" w:hAnsi="Arial Narrow" w:cs="Times New Roman"/>
          <w:sz w:val="24"/>
          <w:szCs w:val="24"/>
        </w:rPr>
      </w:pPr>
      <w:r>
        <w:rPr>
          <w:rFonts w:ascii="Arial Narrow" w:hAnsi="Arial Narrow" w:cs="Times New Roman"/>
          <w:sz w:val="24"/>
          <w:szCs w:val="24"/>
        </w:rPr>
        <w:t xml:space="preserve">Ως κύριοι υποτομείς κατασκευών είναι οι οικιστικές κατασκευές που αποτελούν και τον μεγαλύτερο υποτομέα και κατέχουν το 38% έως και 44% της συνολικής κατασκευαστικής δραστηριότητας. Κύριοι παράγοντες ανάπτυξης είναι η αύξηση του πληθυσμού, η εισροή αλλοδαπών επενδυτών, η </w:t>
      </w:r>
      <w:r>
        <w:rPr>
          <w:rFonts w:ascii="Arial Narrow" w:hAnsi="Arial Narrow" w:cs="Times New Roman"/>
          <w:sz w:val="24"/>
          <w:szCs w:val="24"/>
          <w:lang w:val="en-US"/>
        </w:rPr>
        <w:t>Golden</w:t>
      </w:r>
      <w:r w:rsidRPr="009E387D">
        <w:rPr>
          <w:rFonts w:ascii="Arial Narrow" w:hAnsi="Arial Narrow" w:cs="Times New Roman"/>
          <w:sz w:val="24"/>
          <w:szCs w:val="24"/>
        </w:rPr>
        <w:t xml:space="preserve"> </w:t>
      </w:r>
      <w:r>
        <w:rPr>
          <w:rFonts w:ascii="Arial Narrow" w:hAnsi="Arial Narrow" w:cs="Times New Roman"/>
          <w:sz w:val="24"/>
          <w:szCs w:val="24"/>
          <w:lang w:val="en-US"/>
        </w:rPr>
        <w:t>Visa</w:t>
      </w:r>
      <w:r w:rsidRPr="009E387D">
        <w:rPr>
          <w:rFonts w:ascii="Arial Narrow" w:hAnsi="Arial Narrow" w:cs="Times New Roman"/>
          <w:sz w:val="24"/>
          <w:szCs w:val="24"/>
        </w:rPr>
        <w:t xml:space="preserve">, </w:t>
      </w:r>
      <w:r>
        <w:rPr>
          <w:rFonts w:ascii="Arial Narrow" w:hAnsi="Arial Narrow" w:cs="Times New Roman"/>
          <w:sz w:val="24"/>
          <w:szCs w:val="24"/>
        </w:rPr>
        <w:t xml:space="preserve">η μετεγκατάσταση εταιρειών και στελεχών και η υψηλή ζήτηση για πολυτελείς κατοικίες. </w:t>
      </w:r>
      <w:r w:rsidR="00C43C38">
        <w:rPr>
          <w:rFonts w:ascii="Arial Narrow" w:hAnsi="Arial Narrow" w:cs="Times New Roman"/>
          <w:sz w:val="24"/>
          <w:szCs w:val="24"/>
        </w:rPr>
        <w:t xml:space="preserve">Έως το 2031 προβλέπεται για την περιοχή του </w:t>
      </w:r>
      <w:r w:rsidR="00C43C38">
        <w:rPr>
          <w:rFonts w:ascii="Arial Narrow" w:hAnsi="Arial Narrow" w:cs="Times New Roman"/>
          <w:sz w:val="24"/>
          <w:szCs w:val="24"/>
          <w:lang w:val="en-US"/>
        </w:rPr>
        <w:t>Dubai</w:t>
      </w:r>
      <w:r w:rsidR="00C43C38" w:rsidRPr="00C43C38">
        <w:rPr>
          <w:rFonts w:ascii="Arial Narrow" w:hAnsi="Arial Narrow" w:cs="Times New Roman"/>
          <w:sz w:val="24"/>
          <w:szCs w:val="24"/>
        </w:rPr>
        <w:t xml:space="preserve"> </w:t>
      </w:r>
      <w:r w:rsidR="00C43C38">
        <w:rPr>
          <w:rFonts w:ascii="Arial Narrow" w:hAnsi="Arial Narrow" w:cs="Times New Roman"/>
          <w:sz w:val="24"/>
          <w:szCs w:val="24"/>
        </w:rPr>
        <w:t>η παράδοση 463.000 νέων κατοικιών περίπου. Στα εμπορικά ακίνητα περιλαμβάνονται Γραφεία, Εμπορικά Κέντρα, ξενοδοχεία, συνεδριακά κέντρα και μικτές αναπτύξεις (</w:t>
      </w:r>
      <w:r w:rsidR="00C43C38">
        <w:rPr>
          <w:rFonts w:ascii="Arial Narrow" w:hAnsi="Arial Narrow" w:cs="Times New Roman"/>
          <w:sz w:val="24"/>
          <w:szCs w:val="24"/>
          <w:lang w:val="en-US"/>
        </w:rPr>
        <w:t>Mixed</w:t>
      </w:r>
      <w:r w:rsidR="00C43C38" w:rsidRPr="00C43C38">
        <w:rPr>
          <w:rFonts w:ascii="Arial Narrow" w:hAnsi="Arial Narrow" w:cs="Times New Roman"/>
          <w:sz w:val="24"/>
          <w:szCs w:val="24"/>
        </w:rPr>
        <w:t xml:space="preserve"> </w:t>
      </w:r>
      <w:r w:rsidR="00C43C38">
        <w:rPr>
          <w:rFonts w:ascii="Arial Narrow" w:hAnsi="Arial Narrow" w:cs="Times New Roman"/>
          <w:sz w:val="24"/>
          <w:szCs w:val="24"/>
          <w:lang w:val="en-US"/>
        </w:rPr>
        <w:t>Use</w:t>
      </w:r>
      <w:r w:rsidR="00C43C38" w:rsidRPr="00C43C38">
        <w:rPr>
          <w:rFonts w:ascii="Arial Narrow" w:hAnsi="Arial Narrow" w:cs="Times New Roman"/>
          <w:sz w:val="24"/>
          <w:szCs w:val="24"/>
        </w:rPr>
        <w:t xml:space="preserve">). </w:t>
      </w:r>
      <w:r w:rsidR="00FD537D">
        <w:rPr>
          <w:rFonts w:ascii="Arial Narrow" w:hAnsi="Arial Narrow" w:cs="Times New Roman"/>
          <w:sz w:val="24"/>
          <w:szCs w:val="24"/>
        </w:rPr>
        <w:t xml:space="preserve">Οι μικτές αναπτύξεις αποτελούν το 42% του μελλοντικού χαρτοφυλακίου έργων της χώρας. Στις υποδομές μεταφορών περιλαμβάνονται τα κύρια έργα, </w:t>
      </w:r>
      <w:r w:rsidR="00FD537D">
        <w:rPr>
          <w:rFonts w:ascii="Arial Narrow" w:hAnsi="Arial Narrow" w:cs="Times New Roman"/>
          <w:sz w:val="24"/>
          <w:szCs w:val="24"/>
          <w:lang w:val="en-US"/>
        </w:rPr>
        <w:t>Etihad</w:t>
      </w:r>
      <w:r w:rsidR="00FD537D" w:rsidRPr="00FD537D">
        <w:rPr>
          <w:rFonts w:ascii="Arial Narrow" w:hAnsi="Arial Narrow" w:cs="Times New Roman"/>
          <w:sz w:val="24"/>
          <w:szCs w:val="24"/>
        </w:rPr>
        <w:t xml:space="preserve"> </w:t>
      </w:r>
      <w:r w:rsidR="00FD537D">
        <w:rPr>
          <w:rFonts w:ascii="Arial Narrow" w:hAnsi="Arial Narrow" w:cs="Times New Roman"/>
          <w:sz w:val="24"/>
          <w:szCs w:val="24"/>
          <w:lang w:val="en-US"/>
        </w:rPr>
        <w:t>Rail</w:t>
      </w:r>
      <w:r w:rsidR="00FD537D" w:rsidRPr="00FD537D">
        <w:rPr>
          <w:rFonts w:ascii="Arial Narrow" w:hAnsi="Arial Narrow" w:cs="Times New Roman"/>
          <w:sz w:val="24"/>
          <w:szCs w:val="24"/>
        </w:rPr>
        <w:t xml:space="preserve"> (</w:t>
      </w:r>
      <w:r w:rsidR="00FD537D">
        <w:rPr>
          <w:rFonts w:ascii="Arial Narrow" w:hAnsi="Arial Narrow" w:cs="Times New Roman"/>
          <w:sz w:val="24"/>
          <w:szCs w:val="24"/>
        </w:rPr>
        <w:t>εθνικό σιδηροδρομικό δίκτυο 900 χλμ., σύνδεση των επτά εμιράτων και διασύνδεση με κράτη</w:t>
      </w:r>
      <w:r w:rsidR="009E3DEA">
        <w:rPr>
          <w:rFonts w:ascii="Arial Narrow" w:hAnsi="Arial Narrow" w:cs="Times New Roman"/>
          <w:sz w:val="24"/>
          <w:szCs w:val="24"/>
        </w:rPr>
        <w:t xml:space="preserve"> </w:t>
      </w:r>
      <w:r w:rsidR="009E3DEA">
        <w:rPr>
          <w:rFonts w:ascii="Arial Narrow" w:hAnsi="Arial Narrow" w:cs="Times New Roman"/>
          <w:sz w:val="24"/>
          <w:szCs w:val="24"/>
          <w:lang w:val="en-US"/>
        </w:rPr>
        <w:t>GCC</w:t>
      </w:r>
      <w:r w:rsidR="009E3DEA" w:rsidRPr="009E3DEA">
        <w:rPr>
          <w:rFonts w:ascii="Arial Narrow" w:hAnsi="Arial Narrow" w:cs="Times New Roman"/>
          <w:sz w:val="24"/>
          <w:szCs w:val="24"/>
        </w:rPr>
        <w:t>.</w:t>
      </w:r>
      <w:r w:rsidR="009E3DEA">
        <w:rPr>
          <w:rFonts w:ascii="Arial Narrow" w:hAnsi="Arial Narrow" w:cs="Times New Roman"/>
          <w:sz w:val="24"/>
          <w:szCs w:val="24"/>
        </w:rPr>
        <w:t xml:space="preserve"> Στα οδικά έργα περιλαμβάνονται πρόγραμμα οδικών έργων συνολικού ύψους 16 δις </w:t>
      </w:r>
      <w:r w:rsidR="009E3DEA">
        <w:rPr>
          <w:rFonts w:ascii="Arial Narrow" w:hAnsi="Arial Narrow" w:cs="Times New Roman"/>
          <w:sz w:val="24"/>
          <w:szCs w:val="24"/>
          <w:lang w:val="en-US"/>
        </w:rPr>
        <w:t>AED</w:t>
      </w:r>
      <w:r w:rsidR="009E3DEA" w:rsidRPr="009E3DEA">
        <w:rPr>
          <w:rFonts w:ascii="Arial Narrow" w:hAnsi="Arial Narrow" w:cs="Times New Roman"/>
          <w:sz w:val="24"/>
          <w:szCs w:val="24"/>
        </w:rPr>
        <w:t xml:space="preserve"> (</w:t>
      </w:r>
      <w:r w:rsidR="009E3DEA">
        <w:rPr>
          <w:rFonts w:ascii="Arial Narrow" w:hAnsi="Arial Narrow" w:cs="Times New Roman"/>
          <w:sz w:val="24"/>
          <w:szCs w:val="24"/>
        </w:rPr>
        <w:t xml:space="preserve">Ντίρχαμ), 22 μεγάλα έργα και νέους αυτοκινητόδρομους και κόμβους. Όλα τα ανωτέρω αφορούν την ευρύτερη περιοχή του Ντουμπάϊ. Στις βιομηχανικές κατασκευές, η στρατηγική βιομηχανικής ανάπτυξης των ΗΑΕ αυξάνει τη ζήτηση για βιομηχανικά πάρκα, εργοστάσια, </w:t>
      </w:r>
      <w:r w:rsidR="009E3DEA">
        <w:rPr>
          <w:rFonts w:ascii="Arial Narrow" w:hAnsi="Arial Narrow" w:cs="Times New Roman"/>
          <w:sz w:val="24"/>
          <w:szCs w:val="24"/>
          <w:lang w:val="en-US"/>
        </w:rPr>
        <w:t>logistics</w:t>
      </w:r>
      <w:r w:rsidR="009E3DEA" w:rsidRPr="009E3DEA">
        <w:rPr>
          <w:rFonts w:ascii="Arial Narrow" w:hAnsi="Arial Narrow" w:cs="Times New Roman"/>
          <w:sz w:val="24"/>
          <w:szCs w:val="24"/>
        </w:rPr>
        <w:t xml:space="preserve"> </w:t>
      </w:r>
      <w:r w:rsidR="009E3DEA">
        <w:rPr>
          <w:rFonts w:ascii="Arial Narrow" w:hAnsi="Arial Narrow" w:cs="Times New Roman"/>
          <w:sz w:val="24"/>
          <w:szCs w:val="24"/>
          <w:lang w:val="en-US"/>
        </w:rPr>
        <w:t>hubs</w:t>
      </w:r>
      <w:r w:rsidR="009E3DEA" w:rsidRPr="009E3DEA">
        <w:rPr>
          <w:rFonts w:ascii="Arial Narrow" w:hAnsi="Arial Narrow" w:cs="Times New Roman"/>
          <w:sz w:val="24"/>
          <w:szCs w:val="24"/>
        </w:rPr>
        <w:t xml:space="preserve">, </w:t>
      </w:r>
      <w:r w:rsidR="009E3DEA">
        <w:rPr>
          <w:rFonts w:ascii="Arial Narrow" w:hAnsi="Arial Narrow" w:cs="Times New Roman"/>
          <w:sz w:val="24"/>
          <w:szCs w:val="24"/>
        </w:rPr>
        <w:t xml:space="preserve">αποθήκες και ελεύθερες οικονομικές ζώνες. Στις ενεργειακές υποδομές </w:t>
      </w:r>
      <w:r w:rsidR="00AE3EDB">
        <w:rPr>
          <w:rFonts w:ascii="Arial Narrow" w:hAnsi="Arial Narrow" w:cs="Times New Roman"/>
          <w:sz w:val="24"/>
          <w:szCs w:val="24"/>
        </w:rPr>
        <w:t xml:space="preserve">σημαντικές επενδύσεις πραγματοποιούνται σε ηλιακά πάρκα, πυρηνική ενέργεια, δίκτυα ηλεκτρισμού, πράσινο υδρογόνο και υποδομές πετρελαίου και φ/α. Στη γεωγραφική κατανομή των έργων το </w:t>
      </w:r>
      <w:r w:rsidR="00AE3EDB">
        <w:rPr>
          <w:rFonts w:ascii="Arial Narrow" w:hAnsi="Arial Narrow" w:cs="Times New Roman"/>
          <w:sz w:val="24"/>
          <w:szCs w:val="24"/>
          <w:lang w:val="en-US"/>
        </w:rPr>
        <w:t>Dubai</w:t>
      </w:r>
      <w:r w:rsidR="00AE3EDB" w:rsidRPr="00AE3EDB">
        <w:rPr>
          <w:rFonts w:ascii="Arial Narrow" w:hAnsi="Arial Narrow" w:cs="Times New Roman"/>
          <w:sz w:val="24"/>
          <w:szCs w:val="24"/>
        </w:rPr>
        <w:t xml:space="preserve"> </w:t>
      </w:r>
      <w:r w:rsidR="00B1516B">
        <w:rPr>
          <w:rFonts w:ascii="Arial Narrow" w:hAnsi="Arial Narrow" w:cs="Times New Roman"/>
          <w:sz w:val="24"/>
          <w:szCs w:val="24"/>
        </w:rPr>
        <w:t xml:space="preserve">παραμένει το μεγαλύτερο κατασκευαστικό κέντρο της χώρας, αντιπροσωπεύοντας το 47% περίπου της αγοράς κατασκευών, με εμβληματικά έργα όπως </w:t>
      </w:r>
      <w:r w:rsidR="00B1516B">
        <w:rPr>
          <w:rFonts w:ascii="Arial Narrow" w:hAnsi="Arial Narrow" w:cs="Times New Roman"/>
          <w:sz w:val="24"/>
          <w:szCs w:val="24"/>
          <w:lang w:val="en-US"/>
        </w:rPr>
        <w:t>Palm</w:t>
      </w:r>
      <w:r w:rsidR="00B1516B" w:rsidRPr="00B1516B">
        <w:rPr>
          <w:rFonts w:ascii="Arial Narrow" w:hAnsi="Arial Narrow" w:cs="Times New Roman"/>
          <w:sz w:val="24"/>
          <w:szCs w:val="24"/>
        </w:rPr>
        <w:t xml:space="preserve"> </w:t>
      </w:r>
      <w:r w:rsidR="00B1516B">
        <w:rPr>
          <w:rFonts w:ascii="Arial Narrow" w:hAnsi="Arial Narrow" w:cs="Times New Roman"/>
          <w:sz w:val="24"/>
          <w:szCs w:val="24"/>
          <w:lang w:val="en-US"/>
        </w:rPr>
        <w:t>Jebel</w:t>
      </w:r>
      <w:r w:rsidR="00B1516B" w:rsidRPr="00B1516B">
        <w:rPr>
          <w:rFonts w:ascii="Arial Narrow" w:hAnsi="Arial Narrow" w:cs="Times New Roman"/>
          <w:sz w:val="24"/>
          <w:szCs w:val="24"/>
        </w:rPr>
        <w:t xml:space="preserve"> </w:t>
      </w:r>
      <w:r w:rsidR="00B1516B">
        <w:rPr>
          <w:rFonts w:ascii="Arial Narrow" w:hAnsi="Arial Narrow" w:cs="Times New Roman"/>
          <w:sz w:val="24"/>
          <w:szCs w:val="24"/>
          <w:lang w:val="en-US"/>
        </w:rPr>
        <w:t>Ali</w:t>
      </w:r>
      <w:r w:rsidR="00B1516B" w:rsidRPr="00B1516B">
        <w:rPr>
          <w:rFonts w:ascii="Arial Narrow" w:hAnsi="Arial Narrow" w:cs="Times New Roman"/>
          <w:sz w:val="24"/>
          <w:szCs w:val="24"/>
        </w:rPr>
        <w:t xml:space="preserve">, </w:t>
      </w:r>
      <w:r w:rsidR="00B1516B">
        <w:rPr>
          <w:rFonts w:ascii="Arial Narrow" w:hAnsi="Arial Narrow" w:cs="Times New Roman"/>
          <w:sz w:val="24"/>
          <w:szCs w:val="24"/>
          <w:lang w:val="en-US"/>
        </w:rPr>
        <w:t>Dubai</w:t>
      </w:r>
      <w:r w:rsidR="00B1516B" w:rsidRPr="00B1516B">
        <w:rPr>
          <w:rFonts w:ascii="Arial Narrow" w:hAnsi="Arial Narrow" w:cs="Times New Roman"/>
          <w:sz w:val="24"/>
          <w:szCs w:val="24"/>
        </w:rPr>
        <w:t xml:space="preserve"> </w:t>
      </w:r>
      <w:r w:rsidR="00B1516B">
        <w:rPr>
          <w:rFonts w:ascii="Arial Narrow" w:hAnsi="Arial Narrow" w:cs="Times New Roman"/>
          <w:sz w:val="24"/>
          <w:szCs w:val="24"/>
          <w:lang w:val="en-US"/>
        </w:rPr>
        <w:t>Metro</w:t>
      </w:r>
      <w:r w:rsidR="00B1516B" w:rsidRPr="00B1516B">
        <w:rPr>
          <w:rFonts w:ascii="Arial Narrow" w:hAnsi="Arial Narrow" w:cs="Times New Roman"/>
          <w:sz w:val="24"/>
          <w:szCs w:val="24"/>
        </w:rPr>
        <w:t xml:space="preserve"> </w:t>
      </w:r>
      <w:r w:rsidR="00B1516B">
        <w:rPr>
          <w:rFonts w:ascii="Arial Narrow" w:hAnsi="Arial Narrow" w:cs="Times New Roman"/>
          <w:sz w:val="24"/>
          <w:szCs w:val="24"/>
          <w:lang w:val="en-US"/>
        </w:rPr>
        <w:t>Blue</w:t>
      </w:r>
      <w:r w:rsidR="00B1516B" w:rsidRPr="00B1516B">
        <w:rPr>
          <w:rFonts w:ascii="Arial Narrow" w:hAnsi="Arial Narrow" w:cs="Times New Roman"/>
          <w:sz w:val="24"/>
          <w:szCs w:val="24"/>
        </w:rPr>
        <w:t xml:space="preserve"> </w:t>
      </w:r>
      <w:r w:rsidR="00B1516B">
        <w:rPr>
          <w:rFonts w:ascii="Arial Narrow" w:hAnsi="Arial Narrow" w:cs="Times New Roman"/>
          <w:sz w:val="24"/>
          <w:szCs w:val="24"/>
          <w:lang w:val="en-US"/>
        </w:rPr>
        <w:t>Line</w:t>
      </w:r>
      <w:r w:rsidR="00B1516B">
        <w:rPr>
          <w:rFonts w:ascii="Arial Narrow" w:hAnsi="Arial Narrow" w:cs="Times New Roman"/>
          <w:sz w:val="24"/>
          <w:szCs w:val="24"/>
        </w:rPr>
        <w:t xml:space="preserve"> και νέες αστικές επεκτάσεις της </w:t>
      </w:r>
      <w:r w:rsidR="00B1516B">
        <w:rPr>
          <w:rFonts w:ascii="Arial Narrow" w:hAnsi="Arial Narrow" w:cs="Times New Roman"/>
          <w:sz w:val="24"/>
          <w:szCs w:val="24"/>
          <w:lang w:val="en-US"/>
        </w:rPr>
        <w:t>Emaar</w:t>
      </w:r>
      <w:r w:rsidR="00CA5320" w:rsidRPr="00CA5320">
        <w:rPr>
          <w:rFonts w:ascii="Arial Narrow" w:hAnsi="Arial Narrow" w:cs="Times New Roman"/>
          <w:sz w:val="24"/>
          <w:szCs w:val="24"/>
        </w:rPr>
        <w:t xml:space="preserve"> </w:t>
      </w:r>
      <w:r w:rsidR="00CA5320">
        <w:rPr>
          <w:rFonts w:ascii="Arial Narrow" w:hAnsi="Arial Narrow" w:cs="Times New Roman"/>
          <w:sz w:val="24"/>
          <w:szCs w:val="24"/>
        </w:rPr>
        <w:t>συνολικού ύψους 55 δις $</w:t>
      </w:r>
      <w:r w:rsidR="00BE379E">
        <w:rPr>
          <w:rFonts w:ascii="Arial Narrow" w:hAnsi="Arial Narrow" w:cs="Times New Roman"/>
          <w:sz w:val="24"/>
          <w:szCs w:val="24"/>
        </w:rPr>
        <w:t xml:space="preserve">. </w:t>
      </w:r>
      <w:r w:rsidR="004635B6">
        <w:rPr>
          <w:rFonts w:ascii="Arial Narrow" w:hAnsi="Arial Narrow" w:cs="Times New Roman"/>
          <w:sz w:val="24"/>
          <w:szCs w:val="24"/>
        </w:rPr>
        <w:t xml:space="preserve">Το Εμιράτο του </w:t>
      </w:r>
      <w:r w:rsidR="004635B6">
        <w:rPr>
          <w:rFonts w:ascii="Arial Narrow" w:hAnsi="Arial Narrow" w:cs="Times New Roman"/>
          <w:sz w:val="24"/>
          <w:szCs w:val="24"/>
          <w:lang w:val="en-US"/>
        </w:rPr>
        <w:t>Abu</w:t>
      </w:r>
      <w:r w:rsidR="004635B6" w:rsidRPr="004635B6">
        <w:rPr>
          <w:rFonts w:ascii="Arial Narrow" w:hAnsi="Arial Narrow" w:cs="Times New Roman"/>
          <w:sz w:val="24"/>
          <w:szCs w:val="24"/>
        </w:rPr>
        <w:t xml:space="preserve"> </w:t>
      </w:r>
      <w:r w:rsidR="004635B6">
        <w:rPr>
          <w:rFonts w:ascii="Arial Narrow" w:hAnsi="Arial Narrow" w:cs="Times New Roman"/>
          <w:sz w:val="24"/>
          <w:szCs w:val="24"/>
          <w:lang w:val="en-US"/>
        </w:rPr>
        <w:t>Dhabi</w:t>
      </w:r>
      <w:r w:rsidR="004635B6" w:rsidRPr="004635B6">
        <w:rPr>
          <w:rFonts w:ascii="Arial Narrow" w:hAnsi="Arial Narrow" w:cs="Times New Roman"/>
          <w:sz w:val="24"/>
          <w:szCs w:val="24"/>
        </w:rPr>
        <w:t xml:space="preserve"> </w:t>
      </w:r>
      <w:r w:rsidR="004635B6">
        <w:rPr>
          <w:rFonts w:ascii="Arial Narrow" w:hAnsi="Arial Narrow" w:cs="Times New Roman"/>
          <w:sz w:val="24"/>
          <w:szCs w:val="24"/>
        </w:rPr>
        <w:t xml:space="preserve">συγκεντρώνει περίπου το 46% των μεγάλων συμβάσεων της χώρας, με σημαντικά έργα όπως νέες οικιστικές κοινότητες, βιομηχανικές ζώνες, ενεργειακές υποδομές και επεκτάσεις λιμένων και αεροδρομίων. </w:t>
      </w:r>
    </w:p>
    <w:p w14:paraId="1C9A7DE8" w14:textId="7B39E2F8" w:rsidR="004635B6" w:rsidRPr="006E6CDB" w:rsidRDefault="003311DE" w:rsidP="00E923A4">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20.5. </w:t>
      </w:r>
      <w:r w:rsidR="004635B6" w:rsidRPr="006E6CDB">
        <w:rPr>
          <w:rFonts w:ascii="Arial Narrow" w:hAnsi="Arial Narrow" w:cs="Times New Roman"/>
          <w:b/>
          <w:color w:val="4F81BD" w:themeColor="accent1"/>
          <w:sz w:val="24"/>
          <w:szCs w:val="24"/>
        </w:rPr>
        <w:t>Κύριες Κατασκευαστικές και Αναπτυξιακές Εταιρείες</w:t>
      </w:r>
    </w:p>
    <w:p w14:paraId="6BF541A5" w14:textId="093F1149" w:rsidR="004635B6" w:rsidRDefault="004635B6" w:rsidP="00E923A4">
      <w:pPr>
        <w:jc w:val="both"/>
        <w:rPr>
          <w:rFonts w:ascii="Arial Narrow" w:hAnsi="Arial Narrow" w:cs="Times New Roman"/>
          <w:sz w:val="24"/>
          <w:szCs w:val="24"/>
        </w:rPr>
      </w:pPr>
      <w:r>
        <w:rPr>
          <w:rFonts w:ascii="Arial Narrow" w:hAnsi="Arial Narrow" w:cs="Times New Roman"/>
          <w:sz w:val="24"/>
          <w:szCs w:val="24"/>
        </w:rPr>
        <w:t xml:space="preserve">Στις κύριες κατασκευαστικές εταιρείες συμπεριλαμβάνονται οι </w:t>
      </w:r>
      <w:r w:rsidR="00E73ECD">
        <w:rPr>
          <w:rFonts w:ascii="Arial Narrow" w:hAnsi="Arial Narrow" w:cs="Times New Roman"/>
          <w:sz w:val="24"/>
          <w:szCs w:val="24"/>
          <w:lang w:val="en-US"/>
        </w:rPr>
        <w:t>developers</w:t>
      </w:r>
      <w:r w:rsidR="00E73ECD" w:rsidRPr="00E73ECD">
        <w:rPr>
          <w:rFonts w:ascii="Arial Narrow" w:hAnsi="Arial Narrow" w:cs="Times New Roman"/>
          <w:sz w:val="24"/>
          <w:szCs w:val="24"/>
        </w:rPr>
        <w:t xml:space="preserve"> (</w:t>
      </w:r>
      <w:r w:rsidR="00E73ECD">
        <w:rPr>
          <w:rFonts w:ascii="Arial Narrow" w:hAnsi="Arial Narrow" w:cs="Times New Roman"/>
          <w:sz w:val="24"/>
          <w:szCs w:val="24"/>
          <w:lang w:val="en-US"/>
        </w:rPr>
        <w:t>Emaar</w:t>
      </w:r>
      <w:r w:rsidR="00E73ECD" w:rsidRPr="00E73ECD">
        <w:rPr>
          <w:rFonts w:ascii="Arial Narrow" w:hAnsi="Arial Narrow" w:cs="Times New Roman"/>
          <w:sz w:val="24"/>
          <w:szCs w:val="24"/>
        </w:rPr>
        <w:t xml:space="preserve"> </w:t>
      </w:r>
      <w:r w:rsidR="00E73ECD">
        <w:rPr>
          <w:rFonts w:ascii="Arial Narrow" w:hAnsi="Arial Narrow" w:cs="Times New Roman"/>
          <w:sz w:val="24"/>
          <w:szCs w:val="24"/>
          <w:lang w:val="en-US"/>
        </w:rPr>
        <w:t>Properties</w:t>
      </w:r>
      <w:r w:rsidR="00E73ECD" w:rsidRPr="00E73ECD">
        <w:rPr>
          <w:rFonts w:ascii="Arial Narrow" w:hAnsi="Arial Narrow" w:cs="Times New Roman"/>
          <w:sz w:val="24"/>
          <w:szCs w:val="24"/>
        </w:rPr>
        <w:t xml:space="preserve">, </w:t>
      </w:r>
      <w:r w:rsidR="00E73ECD">
        <w:rPr>
          <w:rFonts w:ascii="Arial Narrow" w:hAnsi="Arial Narrow" w:cs="Times New Roman"/>
          <w:sz w:val="24"/>
          <w:szCs w:val="24"/>
          <w:lang w:val="en-US"/>
        </w:rPr>
        <w:t>Nakheel</w:t>
      </w:r>
      <w:r w:rsidR="00E73ECD" w:rsidRPr="00E73ECD">
        <w:rPr>
          <w:rFonts w:ascii="Arial Narrow" w:hAnsi="Arial Narrow" w:cs="Times New Roman"/>
          <w:sz w:val="24"/>
          <w:szCs w:val="24"/>
        </w:rPr>
        <w:t xml:space="preserve">, </w:t>
      </w:r>
      <w:r w:rsidR="00E73ECD">
        <w:rPr>
          <w:rFonts w:ascii="Arial Narrow" w:hAnsi="Arial Narrow" w:cs="Times New Roman"/>
          <w:sz w:val="24"/>
          <w:szCs w:val="24"/>
          <w:lang w:val="en-US"/>
        </w:rPr>
        <w:t>Aldar</w:t>
      </w:r>
      <w:r w:rsidR="00E73ECD" w:rsidRPr="00E73ECD">
        <w:rPr>
          <w:rFonts w:ascii="Arial Narrow" w:hAnsi="Arial Narrow" w:cs="Times New Roman"/>
          <w:sz w:val="24"/>
          <w:szCs w:val="24"/>
        </w:rPr>
        <w:t xml:space="preserve"> </w:t>
      </w:r>
      <w:r w:rsidR="00E73ECD">
        <w:rPr>
          <w:rFonts w:ascii="Arial Narrow" w:hAnsi="Arial Narrow" w:cs="Times New Roman"/>
          <w:sz w:val="24"/>
          <w:szCs w:val="24"/>
          <w:lang w:val="en-US"/>
        </w:rPr>
        <w:t>Properties</w:t>
      </w:r>
      <w:r w:rsidR="00E73ECD" w:rsidRPr="00E73ECD">
        <w:rPr>
          <w:rFonts w:ascii="Arial Narrow" w:hAnsi="Arial Narrow" w:cs="Times New Roman"/>
          <w:sz w:val="24"/>
          <w:szCs w:val="24"/>
        </w:rPr>
        <w:t xml:space="preserve">, </w:t>
      </w:r>
      <w:r w:rsidR="00E73ECD">
        <w:rPr>
          <w:rFonts w:ascii="Arial Narrow" w:hAnsi="Arial Narrow" w:cs="Times New Roman"/>
          <w:sz w:val="24"/>
          <w:szCs w:val="24"/>
          <w:lang w:val="en-US"/>
        </w:rPr>
        <w:t>Meraas</w:t>
      </w:r>
      <w:r w:rsidR="00E73ECD" w:rsidRPr="00E73ECD">
        <w:rPr>
          <w:rFonts w:ascii="Arial Narrow" w:hAnsi="Arial Narrow" w:cs="Times New Roman"/>
          <w:sz w:val="24"/>
          <w:szCs w:val="24"/>
        </w:rPr>
        <w:t xml:space="preserve"> &amp; </w:t>
      </w:r>
      <w:r w:rsidR="00E73ECD">
        <w:rPr>
          <w:rFonts w:ascii="Arial Narrow" w:hAnsi="Arial Narrow" w:cs="Times New Roman"/>
          <w:sz w:val="24"/>
          <w:szCs w:val="24"/>
          <w:lang w:val="en-US"/>
        </w:rPr>
        <w:t>Dubai</w:t>
      </w:r>
      <w:r w:rsidR="00E73ECD" w:rsidRPr="00E73ECD">
        <w:rPr>
          <w:rFonts w:ascii="Arial Narrow" w:hAnsi="Arial Narrow" w:cs="Times New Roman"/>
          <w:sz w:val="24"/>
          <w:szCs w:val="24"/>
        </w:rPr>
        <w:t xml:space="preserve"> </w:t>
      </w:r>
      <w:r w:rsidR="00E73ECD">
        <w:rPr>
          <w:rFonts w:ascii="Arial Narrow" w:hAnsi="Arial Narrow" w:cs="Times New Roman"/>
          <w:sz w:val="24"/>
          <w:szCs w:val="24"/>
          <w:lang w:val="en-US"/>
        </w:rPr>
        <w:t>Holding</w:t>
      </w:r>
      <w:r w:rsidR="00E73ECD" w:rsidRPr="00E73ECD">
        <w:rPr>
          <w:rFonts w:ascii="Arial Narrow" w:hAnsi="Arial Narrow" w:cs="Times New Roman"/>
          <w:sz w:val="24"/>
          <w:szCs w:val="24"/>
        </w:rPr>
        <w:t xml:space="preserve">. </w:t>
      </w:r>
      <w:r w:rsidR="00E73ECD">
        <w:rPr>
          <w:rFonts w:ascii="Arial Narrow" w:hAnsi="Arial Narrow" w:cs="Times New Roman"/>
          <w:sz w:val="24"/>
          <w:szCs w:val="24"/>
        </w:rPr>
        <w:t>Στους κατασκευαστικούς τομείς περιλαμβάνονται (</w:t>
      </w:r>
      <w:r w:rsidR="00E73ECD">
        <w:rPr>
          <w:rFonts w:ascii="Arial Narrow" w:hAnsi="Arial Narrow" w:cs="Times New Roman"/>
          <w:sz w:val="24"/>
          <w:szCs w:val="24"/>
          <w:lang w:val="en-US"/>
        </w:rPr>
        <w:t>Arabtec</w:t>
      </w:r>
      <w:r w:rsidR="00E73ECD" w:rsidRPr="00E73ECD">
        <w:rPr>
          <w:rFonts w:ascii="Arial Narrow" w:hAnsi="Arial Narrow" w:cs="Times New Roman"/>
          <w:sz w:val="24"/>
          <w:szCs w:val="24"/>
        </w:rPr>
        <w:t xml:space="preserve">, </w:t>
      </w:r>
      <w:r w:rsidR="00E73ECD">
        <w:rPr>
          <w:rFonts w:ascii="Arial Narrow" w:hAnsi="Arial Narrow" w:cs="Times New Roman"/>
          <w:sz w:val="24"/>
          <w:szCs w:val="24"/>
          <w:lang w:val="en-US"/>
        </w:rPr>
        <w:t>ALEC</w:t>
      </w:r>
      <w:r w:rsidR="00E73ECD" w:rsidRPr="00E73ECD">
        <w:rPr>
          <w:rFonts w:ascii="Arial Narrow" w:hAnsi="Arial Narrow" w:cs="Times New Roman"/>
          <w:sz w:val="24"/>
          <w:szCs w:val="24"/>
        </w:rPr>
        <w:t xml:space="preserve"> </w:t>
      </w:r>
      <w:r w:rsidR="00E73ECD">
        <w:rPr>
          <w:rFonts w:ascii="Arial Narrow" w:hAnsi="Arial Narrow" w:cs="Times New Roman"/>
          <w:sz w:val="24"/>
          <w:szCs w:val="24"/>
          <w:lang w:val="en-US"/>
        </w:rPr>
        <w:t>Engineering</w:t>
      </w:r>
      <w:r w:rsidR="00E73ECD" w:rsidRPr="00E73ECD">
        <w:rPr>
          <w:rFonts w:ascii="Arial Narrow" w:hAnsi="Arial Narrow" w:cs="Times New Roman"/>
          <w:sz w:val="24"/>
          <w:szCs w:val="24"/>
        </w:rPr>
        <w:t xml:space="preserve"> &amp; </w:t>
      </w:r>
      <w:r w:rsidR="00E73ECD">
        <w:rPr>
          <w:rFonts w:ascii="Arial Narrow" w:hAnsi="Arial Narrow" w:cs="Times New Roman"/>
          <w:sz w:val="24"/>
          <w:szCs w:val="24"/>
          <w:lang w:val="en-US"/>
        </w:rPr>
        <w:t>Contracting</w:t>
      </w:r>
      <w:r w:rsidR="00E73ECD" w:rsidRPr="00E73ECD">
        <w:rPr>
          <w:rFonts w:ascii="Arial Narrow" w:hAnsi="Arial Narrow" w:cs="Times New Roman"/>
          <w:sz w:val="24"/>
          <w:szCs w:val="24"/>
        </w:rPr>
        <w:t xml:space="preserve">, </w:t>
      </w:r>
      <w:r w:rsidR="00E73ECD">
        <w:rPr>
          <w:rFonts w:ascii="Arial Narrow" w:hAnsi="Arial Narrow" w:cs="Times New Roman"/>
          <w:sz w:val="24"/>
          <w:szCs w:val="24"/>
          <w:lang w:val="en-US"/>
        </w:rPr>
        <w:t>Khansaheb</w:t>
      </w:r>
      <w:r w:rsidR="00E73ECD" w:rsidRPr="00E73ECD">
        <w:rPr>
          <w:rFonts w:ascii="Arial Narrow" w:hAnsi="Arial Narrow" w:cs="Times New Roman"/>
          <w:sz w:val="24"/>
          <w:szCs w:val="24"/>
        </w:rPr>
        <w:t xml:space="preserve"> </w:t>
      </w:r>
      <w:r w:rsidR="00E73ECD">
        <w:rPr>
          <w:rFonts w:ascii="Arial Narrow" w:hAnsi="Arial Narrow" w:cs="Times New Roman"/>
          <w:sz w:val="24"/>
          <w:szCs w:val="24"/>
          <w:lang w:val="en-US"/>
        </w:rPr>
        <w:t>Civil</w:t>
      </w:r>
      <w:r w:rsidR="00E73ECD" w:rsidRPr="00E73ECD">
        <w:rPr>
          <w:rFonts w:ascii="Arial Narrow" w:hAnsi="Arial Narrow" w:cs="Times New Roman"/>
          <w:sz w:val="24"/>
          <w:szCs w:val="24"/>
        </w:rPr>
        <w:t xml:space="preserve"> </w:t>
      </w:r>
      <w:r w:rsidR="00E73ECD">
        <w:rPr>
          <w:rFonts w:ascii="Arial Narrow" w:hAnsi="Arial Narrow" w:cs="Times New Roman"/>
          <w:sz w:val="24"/>
          <w:szCs w:val="24"/>
          <w:lang w:val="en-US"/>
        </w:rPr>
        <w:t>Engineering</w:t>
      </w:r>
      <w:r w:rsidR="00E73ECD" w:rsidRPr="00E73ECD">
        <w:rPr>
          <w:rFonts w:ascii="Arial Narrow" w:hAnsi="Arial Narrow" w:cs="Times New Roman"/>
          <w:sz w:val="24"/>
          <w:szCs w:val="24"/>
        </w:rPr>
        <w:t xml:space="preserve"> &amp; </w:t>
      </w:r>
      <w:r w:rsidR="00E73ECD">
        <w:rPr>
          <w:rFonts w:ascii="Arial Narrow" w:hAnsi="Arial Narrow" w:cs="Times New Roman"/>
          <w:sz w:val="24"/>
          <w:szCs w:val="24"/>
          <w:lang w:val="en-US"/>
        </w:rPr>
        <w:t>ASGC</w:t>
      </w:r>
      <w:r w:rsidR="00E73ECD" w:rsidRPr="00E73ECD">
        <w:rPr>
          <w:rFonts w:ascii="Arial Narrow" w:hAnsi="Arial Narrow" w:cs="Times New Roman"/>
          <w:sz w:val="24"/>
          <w:szCs w:val="24"/>
        </w:rPr>
        <w:t xml:space="preserve"> </w:t>
      </w:r>
      <w:r w:rsidR="00E73ECD">
        <w:rPr>
          <w:rFonts w:ascii="Arial Narrow" w:hAnsi="Arial Narrow" w:cs="Times New Roman"/>
          <w:sz w:val="24"/>
          <w:szCs w:val="24"/>
          <w:lang w:val="en-US"/>
        </w:rPr>
        <w:t>Construction</w:t>
      </w:r>
      <w:r w:rsidR="00E73ECD" w:rsidRPr="00E73ECD">
        <w:rPr>
          <w:rFonts w:ascii="Arial Narrow" w:hAnsi="Arial Narrow" w:cs="Times New Roman"/>
          <w:sz w:val="24"/>
          <w:szCs w:val="24"/>
        </w:rPr>
        <w:t>).</w:t>
      </w:r>
    </w:p>
    <w:p w14:paraId="196191FF" w14:textId="0A6D48E2" w:rsidR="00E73ECD" w:rsidRPr="006E6CDB" w:rsidRDefault="003311DE" w:rsidP="00E923A4">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20.6. </w:t>
      </w:r>
      <w:r w:rsidR="00E73ECD" w:rsidRPr="006E6CDB">
        <w:rPr>
          <w:rFonts w:ascii="Arial Narrow" w:hAnsi="Arial Narrow" w:cs="Times New Roman"/>
          <w:b/>
          <w:color w:val="4F81BD" w:themeColor="accent1"/>
          <w:sz w:val="24"/>
          <w:szCs w:val="24"/>
          <w:lang w:val="en-US"/>
        </w:rPr>
        <w:t>T</w:t>
      </w:r>
      <w:r w:rsidR="00E73ECD" w:rsidRPr="006E6CDB">
        <w:rPr>
          <w:rFonts w:ascii="Arial Narrow" w:hAnsi="Arial Narrow" w:cs="Times New Roman"/>
          <w:b/>
          <w:color w:val="4F81BD" w:themeColor="accent1"/>
          <w:sz w:val="24"/>
          <w:szCs w:val="24"/>
        </w:rPr>
        <w:t>εχνολογικές Τάσεις</w:t>
      </w:r>
    </w:p>
    <w:p w14:paraId="36D857E0" w14:textId="7206AAEE" w:rsidR="00E73ECD" w:rsidRDefault="00E73ECD" w:rsidP="00E923A4">
      <w:pPr>
        <w:jc w:val="both"/>
        <w:rPr>
          <w:rFonts w:ascii="Arial Narrow" w:hAnsi="Arial Narrow" w:cs="Times New Roman"/>
          <w:sz w:val="24"/>
          <w:szCs w:val="24"/>
        </w:rPr>
      </w:pPr>
      <w:r>
        <w:rPr>
          <w:rFonts w:ascii="Arial Narrow" w:hAnsi="Arial Narrow" w:cs="Times New Roman"/>
          <w:sz w:val="24"/>
          <w:szCs w:val="24"/>
        </w:rPr>
        <w:t xml:space="preserve">Οι κατασκευές στα ΗΑΕ πρωτοπορούν στην υιοθέτηση νέων τεχνολογιών, όπως </w:t>
      </w:r>
      <w:r>
        <w:rPr>
          <w:rFonts w:ascii="Arial Narrow" w:hAnsi="Arial Narrow" w:cs="Times New Roman"/>
          <w:sz w:val="24"/>
          <w:szCs w:val="24"/>
          <w:lang w:val="en-US"/>
        </w:rPr>
        <w:t>BIM</w:t>
      </w:r>
      <w:r w:rsidRPr="00E73ECD">
        <w:rPr>
          <w:rFonts w:ascii="Arial Narrow" w:hAnsi="Arial Narrow" w:cs="Times New Roman"/>
          <w:sz w:val="24"/>
          <w:szCs w:val="24"/>
        </w:rPr>
        <w:t xml:space="preserve"> (</w:t>
      </w:r>
      <w:r>
        <w:rPr>
          <w:rFonts w:ascii="Arial Narrow" w:hAnsi="Arial Narrow" w:cs="Times New Roman"/>
          <w:sz w:val="24"/>
          <w:szCs w:val="24"/>
          <w:lang w:val="en-US"/>
        </w:rPr>
        <w:t>Building</w:t>
      </w:r>
      <w:r w:rsidRPr="00E73ECD">
        <w:rPr>
          <w:rFonts w:ascii="Arial Narrow" w:hAnsi="Arial Narrow" w:cs="Times New Roman"/>
          <w:sz w:val="24"/>
          <w:szCs w:val="24"/>
        </w:rPr>
        <w:t xml:space="preserve"> </w:t>
      </w:r>
      <w:r>
        <w:rPr>
          <w:rFonts w:ascii="Arial Narrow" w:hAnsi="Arial Narrow" w:cs="Times New Roman"/>
          <w:sz w:val="24"/>
          <w:szCs w:val="24"/>
          <w:lang w:val="en-US"/>
        </w:rPr>
        <w:t>Information</w:t>
      </w:r>
      <w:r w:rsidRPr="00E73ECD">
        <w:rPr>
          <w:rFonts w:ascii="Arial Narrow" w:hAnsi="Arial Narrow" w:cs="Times New Roman"/>
          <w:sz w:val="24"/>
          <w:szCs w:val="24"/>
        </w:rPr>
        <w:t xml:space="preserve"> </w:t>
      </w:r>
      <w:r>
        <w:rPr>
          <w:rFonts w:ascii="Arial Narrow" w:hAnsi="Arial Narrow" w:cs="Times New Roman"/>
          <w:sz w:val="24"/>
          <w:szCs w:val="24"/>
          <w:lang w:val="en-US"/>
        </w:rPr>
        <w:t>Modeling</w:t>
      </w:r>
      <w:r w:rsidRPr="00E73ECD">
        <w:rPr>
          <w:rFonts w:ascii="Arial Narrow" w:hAnsi="Arial Narrow" w:cs="Times New Roman"/>
          <w:sz w:val="24"/>
          <w:szCs w:val="24"/>
        </w:rPr>
        <w:t xml:space="preserve"> </w:t>
      </w:r>
      <w:r w:rsidR="004F1490">
        <w:rPr>
          <w:rFonts w:ascii="Arial Narrow" w:hAnsi="Arial Narrow" w:cs="Times New Roman"/>
          <w:sz w:val="24"/>
          <w:szCs w:val="24"/>
        </w:rPr>
        <w:t>–</w:t>
      </w:r>
      <w:r w:rsidRPr="00E73ECD">
        <w:rPr>
          <w:rFonts w:ascii="Arial Narrow" w:hAnsi="Arial Narrow" w:cs="Times New Roman"/>
          <w:sz w:val="24"/>
          <w:szCs w:val="24"/>
        </w:rPr>
        <w:t xml:space="preserve"> </w:t>
      </w:r>
      <w:r w:rsidR="004F1490">
        <w:rPr>
          <w:rFonts w:ascii="Arial Narrow" w:hAnsi="Arial Narrow" w:cs="Times New Roman"/>
          <w:sz w:val="24"/>
          <w:szCs w:val="24"/>
        </w:rPr>
        <w:t>Χρησιμοποιείται σε όλα σχεδόν τα μεγάλα έργα)</w:t>
      </w:r>
      <w:r w:rsidR="004F1490" w:rsidRPr="004F1490">
        <w:rPr>
          <w:rFonts w:ascii="Arial Narrow" w:hAnsi="Arial Narrow" w:cs="Times New Roman"/>
          <w:sz w:val="24"/>
          <w:szCs w:val="24"/>
        </w:rPr>
        <w:t xml:space="preserve">, </w:t>
      </w:r>
      <w:r w:rsidR="004F1490">
        <w:rPr>
          <w:rFonts w:ascii="Arial Narrow" w:hAnsi="Arial Narrow" w:cs="Times New Roman"/>
          <w:sz w:val="24"/>
          <w:szCs w:val="24"/>
          <w:lang w:val="en-US"/>
        </w:rPr>
        <w:t>Smart</w:t>
      </w:r>
      <w:r w:rsidR="004F1490" w:rsidRPr="004F1490">
        <w:rPr>
          <w:rFonts w:ascii="Arial Narrow" w:hAnsi="Arial Narrow" w:cs="Times New Roman"/>
          <w:sz w:val="24"/>
          <w:szCs w:val="24"/>
        </w:rPr>
        <w:t xml:space="preserve"> </w:t>
      </w:r>
      <w:r w:rsidR="004F1490">
        <w:rPr>
          <w:rFonts w:ascii="Arial Narrow" w:hAnsi="Arial Narrow" w:cs="Times New Roman"/>
          <w:sz w:val="24"/>
          <w:szCs w:val="24"/>
          <w:lang w:val="en-US"/>
        </w:rPr>
        <w:t>Buildings</w:t>
      </w:r>
      <w:r w:rsidR="004F1490" w:rsidRPr="004F1490">
        <w:rPr>
          <w:rFonts w:ascii="Arial Narrow" w:hAnsi="Arial Narrow" w:cs="Times New Roman"/>
          <w:sz w:val="24"/>
          <w:szCs w:val="24"/>
        </w:rPr>
        <w:t xml:space="preserve"> (</w:t>
      </w:r>
      <w:r w:rsidR="004F1490">
        <w:rPr>
          <w:rFonts w:ascii="Arial Narrow" w:hAnsi="Arial Narrow" w:cs="Times New Roman"/>
          <w:sz w:val="24"/>
          <w:szCs w:val="24"/>
          <w:lang w:val="en-US"/>
        </w:rPr>
        <w:t>IoT</w:t>
      </w:r>
      <w:r w:rsidR="004F1490" w:rsidRPr="004F1490">
        <w:rPr>
          <w:rFonts w:ascii="Arial Narrow" w:hAnsi="Arial Narrow" w:cs="Times New Roman"/>
          <w:sz w:val="24"/>
          <w:szCs w:val="24"/>
        </w:rPr>
        <w:t xml:space="preserve">, </w:t>
      </w:r>
      <w:r w:rsidR="004F1490">
        <w:rPr>
          <w:rFonts w:ascii="Arial Narrow" w:hAnsi="Arial Narrow" w:cs="Times New Roman"/>
          <w:sz w:val="24"/>
          <w:szCs w:val="24"/>
          <w:lang w:val="en-US"/>
        </w:rPr>
        <w:t>AI</w:t>
      </w:r>
      <w:r w:rsidR="004F1490" w:rsidRPr="004F1490">
        <w:rPr>
          <w:rFonts w:ascii="Arial Narrow" w:hAnsi="Arial Narrow" w:cs="Times New Roman"/>
          <w:sz w:val="24"/>
          <w:szCs w:val="24"/>
        </w:rPr>
        <w:t xml:space="preserve">, </w:t>
      </w:r>
      <w:r w:rsidR="004F1490">
        <w:rPr>
          <w:rFonts w:ascii="Arial Narrow" w:hAnsi="Arial Narrow" w:cs="Times New Roman"/>
          <w:sz w:val="24"/>
          <w:szCs w:val="24"/>
        </w:rPr>
        <w:t xml:space="preserve">Ψηφιακή Διαχείριση κτιρίων). </w:t>
      </w:r>
      <w:r w:rsidR="004F1490">
        <w:rPr>
          <w:rFonts w:ascii="Arial Narrow" w:hAnsi="Arial Narrow" w:cs="Times New Roman"/>
          <w:sz w:val="24"/>
          <w:szCs w:val="24"/>
          <w:lang w:val="en-US"/>
        </w:rPr>
        <w:t>Modular</w:t>
      </w:r>
      <w:r w:rsidR="004F1490" w:rsidRPr="004F1490">
        <w:rPr>
          <w:rFonts w:ascii="Arial Narrow" w:hAnsi="Arial Narrow" w:cs="Times New Roman"/>
          <w:sz w:val="24"/>
          <w:szCs w:val="24"/>
        </w:rPr>
        <w:t xml:space="preserve"> </w:t>
      </w:r>
      <w:r w:rsidR="004F1490">
        <w:rPr>
          <w:rFonts w:ascii="Arial Narrow" w:hAnsi="Arial Narrow" w:cs="Times New Roman"/>
          <w:sz w:val="24"/>
          <w:szCs w:val="24"/>
          <w:lang w:val="en-US"/>
        </w:rPr>
        <w:t>Construction</w:t>
      </w:r>
      <w:r w:rsidR="004F1490" w:rsidRPr="004F1490">
        <w:rPr>
          <w:rFonts w:ascii="Arial Narrow" w:hAnsi="Arial Narrow" w:cs="Times New Roman"/>
          <w:sz w:val="24"/>
          <w:szCs w:val="24"/>
        </w:rPr>
        <w:t xml:space="preserve"> (</w:t>
      </w:r>
      <w:r w:rsidR="004F1490">
        <w:rPr>
          <w:rFonts w:ascii="Arial Narrow" w:hAnsi="Arial Narrow" w:cs="Times New Roman"/>
          <w:sz w:val="24"/>
          <w:szCs w:val="24"/>
        </w:rPr>
        <w:t xml:space="preserve">ο ταχύτερα αναπτυσσόμενος τρόπος κατασκευής, με ρυθμό ανάπτυξης άνω του 6% ετησίως. </w:t>
      </w:r>
      <w:r w:rsidR="004F1490" w:rsidRPr="00E811E8">
        <w:rPr>
          <w:rFonts w:ascii="Arial Narrow" w:hAnsi="Arial Narrow" w:cs="Times New Roman"/>
          <w:sz w:val="24"/>
          <w:szCs w:val="24"/>
        </w:rPr>
        <w:t>3</w:t>
      </w:r>
      <w:r w:rsidR="004F1490">
        <w:rPr>
          <w:rFonts w:ascii="Arial Narrow" w:hAnsi="Arial Narrow" w:cs="Times New Roman"/>
          <w:sz w:val="24"/>
          <w:szCs w:val="24"/>
          <w:lang w:val="en-US"/>
        </w:rPr>
        <w:t>D</w:t>
      </w:r>
      <w:r w:rsidR="004F1490" w:rsidRPr="00E811E8">
        <w:rPr>
          <w:rFonts w:ascii="Arial Narrow" w:hAnsi="Arial Narrow" w:cs="Times New Roman"/>
          <w:sz w:val="24"/>
          <w:szCs w:val="24"/>
        </w:rPr>
        <w:t xml:space="preserve"> </w:t>
      </w:r>
      <w:r w:rsidR="004F1490">
        <w:rPr>
          <w:rFonts w:ascii="Arial Narrow" w:hAnsi="Arial Narrow" w:cs="Times New Roman"/>
          <w:sz w:val="24"/>
          <w:szCs w:val="24"/>
          <w:lang w:val="en-US"/>
        </w:rPr>
        <w:t>Printing</w:t>
      </w:r>
      <w:r w:rsidR="004F1490" w:rsidRPr="00E811E8">
        <w:rPr>
          <w:rFonts w:ascii="Arial Narrow" w:hAnsi="Arial Narrow" w:cs="Times New Roman"/>
          <w:sz w:val="24"/>
          <w:szCs w:val="24"/>
        </w:rPr>
        <w:t xml:space="preserve"> (</w:t>
      </w:r>
      <w:r w:rsidR="00E811E8">
        <w:rPr>
          <w:rFonts w:ascii="Arial Narrow" w:hAnsi="Arial Narrow" w:cs="Times New Roman"/>
          <w:sz w:val="24"/>
          <w:szCs w:val="24"/>
        </w:rPr>
        <w:t>το Ντουμπάϊ έχει θέσει στόχο σημαντικό ποσοστό νέων κτιρίων να χρησιμοποιεί τεχνολογίες τρισδιάστατης εκτύπωσης.</w:t>
      </w:r>
    </w:p>
    <w:p w14:paraId="0D8BADDA" w14:textId="3180E3D4" w:rsidR="007F45DD" w:rsidRPr="006E6CDB" w:rsidRDefault="003311DE" w:rsidP="00E923A4">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20.7. </w:t>
      </w:r>
      <w:r w:rsidR="007F45DD" w:rsidRPr="006E6CDB">
        <w:rPr>
          <w:rFonts w:ascii="Arial Narrow" w:hAnsi="Arial Narrow" w:cs="Times New Roman"/>
          <w:b/>
          <w:color w:val="4F81BD" w:themeColor="accent1"/>
          <w:sz w:val="24"/>
          <w:szCs w:val="24"/>
        </w:rPr>
        <w:t xml:space="preserve">Πράσινες Κατασκευές </w:t>
      </w:r>
    </w:p>
    <w:p w14:paraId="50E44814" w14:textId="77777777" w:rsidR="003311DE" w:rsidRDefault="007F45DD" w:rsidP="00E923A4">
      <w:pPr>
        <w:jc w:val="both"/>
        <w:rPr>
          <w:rFonts w:ascii="Arial Narrow" w:hAnsi="Arial Narrow" w:cs="Times New Roman"/>
          <w:sz w:val="24"/>
          <w:szCs w:val="24"/>
        </w:rPr>
      </w:pPr>
      <w:r>
        <w:rPr>
          <w:rFonts w:ascii="Arial Narrow" w:hAnsi="Arial Narrow" w:cs="Times New Roman"/>
          <w:sz w:val="24"/>
          <w:szCs w:val="24"/>
        </w:rPr>
        <w:t xml:space="preserve">Οι νέες αναπτύξεις υποχρεώνονται να ενσωματώνουν τα παρακάτω: </w:t>
      </w:r>
      <w:r>
        <w:rPr>
          <w:rFonts w:ascii="Arial Narrow" w:hAnsi="Arial Narrow" w:cs="Times New Roman"/>
          <w:sz w:val="24"/>
          <w:szCs w:val="24"/>
          <w:lang w:val="en-US"/>
        </w:rPr>
        <w:t>LEED</w:t>
      </w:r>
      <w:r w:rsidRPr="007F45DD">
        <w:rPr>
          <w:rFonts w:ascii="Arial Narrow" w:hAnsi="Arial Narrow" w:cs="Times New Roman"/>
          <w:sz w:val="24"/>
          <w:szCs w:val="24"/>
        </w:rPr>
        <w:t xml:space="preserve"> </w:t>
      </w:r>
      <w:r>
        <w:rPr>
          <w:rFonts w:ascii="Arial Narrow" w:hAnsi="Arial Narrow" w:cs="Times New Roman"/>
          <w:sz w:val="24"/>
          <w:szCs w:val="24"/>
          <w:lang w:val="en-US"/>
        </w:rPr>
        <w:t>Certification</w:t>
      </w:r>
      <w:r w:rsidRPr="007F45DD">
        <w:rPr>
          <w:rFonts w:ascii="Arial Narrow" w:hAnsi="Arial Narrow" w:cs="Times New Roman"/>
          <w:sz w:val="24"/>
          <w:szCs w:val="24"/>
        </w:rPr>
        <w:t xml:space="preserve">, </w:t>
      </w:r>
      <w:r>
        <w:rPr>
          <w:rFonts w:ascii="Arial Narrow" w:hAnsi="Arial Narrow" w:cs="Times New Roman"/>
          <w:sz w:val="24"/>
          <w:szCs w:val="24"/>
          <w:lang w:val="en-US"/>
        </w:rPr>
        <w:t>Estimada</w:t>
      </w:r>
      <w:r w:rsidRPr="007F45DD">
        <w:rPr>
          <w:rFonts w:ascii="Arial Narrow" w:hAnsi="Arial Narrow" w:cs="Times New Roman"/>
          <w:sz w:val="24"/>
          <w:szCs w:val="24"/>
        </w:rPr>
        <w:t xml:space="preserve"> </w:t>
      </w:r>
      <w:r>
        <w:rPr>
          <w:rFonts w:ascii="Arial Narrow" w:hAnsi="Arial Narrow" w:cs="Times New Roman"/>
          <w:sz w:val="24"/>
          <w:szCs w:val="24"/>
          <w:lang w:val="en-US"/>
        </w:rPr>
        <w:t>Standards</w:t>
      </w:r>
      <w:r w:rsidRPr="007F45DD">
        <w:rPr>
          <w:rFonts w:ascii="Arial Narrow" w:hAnsi="Arial Narrow" w:cs="Times New Roman"/>
          <w:sz w:val="24"/>
          <w:szCs w:val="24"/>
        </w:rPr>
        <w:t xml:space="preserve">, </w:t>
      </w:r>
      <w:r>
        <w:rPr>
          <w:rFonts w:ascii="Arial Narrow" w:hAnsi="Arial Narrow" w:cs="Times New Roman"/>
          <w:sz w:val="24"/>
          <w:szCs w:val="24"/>
        </w:rPr>
        <w:t xml:space="preserve">Ενεργειακή Αποδοτικότητα, Ανακύκλωση νερού, Φωτοβολταϊκά Συστήματα και Συστήματα χαμηλών εκπομπών άνθρακα. </w:t>
      </w:r>
    </w:p>
    <w:p w14:paraId="48A621A6" w14:textId="43CFB1B8" w:rsidR="007F45DD" w:rsidRPr="003311DE" w:rsidRDefault="003311DE" w:rsidP="00E923A4">
      <w:pPr>
        <w:jc w:val="both"/>
        <w:rPr>
          <w:rFonts w:ascii="Arial Narrow" w:hAnsi="Arial Narrow" w:cs="Times New Roman"/>
          <w:sz w:val="24"/>
          <w:szCs w:val="24"/>
        </w:rPr>
      </w:pPr>
      <w:r>
        <w:rPr>
          <w:rFonts w:ascii="Arial Narrow" w:hAnsi="Arial Narrow" w:cs="Times New Roman"/>
          <w:b/>
          <w:color w:val="4F81BD" w:themeColor="accent1"/>
          <w:sz w:val="24"/>
          <w:szCs w:val="24"/>
        </w:rPr>
        <w:t xml:space="preserve">20.8. </w:t>
      </w:r>
      <w:r w:rsidR="007F45DD" w:rsidRPr="006E6CDB">
        <w:rPr>
          <w:rFonts w:ascii="Arial Narrow" w:hAnsi="Arial Narrow" w:cs="Times New Roman"/>
          <w:b/>
          <w:color w:val="4F81BD" w:themeColor="accent1"/>
          <w:sz w:val="24"/>
          <w:szCs w:val="24"/>
        </w:rPr>
        <w:t xml:space="preserve"> Προκλήσεις του Τομέα </w:t>
      </w:r>
    </w:p>
    <w:p w14:paraId="73D8A2A9" w14:textId="4D5E0AAC" w:rsidR="007F45DD" w:rsidRDefault="007F45DD" w:rsidP="00E923A4">
      <w:pPr>
        <w:jc w:val="both"/>
        <w:rPr>
          <w:rFonts w:ascii="Arial Narrow" w:hAnsi="Arial Narrow" w:cs="Times New Roman"/>
          <w:sz w:val="24"/>
          <w:szCs w:val="24"/>
        </w:rPr>
      </w:pPr>
      <w:r>
        <w:rPr>
          <w:rFonts w:ascii="Arial Narrow" w:hAnsi="Arial Narrow" w:cs="Times New Roman"/>
          <w:sz w:val="24"/>
          <w:szCs w:val="24"/>
        </w:rPr>
        <w:t xml:space="preserve">Στις προκλήσεις του τομέα των κατασκευών περιλαμβάνονται η αύξηση κόστους υλικών (το 2026 παρατηρούνται σημαντικές αυξήσεις στον χάλυβα κατά +40%, στο σκυρόδεμα κατά +50% και στο τσιμέντο κατά +36% περίπου. Άλλες προκλήσεις είναι η έλλειψη εξειδικευμένου προσωπικού, με την αυξανόμενη ζήτηση να δημιουργεί πιέσεις σε ειδικότητες όπως μηχανικούς, </w:t>
      </w:r>
      <w:r w:rsidR="00511DA0">
        <w:rPr>
          <w:rFonts w:ascii="Arial Narrow" w:hAnsi="Arial Narrow" w:cs="Times New Roman"/>
          <w:sz w:val="24"/>
          <w:szCs w:val="24"/>
          <w:lang w:val="en-US"/>
        </w:rPr>
        <w:t>Project</w:t>
      </w:r>
      <w:r w:rsidR="00511DA0" w:rsidRPr="00511DA0">
        <w:rPr>
          <w:rFonts w:ascii="Arial Narrow" w:hAnsi="Arial Narrow" w:cs="Times New Roman"/>
          <w:sz w:val="24"/>
          <w:szCs w:val="24"/>
        </w:rPr>
        <w:t xml:space="preserve"> </w:t>
      </w:r>
      <w:r w:rsidR="00511DA0">
        <w:rPr>
          <w:rFonts w:ascii="Arial Narrow" w:hAnsi="Arial Narrow" w:cs="Times New Roman"/>
          <w:sz w:val="24"/>
          <w:szCs w:val="24"/>
          <w:lang w:val="en-US"/>
        </w:rPr>
        <w:t>Managers</w:t>
      </w:r>
      <w:r w:rsidR="00511DA0" w:rsidRPr="00511DA0">
        <w:rPr>
          <w:rFonts w:ascii="Arial Narrow" w:hAnsi="Arial Narrow" w:cs="Times New Roman"/>
          <w:sz w:val="24"/>
          <w:szCs w:val="24"/>
        </w:rPr>
        <w:t xml:space="preserve">, </w:t>
      </w:r>
      <w:r w:rsidR="00511DA0">
        <w:rPr>
          <w:rFonts w:ascii="Arial Narrow" w:hAnsi="Arial Narrow" w:cs="Times New Roman"/>
          <w:sz w:val="24"/>
          <w:szCs w:val="24"/>
        </w:rPr>
        <w:t>Εργολάβους και Τεχνικούς Ειδικοτήτων. Επίσης προκλήσεις δημιουργούνται και στη διαχείριση της εφοδιαστικής αλυσίδας με τις πρόσφατες γεωπολιτικές εξελίξεις να αυξάνουν τους κινδύνους καθυστερήσεων και ανατιμήσεων σε μια πλειάδα καταναλωτικών προϊόντων.</w:t>
      </w:r>
    </w:p>
    <w:p w14:paraId="2BCC3E0E" w14:textId="40804FEB" w:rsidR="00511DA0" w:rsidRPr="003311DE" w:rsidRDefault="003311DE" w:rsidP="00E923A4">
      <w:pPr>
        <w:jc w:val="both"/>
        <w:rPr>
          <w:rFonts w:ascii="Arial Narrow" w:hAnsi="Arial Narrow" w:cs="Times New Roman"/>
          <w:b/>
          <w:color w:val="4F81BD" w:themeColor="accent1"/>
          <w:sz w:val="24"/>
          <w:szCs w:val="24"/>
        </w:rPr>
      </w:pPr>
      <w:r w:rsidRPr="003311DE">
        <w:rPr>
          <w:rFonts w:ascii="Arial Narrow" w:hAnsi="Arial Narrow" w:cs="Times New Roman"/>
          <w:b/>
          <w:color w:val="4F81BD" w:themeColor="accent1"/>
          <w:sz w:val="24"/>
          <w:szCs w:val="24"/>
        </w:rPr>
        <w:t xml:space="preserve">20.9. </w:t>
      </w:r>
      <w:r w:rsidR="006652D5" w:rsidRPr="003311DE">
        <w:rPr>
          <w:rFonts w:ascii="Arial Narrow" w:hAnsi="Arial Narrow" w:cs="Times New Roman"/>
          <w:b/>
          <w:color w:val="4F81BD" w:themeColor="accent1"/>
          <w:sz w:val="24"/>
          <w:szCs w:val="24"/>
        </w:rPr>
        <w:t xml:space="preserve"> Προοπτικές έως το 2030</w:t>
      </w:r>
    </w:p>
    <w:p w14:paraId="774ABC55" w14:textId="3DA8F5BF" w:rsidR="006652D5" w:rsidRDefault="006652D5" w:rsidP="00E923A4">
      <w:pPr>
        <w:jc w:val="both"/>
        <w:rPr>
          <w:rFonts w:ascii="Arial Narrow" w:hAnsi="Arial Narrow" w:cs="Times New Roman"/>
          <w:sz w:val="24"/>
          <w:szCs w:val="24"/>
        </w:rPr>
      </w:pPr>
      <w:r>
        <w:rPr>
          <w:rFonts w:ascii="Arial Narrow" w:hAnsi="Arial Narrow" w:cs="Times New Roman"/>
          <w:sz w:val="24"/>
          <w:szCs w:val="24"/>
        </w:rPr>
        <w:t xml:space="preserve">Ο τομέας των κατασκευών στα ΗΑΕ </w:t>
      </w:r>
      <w:r w:rsidR="003310EA">
        <w:rPr>
          <w:rFonts w:ascii="Arial Narrow" w:hAnsi="Arial Narrow" w:cs="Times New Roman"/>
          <w:sz w:val="24"/>
          <w:szCs w:val="24"/>
        </w:rPr>
        <w:t>αναμένεται να συνεχίσει να αποτελεί έναν από τους ισχυρότερους αναπτυξιακούς τομείς της Εμιρατινής Οικονομίας. Στις βασικές προβλέψεις περιλαμβάνονται η κατασκευαστική παραγωγή άνω των 130 δις $</w:t>
      </w:r>
      <w:r w:rsidR="00043896">
        <w:rPr>
          <w:rFonts w:ascii="Arial Narrow" w:hAnsi="Arial Narrow" w:cs="Times New Roman"/>
          <w:sz w:val="24"/>
          <w:szCs w:val="24"/>
        </w:rPr>
        <w:t xml:space="preserve"> έως το 2029, Ετήσια Ανάπτυξη μεταξύ 4% και 5%, Επενδύσεις εκατοντάδων δις δολαρίων για υποδομές, ενέργεια και ακίνητα, ισχυρή ανάπτυξη σε </w:t>
      </w:r>
      <w:r w:rsidR="00043896">
        <w:rPr>
          <w:rFonts w:ascii="Arial Narrow" w:hAnsi="Arial Narrow" w:cs="Times New Roman"/>
          <w:sz w:val="24"/>
          <w:szCs w:val="24"/>
          <w:lang w:val="en-US"/>
        </w:rPr>
        <w:t>Data</w:t>
      </w:r>
      <w:r w:rsidR="00043896" w:rsidRPr="00043896">
        <w:rPr>
          <w:rFonts w:ascii="Arial Narrow" w:hAnsi="Arial Narrow" w:cs="Times New Roman"/>
          <w:sz w:val="24"/>
          <w:szCs w:val="24"/>
        </w:rPr>
        <w:t xml:space="preserve"> </w:t>
      </w:r>
      <w:r w:rsidR="00043896">
        <w:rPr>
          <w:rFonts w:ascii="Arial Narrow" w:hAnsi="Arial Narrow" w:cs="Times New Roman"/>
          <w:sz w:val="24"/>
          <w:szCs w:val="24"/>
          <w:lang w:val="en-US"/>
        </w:rPr>
        <w:t>Centers</w:t>
      </w:r>
      <w:r w:rsidR="00043896" w:rsidRPr="00043896">
        <w:rPr>
          <w:rFonts w:ascii="Arial Narrow" w:hAnsi="Arial Narrow" w:cs="Times New Roman"/>
          <w:sz w:val="24"/>
          <w:szCs w:val="24"/>
        </w:rPr>
        <w:t xml:space="preserve">, </w:t>
      </w:r>
      <w:r w:rsidR="00043896">
        <w:rPr>
          <w:rFonts w:ascii="Arial Narrow" w:hAnsi="Arial Narrow" w:cs="Times New Roman"/>
          <w:sz w:val="24"/>
          <w:szCs w:val="24"/>
          <w:lang w:val="en-US"/>
        </w:rPr>
        <w:t>logistics</w:t>
      </w:r>
      <w:r w:rsidR="00043896" w:rsidRPr="00043896">
        <w:rPr>
          <w:rFonts w:ascii="Arial Narrow" w:hAnsi="Arial Narrow" w:cs="Times New Roman"/>
          <w:sz w:val="24"/>
          <w:szCs w:val="24"/>
        </w:rPr>
        <w:t xml:space="preserve">, </w:t>
      </w:r>
      <w:r w:rsidR="00043896">
        <w:rPr>
          <w:rFonts w:ascii="Arial Narrow" w:hAnsi="Arial Narrow" w:cs="Times New Roman"/>
          <w:sz w:val="24"/>
          <w:szCs w:val="24"/>
        </w:rPr>
        <w:t xml:space="preserve">πράσινη ενέργεια και έξυπνες πόλεις, περαιτέρω ενίσχυση της θέσης των ΗΑΕ ως του μεγαλύτερου κατασκευαστκού και επενδυτικού κέντρου της Μέσης Ανατολής. </w:t>
      </w:r>
    </w:p>
    <w:p w14:paraId="15E87AE7" w14:textId="492391FF" w:rsidR="00043896" w:rsidRPr="006E6CDB" w:rsidRDefault="00043896" w:rsidP="00E923A4">
      <w:pPr>
        <w:jc w:val="both"/>
        <w:rPr>
          <w:rFonts w:ascii="Arial Narrow" w:hAnsi="Arial Narrow" w:cs="Times New Roman"/>
          <w:b/>
          <w:color w:val="4F81BD" w:themeColor="accent1"/>
          <w:sz w:val="24"/>
          <w:szCs w:val="24"/>
        </w:rPr>
      </w:pPr>
      <w:r w:rsidRPr="006E6CDB">
        <w:rPr>
          <w:rFonts w:ascii="Arial Narrow" w:hAnsi="Arial Narrow" w:cs="Times New Roman"/>
          <w:b/>
          <w:color w:val="4F81BD" w:themeColor="accent1"/>
          <w:sz w:val="24"/>
          <w:szCs w:val="24"/>
        </w:rPr>
        <w:t xml:space="preserve">ΣΥΜΠΕΡΑΣΜΑ </w:t>
      </w:r>
    </w:p>
    <w:p w14:paraId="5ABA73AD" w14:textId="3DF49C86" w:rsidR="0093385D" w:rsidRDefault="00043896" w:rsidP="00E923A4">
      <w:pPr>
        <w:jc w:val="both"/>
        <w:rPr>
          <w:rFonts w:ascii="Arial Narrow" w:hAnsi="Arial Narrow" w:cs="Times New Roman"/>
          <w:sz w:val="24"/>
          <w:szCs w:val="24"/>
        </w:rPr>
      </w:pPr>
      <w:r>
        <w:rPr>
          <w:rFonts w:ascii="Arial Narrow" w:hAnsi="Arial Narrow" w:cs="Times New Roman"/>
          <w:sz w:val="24"/>
          <w:szCs w:val="24"/>
        </w:rPr>
        <w:t>Ο κατασκευαστικός κλάδος των ΗΑΕ βρίσκεται σε φάση διαρκούς επέκτασης και μετασχηματισμού. Με χαρτοφυλάκιο έργων που προσεγγίζει τα 480 δις $</w:t>
      </w:r>
      <w:r w:rsidR="00DF1194">
        <w:rPr>
          <w:rFonts w:ascii="Arial Narrow" w:hAnsi="Arial Narrow" w:cs="Times New Roman"/>
          <w:sz w:val="24"/>
          <w:szCs w:val="24"/>
        </w:rPr>
        <w:t>, μεγάλα έργα σε Ντουμπάϊ και Αμπου Ντάμπι, εκτεταμένες επενδύσεις σε μεταφορές, ενέργεια, βιομηχανία και οικιστική ανάπτυξη, ο κατασκευαστικός κλάδος αποτελεί έναν από τους σημαντικότερους μοχλούς ανάπτυξης της χώρας και βασικό παράγοντα επίτευξης του οράματος των ΗΑΕ για μια μεταπετρελαϊκή οικονομία.</w:t>
      </w:r>
    </w:p>
    <w:p w14:paraId="70461AA8" w14:textId="35E50896" w:rsidR="0093385D" w:rsidRDefault="0093385D" w:rsidP="0093385D">
      <w:pPr>
        <w:jc w:val="center"/>
        <w:rPr>
          <w:rFonts w:ascii="Arial Narrow" w:hAnsi="Arial Narrow" w:cs="Times New Roman"/>
          <w:b/>
          <w:color w:val="4F81BD" w:themeColor="accent1"/>
          <w:sz w:val="28"/>
          <w:szCs w:val="28"/>
        </w:rPr>
      </w:pPr>
      <w:r>
        <w:rPr>
          <w:rFonts w:ascii="Arial Narrow" w:hAnsi="Arial Narrow" w:cs="Times New Roman"/>
          <w:b/>
          <w:color w:val="4F81BD" w:themeColor="accent1"/>
          <w:sz w:val="28"/>
          <w:szCs w:val="28"/>
        </w:rPr>
        <w:t xml:space="preserve">21. Ο ΤΟΜΕΑΣ ΤΟΥ ΤΟΥΡΙΣΜΟΥ ΣΤΑ ΗΝΩΜΕΝΑ ΑΡΑΒΙΚΑ ΕΜΙΡΑΤΑ </w:t>
      </w:r>
    </w:p>
    <w:p w14:paraId="6476AABD" w14:textId="6BE3371B" w:rsidR="004C3034" w:rsidRPr="0093385D" w:rsidRDefault="0093385D" w:rsidP="00E923A4">
      <w:pPr>
        <w:jc w:val="both"/>
        <w:rPr>
          <w:rFonts w:ascii="Arial Narrow" w:hAnsi="Arial Narrow" w:cs="Times New Roman"/>
          <w:b/>
          <w:color w:val="4F81BD" w:themeColor="accent1"/>
          <w:sz w:val="24"/>
          <w:szCs w:val="24"/>
        </w:rPr>
      </w:pPr>
      <w:r w:rsidRPr="0093385D">
        <w:rPr>
          <w:rFonts w:ascii="Arial Narrow" w:hAnsi="Arial Narrow" w:cs="Times New Roman"/>
          <w:b/>
          <w:color w:val="4F81BD" w:themeColor="accent1"/>
          <w:sz w:val="24"/>
          <w:szCs w:val="24"/>
        </w:rPr>
        <w:t xml:space="preserve">21.1. </w:t>
      </w:r>
      <w:r w:rsidR="004C3034" w:rsidRPr="0093385D">
        <w:rPr>
          <w:rFonts w:ascii="Arial Narrow" w:hAnsi="Arial Narrow" w:cs="Times New Roman"/>
          <w:b/>
          <w:color w:val="4F81BD" w:themeColor="accent1"/>
          <w:sz w:val="24"/>
          <w:szCs w:val="24"/>
        </w:rPr>
        <w:t>Ει</w:t>
      </w:r>
      <w:r w:rsidR="006E6CDB" w:rsidRPr="0093385D">
        <w:rPr>
          <w:rFonts w:ascii="Arial Narrow" w:hAnsi="Arial Narrow" w:cs="Times New Roman"/>
          <w:b/>
          <w:color w:val="4F81BD" w:themeColor="accent1"/>
          <w:sz w:val="24"/>
          <w:szCs w:val="24"/>
        </w:rPr>
        <w:t xml:space="preserve">σαγωγή </w:t>
      </w:r>
    </w:p>
    <w:p w14:paraId="3243EB5A" w14:textId="7AA92380" w:rsidR="004C3034" w:rsidRDefault="004C3034" w:rsidP="00E923A4">
      <w:pPr>
        <w:jc w:val="both"/>
        <w:rPr>
          <w:rFonts w:ascii="Arial Narrow" w:hAnsi="Arial Narrow" w:cs="Times New Roman"/>
          <w:sz w:val="24"/>
          <w:szCs w:val="24"/>
        </w:rPr>
      </w:pPr>
      <w:r>
        <w:rPr>
          <w:rFonts w:ascii="Arial Narrow" w:hAnsi="Arial Narrow" w:cs="Times New Roman"/>
          <w:sz w:val="24"/>
          <w:szCs w:val="24"/>
        </w:rPr>
        <w:t>Ο τουρισμός αποτελεί έναν από τους σημαντικότερους πυλώνες της στρατηγικής οικονομικής διαφοροποίησης των Ηνωμένων Αραβικών Εμιράτων. Η χώρα έχει εξελιχθεί σε έναν από τους κορυφαίους, σε παγκόσμια κλίμακα, τουριστικούς προορισμούς, αξιοποιώντας τη γεωγραφική τους θέση μεταξύ Ευρώπης, Ασίας και Αφρικής, τις σύγχρονες υποδομές, τις αεροπορικές συνδέσεις και τις μεγάλες επενδύσεις σε τουριστικές εγκαταστάσεις.</w:t>
      </w:r>
    </w:p>
    <w:p w14:paraId="77946B62" w14:textId="05043883" w:rsidR="004C3034" w:rsidRPr="006E6CDB" w:rsidRDefault="0093385D" w:rsidP="00E923A4">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21.2. </w:t>
      </w:r>
      <w:r w:rsidR="004C3034" w:rsidRPr="006E6CDB">
        <w:rPr>
          <w:rFonts w:ascii="Arial Narrow" w:hAnsi="Arial Narrow" w:cs="Times New Roman"/>
          <w:b/>
          <w:color w:val="4F81BD" w:themeColor="accent1"/>
          <w:sz w:val="24"/>
          <w:szCs w:val="24"/>
        </w:rPr>
        <w:t xml:space="preserve"> Οικονομική Σημασία του Τουρισμού</w:t>
      </w:r>
    </w:p>
    <w:p w14:paraId="2C911BBA" w14:textId="6CCED287" w:rsidR="004C3034" w:rsidRDefault="006B1AC1" w:rsidP="00E923A4">
      <w:pPr>
        <w:jc w:val="both"/>
        <w:rPr>
          <w:rFonts w:ascii="Arial Narrow" w:hAnsi="Arial Narrow" w:cs="Times New Roman"/>
          <w:b/>
          <w:sz w:val="24"/>
          <w:szCs w:val="24"/>
        </w:rPr>
      </w:pPr>
      <w:r>
        <w:rPr>
          <w:rFonts w:ascii="Arial Narrow" w:hAnsi="Arial Narrow" w:cs="Times New Roman"/>
          <w:sz w:val="24"/>
          <w:szCs w:val="24"/>
        </w:rPr>
        <w:t xml:space="preserve">Ο τομέας του τουρισμού </w:t>
      </w:r>
      <w:r w:rsidR="006B3B3F">
        <w:rPr>
          <w:rFonts w:ascii="Arial Narrow" w:hAnsi="Arial Narrow" w:cs="Times New Roman"/>
          <w:sz w:val="24"/>
          <w:szCs w:val="24"/>
        </w:rPr>
        <w:t>και των ταξιδίων συνεισφέρουν περίπου το 13% του ΑΕΠ των ΗΑΕ, καθιστώντας τον έναν από τους μεγαλύτερους μη πετρελαϊκούς κλάδους της Εμιρατινής Οικονομίας. Σύμφωνα με στοιχεία του Παγκόσμιου Συμβουλίου Ταξιδίων και Τουρισμού (</w:t>
      </w:r>
      <w:r w:rsidR="006B3B3F">
        <w:rPr>
          <w:rFonts w:ascii="Arial Narrow" w:hAnsi="Arial Narrow" w:cs="Times New Roman"/>
          <w:sz w:val="24"/>
          <w:szCs w:val="24"/>
          <w:lang w:val="en-US"/>
        </w:rPr>
        <w:t>WTTC</w:t>
      </w:r>
      <w:r w:rsidR="006B3B3F" w:rsidRPr="006B3B3F">
        <w:rPr>
          <w:rFonts w:ascii="Arial Narrow" w:hAnsi="Arial Narrow" w:cs="Times New Roman"/>
          <w:sz w:val="24"/>
          <w:szCs w:val="24"/>
        </w:rPr>
        <w:t xml:space="preserve">), </w:t>
      </w:r>
      <w:r w:rsidR="006B3B3F">
        <w:rPr>
          <w:rFonts w:ascii="Arial Narrow" w:hAnsi="Arial Narrow" w:cs="Times New Roman"/>
          <w:sz w:val="24"/>
          <w:szCs w:val="24"/>
        </w:rPr>
        <w:t xml:space="preserve">η συνολική συμβολή του τομέα ανήλθε για το χρονικό διάστημα 2024-2025 σε 257 δις </w:t>
      </w:r>
      <w:r w:rsidR="006B3B3F">
        <w:rPr>
          <w:rFonts w:ascii="Arial Narrow" w:hAnsi="Arial Narrow" w:cs="Times New Roman"/>
          <w:sz w:val="24"/>
          <w:szCs w:val="24"/>
          <w:lang w:val="en-US"/>
        </w:rPr>
        <w:t>AED</w:t>
      </w:r>
      <w:r w:rsidR="006B3B3F" w:rsidRPr="006B3B3F">
        <w:rPr>
          <w:rFonts w:ascii="Arial Narrow" w:hAnsi="Arial Narrow" w:cs="Times New Roman"/>
          <w:sz w:val="24"/>
          <w:szCs w:val="24"/>
        </w:rPr>
        <w:t xml:space="preserve"> (70 </w:t>
      </w:r>
      <w:r w:rsidR="006B3B3F">
        <w:rPr>
          <w:rFonts w:ascii="Arial Narrow" w:hAnsi="Arial Narrow" w:cs="Times New Roman"/>
          <w:sz w:val="24"/>
          <w:szCs w:val="24"/>
        </w:rPr>
        <w:t>δις $</w:t>
      </w:r>
      <w:r w:rsidR="00244A80">
        <w:rPr>
          <w:rFonts w:ascii="Arial Narrow" w:hAnsi="Arial Narrow" w:cs="Times New Roman"/>
          <w:sz w:val="24"/>
          <w:szCs w:val="24"/>
        </w:rPr>
        <w:t xml:space="preserve">) περίπου. Ως βασικοί δείκτες του τομέα του τουρισμού καταγράφονται η συμβολή του τουρισμού στο ΑΕΠ της χώρας κατά 13%, η οικονομική συνεισφορά σε 257 δις </w:t>
      </w:r>
      <w:r w:rsidR="00244A80">
        <w:rPr>
          <w:rFonts w:ascii="Arial Narrow" w:hAnsi="Arial Narrow" w:cs="Times New Roman"/>
          <w:sz w:val="24"/>
          <w:szCs w:val="24"/>
          <w:lang w:val="en-US"/>
        </w:rPr>
        <w:t>AED</w:t>
      </w:r>
      <w:r w:rsidR="00244A80" w:rsidRPr="00244A80">
        <w:rPr>
          <w:rFonts w:ascii="Arial Narrow" w:hAnsi="Arial Narrow" w:cs="Times New Roman"/>
          <w:sz w:val="24"/>
          <w:szCs w:val="24"/>
        </w:rPr>
        <w:t xml:space="preserve"> (</w:t>
      </w:r>
      <w:r w:rsidR="00244A80">
        <w:rPr>
          <w:rFonts w:ascii="Arial Narrow" w:hAnsi="Arial Narrow" w:cs="Times New Roman"/>
          <w:sz w:val="24"/>
          <w:szCs w:val="24"/>
        </w:rPr>
        <w:t xml:space="preserve">70 δις $), νέες θέσεις εργασίας φθάνοντας στις 899.000, το ποσοστό απασχόλησης κατά 13,2% του εργατικού δυναμικού, 45 εκατ. επισκέπτες από διεθνείς αφίξεις και ποσοστό 78% έως 79% η ξενοδοχειακή πληρότητα. </w:t>
      </w:r>
      <w:r w:rsidR="00244A80">
        <w:rPr>
          <w:rFonts w:ascii="Arial Narrow" w:hAnsi="Arial Narrow" w:cs="Times New Roman"/>
          <w:b/>
          <w:sz w:val="24"/>
          <w:szCs w:val="24"/>
        </w:rPr>
        <w:t xml:space="preserve">Στο σημείο αυτό θα πρέπει να τονισθεί ότι ο τουρισμός, ιδιαίτερα για τη περιοχή του Ντουμπάϊ, έχει πληγεί σε μεγάλο βαθμό εξαιτίας της </w:t>
      </w:r>
      <w:r w:rsidR="00920F38">
        <w:rPr>
          <w:rFonts w:ascii="Arial Narrow" w:hAnsi="Arial Narrow" w:cs="Times New Roman"/>
          <w:b/>
          <w:sz w:val="24"/>
          <w:szCs w:val="24"/>
        </w:rPr>
        <w:t>δυσμενούς κατάστασης η οποία εξακολουθεί να υπάρχει, μετά την έναρξη των στρατιωτικών συγκρούσων την 28</w:t>
      </w:r>
      <w:r w:rsidR="00920F38" w:rsidRPr="00920F38">
        <w:rPr>
          <w:rFonts w:ascii="Arial Narrow" w:hAnsi="Arial Narrow" w:cs="Times New Roman"/>
          <w:b/>
          <w:sz w:val="24"/>
          <w:szCs w:val="24"/>
          <w:vertAlign w:val="superscript"/>
        </w:rPr>
        <w:t>η</w:t>
      </w:r>
      <w:r w:rsidR="00920F38">
        <w:rPr>
          <w:rFonts w:ascii="Arial Narrow" w:hAnsi="Arial Narrow" w:cs="Times New Roman"/>
          <w:b/>
          <w:sz w:val="24"/>
          <w:szCs w:val="24"/>
        </w:rPr>
        <w:t xml:space="preserve"> Φεβρουαρίου τ.ε.. Τα περισσότερα ξενοδοχεία έχουν αναστείλει τη λειτουργία διαφόρων τμημάτων τους και παράλληλα έχουν προχωρήσει σε δραστικές μειώσεις του προσωπικού τους είτε με απολύσεις εργαζομένων σε αυτά είτε με παροχή κανονικών αδειών </w:t>
      </w:r>
      <w:r w:rsidR="00791BC8">
        <w:rPr>
          <w:rFonts w:ascii="Arial Narrow" w:hAnsi="Arial Narrow" w:cs="Times New Roman"/>
          <w:b/>
          <w:sz w:val="24"/>
          <w:szCs w:val="24"/>
        </w:rPr>
        <w:t>άνευ αποδοχών είτε με αναγκαστικές άδειες σε διάφορες θέσεις εργαζομένων.</w:t>
      </w:r>
    </w:p>
    <w:p w14:paraId="658C3D55" w14:textId="77777777" w:rsidR="0093385D" w:rsidRDefault="0093385D" w:rsidP="00E923A4">
      <w:pPr>
        <w:jc w:val="both"/>
        <w:rPr>
          <w:rFonts w:ascii="Arial Narrow" w:hAnsi="Arial Narrow" w:cs="Times New Roman"/>
          <w:b/>
          <w:color w:val="4F81BD" w:themeColor="accent1"/>
          <w:sz w:val="24"/>
          <w:szCs w:val="24"/>
        </w:rPr>
      </w:pPr>
    </w:p>
    <w:p w14:paraId="5AEAA270" w14:textId="38DBDBCE" w:rsidR="00791BC8" w:rsidRPr="006E6CDB" w:rsidRDefault="0093385D" w:rsidP="00E923A4">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21.3. </w:t>
      </w:r>
      <w:r w:rsidR="00791BC8" w:rsidRPr="006E6CDB">
        <w:rPr>
          <w:rFonts w:ascii="Arial Narrow" w:hAnsi="Arial Narrow" w:cs="Times New Roman"/>
          <w:b/>
          <w:color w:val="4F81BD" w:themeColor="accent1"/>
          <w:sz w:val="24"/>
          <w:szCs w:val="24"/>
        </w:rPr>
        <w:t>Κύριοι Τουριστικοί Προορισμοί</w:t>
      </w:r>
    </w:p>
    <w:p w14:paraId="08EA6469" w14:textId="026F1094" w:rsidR="00791BC8" w:rsidRDefault="00791BC8" w:rsidP="00E923A4">
      <w:pPr>
        <w:jc w:val="both"/>
        <w:rPr>
          <w:rFonts w:ascii="Arial Narrow" w:hAnsi="Arial Narrow" w:cs="Times New Roman"/>
          <w:sz w:val="24"/>
          <w:szCs w:val="24"/>
        </w:rPr>
      </w:pPr>
      <w:r>
        <w:rPr>
          <w:rFonts w:ascii="Arial Narrow" w:hAnsi="Arial Narrow" w:cs="Times New Roman"/>
          <w:sz w:val="24"/>
          <w:szCs w:val="24"/>
        </w:rPr>
        <w:t xml:space="preserve">Το Ντουμπάϊ αποτελεί το σημαντικό τουριστικό κέντρο των ΗΑΕ, με βασικά αξιοθέατα το </w:t>
      </w:r>
      <w:r>
        <w:rPr>
          <w:rFonts w:ascii="Arial Narrow" w:hAnsi="Arial Narrow" w:cs="Times New Roman"/>
          <w:sz w:val="24"/>
          <w:szCs w:val="24"/>
          <w:lang w:val="en-US"/>
        </w:rPr>
        <w:t>Burj</w:t>
      </w:r>
      <w:r w:rsidRPr="00791BC8">
        <w:rPr>
          <w:rFonts w:ascii="Arial Narrow" w:hAnsi="Arial Narrow" w:cs="Times New Roman"/>
          <w:sz w:val="24"/>
          <w:szCs w:val="24"/>
        </w:rPr>
        <w:t xml:space="preserve"> </w:t>
      </w:r>
      <w:r>
        <w:rPr>
          <w:rFonts w:ascii="Arial Narrow" w:hAnsi="Arial Narrow" w:cs="Times New Roman"/>
          <w:sz w:val="24"/>
          <w:szCs w:val="24"/>
          <w:lang w:val="en-US"/>
        </w:rPr>
        <w:t>Khalifa</w:t>
      </w:r>
      <w:r w:rsidRPr="00791BC8">
        <w:rPr>
          <w:rFonts w:ascii="Arial Narrow" w:hAnsi="Arial Narrow" w:cs="Times New Roman"/>
          <w:sz w:val="24"/>
          <w:szCs w:val="24"/>
        </w:rPr>
        <w:t xml:space="preserve">, </w:t>
      </w:r>
      <w:r>
        <w:rPr>
          <w:rFonts w:ascii="Arial Narrow" w:hAnsi="Arial Narrow" w:cs="Times New Roman"/>
          <w:sz w:val="24"/>
          <w:szCs w:val="24"/>
          <w:lang w:val="en-US"/>
        </w:rPr>
        <w:t>Palm</w:t>
      </w:r>
      <w:r w:rsidRPr="00791BC8">
        <w:rPr>
          <w:rFonts w:ascii="Arial Narrow" w:hAnsi="Arial Narrow" w:cs="Times New Roman"/>
          <w:sz w:val="24"/>
          <w:szCs w:val="24"/>
        </w:rPr>
        <w:t xml:space="preserve"> </w:t>
      </w:r>
      <w:r>
        <w:rPr>
          <w:rFonts w:ascii="Arial Narrow" w:hAnsi="Arial Narrow" w:cs="Times New Roman"/>
          <w:sz w:val="24"/>
          <w:szCs w:val="24"/>
          <w:lang w:val="en-US"/>
        </w:rPr>
        <w:t>Jumeirah</w:t>
      </w:r>
      <w:r w:rsidRPr="00791BC8">
        <w:rPr>
          <w:rFonts w:ascii="Arial Narrow" w:hAnsi="Arial Narrow" w:cs="Times New Roman"/>
          <w:sz w:val="24"/>
          <w:szCs w:val="24"/>
        </w:rPr>
        <w:t xml:space="preserve">, </w:t>
      </w:r>
      <w:r>
        <w:rPr>
          <w:rFonts w:ascii="Arial Narrow" w:hAnsi="Arial Narrow" w:cs="Times New Roman"/>
          <w:sz w:val="24"/>
          <w:szCs w:val="24"/>
          <w:lang w:val="en-US"/>
        </w:rPr>
        <w:t>Dubai</w:t>
      </w:r>
      <w:r w:rsidRPr="00791BC8">
        <w:rPr>
          <w:rFonts w:ascii="Arial Narrow" w:hAnsi="Arial Narrow" w:cs="Times New Roman"/>
          <w:sz w:val="24"/>
          <w:szCs w:val="24"/>
        </w:rPr>
        <w:t xml:space="preserve"> </w:t>
      </w:r>
      <w:r>
        <w:rPr>
          <w:rFonts w:ascii="Arial Narrow" w:hAnsi="Arial Narrow" w:cs="Times New Roman"/>
          <w:sz w:val="24"/>
          <w:szCs w:val="24"/>
          <w:lang w:val="en-US"/>
        </w:rPr>
        <w:t>Mall</w:t>
      </w:r>
      <w:r w:rsidRPr="00791BC8">
        <w:rPr>
          <w:rFonts w:ascii="Arial Narrow" w:hAnsi="Arial Narrow" w:cs="Times New Roman"/>
          <w:sz w:val="24"/>
          <w:szCs w:val="24"/>
        </w:rPr>
        <w:t xml:space="preserve">, </w:t>
      </w:r>
      <w:r>
        <w:rPr>
          <w:rFonts w:ascii="Arial Narrow" w:hAnsi="Arial Narrow" w:cs="Times New Roman"/>
          <w:sz w:val="24"/>
          <w:szCs w:val="24"/>
          <w:lang w:val="en-US"/>
        </w:rPr>
        <w:t>Dubai</w:t>
      </w:r>
      <w:r w:rsidRPr="00791BC8">
        <w:rPr>
          <w:rFonts w:ascii="Arial Narrow" w:hAnsi="Arial Narrow" w:cs="Times New Roman"/>
          <w:sz w:val="24"/>
          <w:szCs w:val="24"/>
        </w:rPr>
        <w:t xml:space="preserve"> </w:t>
      </w:r>
      <w:r>
        <w:rPr>
          <w:rFonts w:ascii="Arial Narrow" w:hAnsi="Arial Narrow" w:cs="Times New Roman"/>
          <w:sz w:val="24"/>
          <w:szCs w:val="24"/>
          <w:lang w:val="en-US"/>
        </w:rPr>
        <w:t>Marina</w:t>
      </w:r>
      <w:r w:rsidRPr="00791BC8">
        <w:rPr>
          <w:rFonts w:ascii="Arial Narrow" w:hAnsi="Arial Narrow" w:cs="Times New Roman"/>
          <w:sz w:val="24"/>
          <w:szCs w:val="24"/>
        </w:rPr>
        <w:t xml:space="preserve">, </w:t>
      </w:r>
      <w:r>
        <w:rPr>
          <w:rFonts w:ascii="Arial Narrow" w:hAnsi="Arial Narrow" w:cs="Times New Roman"/>
          <w:sz w:val="24"/>
          <w:szCs w:val="24"/>
          <w:lang w:val="en-US"/>
        </w:rPr>
        <w:t>Museum</w:t>
      </w:r>
      <w:r w:rsidRPr="00791BC8">
        <w:rPr>
          <w:rFonts w:ascii="Arial Narrow" w:hAnsi="Arial Narrow" w:cs="Times New Roman"/>
          <w:sz w:val="24"/>
          <w:szCs w:val="24"/>
        </w:rPr>
        <w:t xml:space="preserve"> </w:t>
      </w:r>
      <w:r>
        <w:rPr>
          <w:rFonts w:ascii="Arial Narrow" w:hAnsi="Arial Narrow" w:cs="Times New Roman"/>
          <w:sz w:val="24"/>
          <w:szCs w:val="24"/>
          <w:lang w:val="en-US"/>
        </w:rPr>
        <w:t>ot</w:t>
      </w:r>
      <w:r w:rsidRPr="00791BC8">
        <w:rPr>
          <w:rFonts w:ascii="Arial Narrow" w:hAnsi="Arial Narrow" w:cs="Times New Roman"/>
          <w:sz w:val="24"/>
          <w:szCs w:val="24"/>
        </w:rPr>
        <w:t xml:space="preserve"> </w:t>
      </w:r>
      <w:r>
        <w:rPr>
          <w:rFonts w:ascii="Arial Narrow" w:hAnsi="Arial Narrow" w:cs="Times New Roman"/>
          <w:sz w:val="24"/>
          <w:szCs w:val="24"/>
          <w:lang w:val="en-US"/>
        </w:rPr>
        <w:t>the</w:t>
      </w:r>
      <w:r w:rsidRPr="00791BC8">
        <w:rPr>
          <w:rFonts w:ascii="Arial Narrow" w:hAnsi="Arial Narrow" w:cs="Times New Roman"/>
          <w:sz w:val="24"/>
          <w:szCs w:val="24"/>
        </w:rPr>
        <w:t xml:space="preserve"> </w:t>
      </w:r>
      <w:r>
        <w:rPr>
          <w:rFonts w:ascii="Arial Narrow" w:hAnsi="Arial Narrow" w:cs="Times New Roman"/>
          <w:sz w:val="24"/>
          <w:szCs w:val="24"/>
          <w:lang w:val="en-US"/>
        </w:rPr>
        <w:t>Future</w:t>
      </w:r>
      <w:r w:rsidRPr="00791BC8">
        <w:rPr>
          <w:rFonts w:ascii="Arial Narrow" w:hAnsi="Arial Narrow" w:cs="Times New Roman"/>
          <w:sz w:val="24"/>
          <w:szCs w:val="24"/>
        </w:rPr>
        <w:t xml:space="preserve"> &amp; </w:t>
      </w:r>
      <w:r>
        <w:rPr>
          <w:rFonts w:ascii="Arial Narrow" w:hAnsi="Arial Narrow" w:cs="Times New Roman"/>
          <w:sz w:val="24"/>
          <w:szCs w:val="24"/>
          <w:lang w:val="en-US"/>
        </w:rPr>
        <w:t>Expo</w:t>
      </w:r>
      <w:r w:rsidRPr="00791BC8">
        <w:rPr>
          <w:rFonts w:ascii="Arial Narrow" w:hAnsi="Arial Narrow" w:cs="Times New Roman"/>
          <w:sz w:val="24"/>
          <w:szCs w:val="24"/>
        </w:rPr>
        <w:t xml:space="preserve"> </w:t>
      </w:r>
      <w:r>
        <w:rPr>
          <w:rFonts w:ascii="Arial Narrow" w:hAnsi="Arial Narrow" w:cs="Times New Roman"/>
          <w:sz w:val="24"/>
          <w:szCs w:val="24"/>
          <w:lang w:val="en-US"/>
        </w:rPr>
        <w:t>City</w:t>
      </w:r>
      <w:r w:rsidRPr="00791BC8">
        <w:rPr>
          <w:rFonts w:ascii="Arial Narrow" w:hAnsi="Arial Narrow" w:cs="Times New Roman"/>
          <w:sz w:val="24"/>
          <w:szCs w:val="24"/>
        </w:rPr>
        <w:t xml:space="preserve"> </w:t>
      </w:r>
      <w:r>
        <w:rPr>
          <w:rFonts w:ascii="Arial Narrow" w:hAnsi="Arial Narrow" w:cs="Times New Roman"/>
          <w:sz w:val="24"/>
          <w:szCs w:val="24"/>
          <w:lang w:val="en-US"/>
        </w:rPr>
        <w:t>of</w:t>
      </w:r>
      <w:r w:rsidRPr="00791BC8">
        <w:rPr>
          <w:rFonts w:ascii="Arial Narrow" w:hAnsi="Arial Narrow" w:cs="Times New Roman"/>
          <w:sz w:val="24"/>
          <w:szCs w:val="24"/>
        </w:rPr>
        <w:t xml:space="preserve"> </w:t>
      </w:r>
      <w:r>
        <w:rPr>
          <w:rFonts w:ascii="Arial Narrow" w:hAnsi="Arial Narrow" w:cs="Times New Roman"/>
          <w:sz w:val="24"/>
          <w:szCs w:val="24"/>
          <w:lang w:val="en-US"/>
        </w:rPr>
        <w:t>Dubai</w:t>
      </w:r>
      <w:r w:rsidRPr="00791BC8">
        <w:rPr>
          <w:rFonts w:ascii="Arial Narrow" w:hAnsi="Arial Narrow" w:cs="Times New Roman"/>
          <w:sz w:val="24"/>
          <w:szCs w:val="24"/>
        </w:rPr>
        <w:t xml:space="preserve">. </w:t>
      </w:r>
      <w:r>
        <w:rPr>
          <w:rFonts w:ascii="Arial Narrow" w:hAnsi="Arial Narrow" w:cs="Times New Roman"/>
          <w:sz w:val="24"/>
          <w:szCs w:val="24"/>
        </w:rPr>
        <w:t xml:space="preserve">Κατά το πρώτο εξάμηνο 2025 το Ντουμπάϊ δέχθηκε σχεδόν 10 εκατ. διεθνείς επισκέπτες, επιβεβαιώνοντας τη θέση του μεταξύ των κορυφαίων παγκόσμιων τουριστικών προορισμών. Το </w:t>
      </w:r>
      <w:r>
        <w:rPr>
          <w:rFonts w:ascii="Arial Narrow" w:hAnsi="Arial Narrow" w:cs="Times New Roman"/>
          <w:sz w:val="24"/>
          <w:szCs w:val="24"/>
          <w:lang w:val="en-US"/>
        </w:rPr>
        <w:t>Abu</w:t>
      </w:r>
      <w:r w:rsidRPr="000136E8">
        <w:rPr>
          <w:rFonts w:ascii="Arial Narrow" w:hAnsi="Arial Narrow" w:cs="Times New Roman"/>
          <w:sz w:val="24"/>
          <w:szCs w:val="24"/>
        </w:rPr>
        <w:t xml:space="preserve"> – </w:t>
      </w:r>
      <w:r>
        <w:rPr>
          <w:rFonts w:ascii="Arial Narrow" w:hAnsi="Arial Narrow" w:cs="Times New Roman"/>
          <w:sz w:val="24"/>
          <w:szCs w:val="24"/>
          <w:lang w:val="en-US"/>
        </w:rPr>
        <w:t>Dhabi</w:t>
      </w:r>
      <w:r w:rsidRPr="000136E8">
        <w:rPr>
          <w:rFonts w:ascii="Arial Narrow" w:hAnsi="Arial Narrow" w:cs="Times New Roman"/>
          <w:sz w:val="24"/>
          <w:szCs w:val="24"/>
        </w:rPr>
        <w:t xml:space="preserve">, </w:t>
      </w:r>
      <w:r w:rsidR="000136E8">
        <w:rPr>
          <w:rFonts w:ascii="Arial Narrow" w:hAnsi="Arial Narrow" w:cs="Times New Roman"/>
          <w:sz w:val="24"/>
          <w:szCs w:val="24"/>
        </w:rPr>
        <w:t xml:space="preserve">η πρωτεύουσα των ΗΑΕ προωθεί έναν συνδυασμό πολιτιστικού, πολυτελούς και συνεδριακού τουρισμού. Βασικοί ελκυστικοί τουριστικοί προορισμοί </w:t>
      </w:r>
      <w:r w:rsidR="00B46A4E">
        <w:rPr>
          <w:rFonts w:ascii="Arial Narrow" w:hAnsi="Arial Narrow" w:cs="Times New Roman"/>
          <w:sz w:val="24"/>
          <w:szCs w:val="24"/>
        </w:rPr>
        <w:t xml:space="preserve">είναι </w:t>
      </w:r>
      <w:r w:rsidR="00B46A4E">
        <w:rPr>
          <w:rFonts w:ascii="Arial Narrow" w:hAnsi="Arial Narrow" w:cs="Times New Roman"/>
          <w:sz w:val="24"/>
          <w:szCs w:val="24"/>
          <w:lang w:val="en-US"/>
        </w:rPr>
        <w:t>Louvre</w:t>
      </w:r>
      <w:r w:rsidR="00B46A4E" w:rsidRPr="00B46A4E">
        <w:rPr>
          <w:rFonts w:ascii="Arial Narrow" w:hAnsi="Arial Narrow" w:cs="Times New Roman"/>
          <w:sz w:val="24"/>
          <w:szCs w:val="24"/>
        </w:rPr>
        <w:t xml:space="preserve"> </w:t>
      </w:r>
      <w:r w:rsidR="00B46A4E">
        <w:rPr>
          <w:rFonts w:ascii="Arial Narrow" w:hAnsi="Arial Narrow" w:cs="Times New Roman"/>
          <w:sz w:val="24"/>
          <w:szCs w:val="24"/>
          <w:lang w:val="en-US"/>
        </w:rPr>
        <w:t>Abu</w:t>
      </w:r>
      <w:r w:rsidR="00B46A4E" w:rsidRPr="00B46A4E">
        <w:rPr>
          <w:rFonts w:ascii="Arial Narrow" w:hAnsi="Arial Narrow" w:cs="Times New Roman"/>
          <w:sz w:val="24"/>
          <w:szCs w:val="24"/>
        </w:rPr>
        <w:t xml:space="preserve"> </w:t>
      </w:r>
      <w:r w:rsidR="00B46A4E">
        <w:rPr>
          <w:rFonts w:ascii="Arial Narrow" w:hAnsi="Arial Narrow" w:cs="Times New Roman"/>
          <w:sz w:val="24"/>
          <w:szCs w:val="24"/>
          <w:lang w:val="en-US"/>
        </w:rPr>
        <w:t>Dhabi</w:t>
      </w:r>
      <w:r w:rsidR="00B46A4E" w:rsidRPr="00B46A4E">
        <w:rPr>
          <w:rFonts w:ascii="Arial Narrow" w:hAnsi="Arial Narrow" w:cs="Times New Roman"/>
          <w:sz w:val="24"/>
          <w:szCs w:val="24"/>
        </w:rPr>
        <w:t xml:space="preserve">, </w:t>
      </w:r>
      <w:r w:rsidR="00B46A4E">
        <w:rPr>
          <w:rFonts w:ascii="Arial Narrow" w:hAnsi="Arial Narrow" w:cs="Times New Roman"/>
          <w:sz w:val="24"/>
          <w:szCs w:val="24"/>
          <w:lang w:val="en-US"/>
        </w:rPr>
        <w:t>Sheikh</w:t>
      </w:r>
      <w:r w:rsidR="00B46A4E" w:rsidRPr="00B46A4E">
        <w:rPr>
          <w:rFonts w:ascii="Arial Narrow" w:hAnsi="Arial Narrow" w:cs="Times New Roman"/>
          <w:sz w:val="24"/>
          <w:szCs w:val="24"/>
        </w:rPr>
        <w:t xml:space="preserve"> </w:t>
      </w:r>
      <w:r w:rsidR="00B46A4E">
        <w:rPr>
          <w:rFonts w:ascii="Arial Narrow" w:hAnsi="Arial Narrow" w:cs="Times New Roman"/>
          <w:sz w:val="24"/>
          <w:szCs w:val="24"/>
          <w:lang w:val="en-US"/>
        </w:rPr>
        <w:t>Zayed</w:t>
      </w:r>
      <w:r w:rsidR="00B46A4E" w:rsidRPr="00B46A4E">
        <w:rPr>
          <w:rFonts w:ascii="Arial Narrow" w:hAnsi="Arial Narrow" w:cs="Times New Roman"/>
          <w:sz w:val="24"/>
          <w:szCs w:val="24"/>
        </w:rPr>
        <w:t xml:space="preserve"> </w:t>
      </w:r>
      <w:r w:rsidR="00B46A4E">
        <w:rPr>
          <w:rFonts w:ascii="Arial Narrow" w:hAnsi="Arial Narrow" w:cs="Times New Roman"/>
          <w:sz w:val="24"/>
          <w:szCs w:val="24"/>
          <w:lang w:val="en-US"/>
        </w:rPr>
        <w:t>Grand</w:t>
      </w:r>
      <w:r w:rsidR="00B46A4E" w:rsidRPr="00B46A4E">
        <w:rPr>
          <w:rFonts w:ascii="Arial Narrow" w:hAnsi="Arial Narrow" w:cs="Times New Roman"/>
          <w:sz w:val="24"/>
          <w:szCs w:val="24"/>
        </w:rPr>
        <w:t xml:space="preserve"> </w:t>
      </w:r>
      <w:r w:rsidR="00B46A4E">
        <w:rPr>
          <w:rFonts w:ascii="Arial Narrow" w:hAnsi="Arial Narrow" w:cs="Times New Roman"/>
          <w:sz w:val="24"/>
          <w:szCs w:val="24"/>
          <w:lang w:val="en-US"/>
        </w:rPr>
        <w:t>Mosque</w:t>
      </w:r>
      <w:r w:rsidR="00B46A4E" w:rsidRPr="00B46A4E">
        <w:rPr>
          <w:rFonts w:ascii="Arial Narrow" w:hAnsi="Arial Narrow" w:cs="Times New Roman"/>
          <w:sz w:val="24"/>
          <w:szCs w:val="24"/>
        </w:rPr>
        <w:t xml:space="preserve">, </w:t>
      </w:r>
      <w:r w:rsidR="00B46A4E">
        <w:rPr>
          <w:rFonts w:ascii="Arial Narrow" w:hAnsi="Arial Narrow" w:cs="Times New Roman"/>
          <w:sz w:val="24"/>
          <w:szCs w:val="24"/>
          <w:lang w:val="en-US"/>
        </w:rPr>
        <w:t>Yas</w:t>
      </w:r>
      <w:r w:rsidR="00B46A4E" w:rsidRPr="00B46A4E">
        <w:rPr>
          <w:rFonts w:ascii="Arial Narrow" w:hAnsi="Arial Narrow" w:cs="Times New Roman"/>
          <w:sz w:val="24"/>
          <w:szCs w:val="24"/>
        </w:rPr>
        <w:t xml:space="preserve"> </w:t>
      </w:r>
      <w:r w:rsidR="00B46A4E">
        <w:rPr>
          <w:rFonts w:ascii="Arial Narrow" w:hAnsi="Arial Narrow" w:cs="Times New Roman"/>
          <w:sz w:val="24"/>
          <w:szCs w:val="24"/>
          <w:lang w:val="en-US"/>
        </w:rPr>
        <w:t>Island</w:t>
      </w:r>
      <w:r w:rsidR="00B46A4E" w:rsidRPr="00B46A4E">
        <w:rPr>
          <w:rFonts w:ascii="Arial Narrow" w:hAnsi="Arial Narrow" w:cs="Times New Roman"/>
          <w:sz w:val="24"/>
          <w:szCs w:val="24"/>
        </w:rPr>
        <w:t xml:space="preserve"> &amp; </w:t>
      </w:r>
      <w:r w:rsidR="00B46A4E">
        <w:rPr>
          <w:rFonts w:ascii="Arial Narrow" w:hAnsi="Arial Narrow" w:cs="Times New Roman"/>
          <w:sz w:val="24"/>
          <w:szCs w:val="24"/>
          <w:lang w:val="en-US"/>
        </w:rPr>
        <w:t>Ferrari</w:t>
      </w:r>
      <w:r w:rsidR="00B46A4E" w:rsidRPr="00B46A4E">
        <w:rPr>
          <w:rFonts w:ascii="Arial Narrow" w:hAnsi="Arial Narrow" w:cs="Times New Roman"/>
          <w:sz w:val="24"/>
          <w:szCs w:val="24"/>
        </w:rPr>
        <w:t xml:space="preserve"> </w:t>
      </w:r>
      <w:r w:rsidR="00B46A4E">
        <w:rPr>
          <w:rFonts w:ascii="Arial Narrow" w:hAnsi="Arial Narrow" w:cs="Times New Roman"/>
          <w:sz w:val="24"/>
          <w:szCs w:val="24"/>
          <w:lang w:val="en-US"/>
        </w:rPr>
        <w:t>World</w:t>
      </w:r>
      <w:r w:rsidR="00B46A4E" w:rsidRPr="00B46A4E">
        <w:rPr>
          <w:rFonts w:ascii="Arial Narrow" w:hAnsi="Arial Narrow" w:cs="Times New Roman"/>
          <w:sz w:val="24"/>
          <w:szCs w:val="24"/>
        </w:rPr>
        <w:t xml:space="preserve"> </w:t>
      </w:r>
      <w:r w:rsidR="00B46A4E">
        <w:rPr>
          <w:rFonts w:ascii="Arial Narrow" w:hAnsi="Arial Narrow" w:cs="Times New Roman"/>
          <w:sz w:val="24"/>
          <w:szCs w:val="24"/>
          <w:lang w:val="en-US"/>
        </w:rPr>
        <w:t>Abu</w:t>
      </w:r>
      <w:r w:rsidR="00B46A4E" w:rsidRPr="00B46A4E">
        <w:rPr>
          <w:rFonts w:ascii="Arial Narrow" w:hAnsi="Arial Narrow" w:cs="Times New Roman"/>
          <w:sz w:val="24"/>
          <w:szCs w:val="24"/>
        </w:rPr>
        <w:t xml:space="preserve"> </w:t>
      </w:r>
      <w:r w:rsidR="00B46A4E">
        <w:rPr>
          <w:rFonts w:ascii="Arial Narrow" w:hAnsi="Arial Narrow" w:cs="Times New Roman"/>
          <w:sz w:val="24"/>
          <w:szCs w:val="24"/>
          <w:lang w:val="en-US"/>
        </w:rPr>
        <w:t>Dhabi</w:t>
      </w:r>
      <w:r w:rsidR="00B46A4E" w:rsidRPr="00B46A4E">
        <w:rPr>
          <w:rFonts w:ascii="Arial Narrow" w:hAnsi="Arial Narrow" w:cs="Times New Roman"/>
          <w:sz w:val="24"/>
          <w:szCs w:val="24"/>
        </w:rPr>
        <w:t>.</w:t>
      </w:r>
      <w:r w:rsidR="00B46A4E">
        <w:rPr>
          <w:rFonts w:ascii="Arial Narrow" w:hAnsi="Arial Narrow" w:cs="Times New Roman"/>
          <w:sz w:val="24"/>
          <w:szCs w:val="24"/>
        </w:rPr>
        <w:t xml:space="preserve"> Το Εμιράτο της </w:t>
      </w:r>
      <w:r w:rsidR="00B46A4E">
        <w:rPr>
          <w:rFonts w:ascii="Arial Narrow" w:hAnsi="Arial Narrow" w:cs="Times New Roman"/>
          <w:sz w:val="24"/>
          <w:szCs w:val="24"/>
          <w:lang w:val="en-US"/>
        </w:rPr>
        <w:t>Sharjah</w:t>
      </w:r>
      <w:r w:rsidR="00B46A4E" w:rsidRPr="00B46A4E">
        <w:rPr>
          <w:rFonts w:ascii="Arial Narrow" w:hAnsi="Arial Narrow" w:cs="Times New Roman"/>
          <w:sz w:val="24"/>
          <w:szCs w:val="24"/>
        </w:rPr>
        <w:t xml:space="preserve"> </w:t>
      </w:r>
      <w:r w:rsidR="00B46A4E">
        <w:rPr>
          <w:rFonts w:ascii="Arial Narrow" w:hAnsi="Arial Narrow" w:cs="Times New Roman"/>
          <w:sz w:val="24"/>
          <w:szCs w:val="24"/>
        </w:rPr>
        <w:t xml:space="preserve">προβάλλεται ως πολιτιστική πρωτεύουσα των ΗΑΕ με έμφαση στην ιστορία, τη τέχνη και την οικογενειακή αναψυχή. Τα λοιπά Εμιράτα, </w:t>
      </w:r>
      <w:r w:rsidR="00B46A4E">
        <w:rPr>
          <w:rFonts w:ascii="Arial Narrow" w:hAnsi="Arial Narrow" w:cs="Times New Roman"/>
          <w:sz w:val="24"/>
          <w:szCs w:val="24"/>
          <w:lang w:val="en-US"/>
        </w:rPr>
        <w:t>Ras</w:t>
      </w:r>
      <w:r w:rsidR="00B46A4E" w:rsidRPr="00B46A4E">
        <w:rPr>
          <w:rFonts w:ascii="Arial Narrow" w:hAnsi="Arial Narrow" w:cs="Times New Roman"/>
          <w:sz w:val="24"/>
          <w:szCs w:val="24"/>
        </w:rPr>
        <w:t xml:space="preserve"> </w:t>
      </w:r>
      <w:r w:rsidR="00B46A4E">
        <w:rPr>
          <w:rFonts w:ascii="Arial Narrow" w:hAnsi="Arial Narrow" w:cs="Times New Roman"/>
          <w:sz w:val="24"/>
          <w:szCs w:val="24"/>
          <w:lang w:val="en-US"/>
        </w:rPr>
        <w:t>Khaimah</w:t>
      </w:r>
      <w:r w:rsidR="00B46A4E" w:rsidRPr="00B46A4E">
        <w:rPr>
          <w:rFonts w:ascii="Arial Narrow" w:hAnsi="Arial Narrow" w:cs="Times New Roman"/>
          <w:sz w:val="24"/>
          <w:szCs w:val="24"/>
        </w:rPr>
        <w:t xml:space="preserve">, </w:t>
      </w:r>
      <w:r w:rsidR="00B46A4E">
        <w:rPr>
          <w:rFonts w:ascii="Arial Narrow" w:hAnsi="Arial Narrow" w:cs="Times New Roman"/>
          <w:sz w:val="24"/>
          <w:szCs w:val="24"/>
          <w:lang w:val="en-US"/>
        </w:rPr>
        <w:t>Fujairah</w:t>
      </w:r>
      <w:r w:rsidR="00B46A4E" w:rsidRPr="00B46A4E">
        <w:rPr>
          <w:rFonts w:ascii="Arial Narrow" w:hAnsi="Arial Narrow" w:cs="Times New Roman"/>
          <w:sz w:val="24"/>
          <w:szCs w:val="24"/>
        </w:rPr>
        <w:t xml:space="preserve">, </w:t>
      </w:r>
      <w:r w:rsidR="00B46A4E">
        <w:rPr>
          <w:rFonts w:ascii="Arial Narrow" w:hAnsi="Arial Narrow" w:cs="Times New Roman"/>
          <w:sz w:val="24"/>
          <w:szCs w:val="24"/>
          <w:lang w:val="en-US"/>
        </w:rPr>
        <w:t>Ajman</w:t>
      </w:r>
      <w:r w:rsidR="00B46A4E" w:rsidRPr="00B46A4E">
        <w:rPr>
          <w:rFonts w:ascii="Arial Narrow" w:hAnsi="Arial Narrow" w:cs="Times New Roman"/>
          <w:sz w:val="24"/>
          <w:szCs w:val="24"/>
        </w:rPr>
        <w:t xml:space="preserve">, </w:t>
      </w:r>
      <w:r w:rsidR="00B46A4E">
        <w:rPr>
          <w:rFonts w:ascii="Arial Narrow" w:hAnsi="Arial Narrow" w:cs="Times New Roman"/>
          <w:sz w:val="24"/>
          <w:szCs w:val="24"/>
          <w:lang w:val="en-US"/>
        </w:rPr>
        <w:t>Umm</w:t>
      </w:r>
      <w:r w:rsidR="00B46A4E" w:rsidRPr="00B46A4E">
        <w:rPr>
          <w:rFonts w:ascii="Arial Narrow" w:hAnsi="Arial Narrow" w:cs="Times New Roman"/>
          <w:sz w:val="24"/>
          <w:szCs w:val="24"/>
        </w:rPr>
        <w:t xml:space="preserve"> </w:t>
      </w:r>
      <w:r w:rsidR="00B46A4E">
        <w:rPr>
          <w:rFonts w:ascii="Arial Narrow" w:hAnsi="Arial Narrow" w:cs="Times New Roman"/>
          <w:sz w:val="24"/>
          <w:szCs w:val="24"/>
          <w:lang w:val="en-US"/>
        </w:rPr>
        <w:t>Al</w:t>
      </w:r>
      <w:r w:rsidR="00B46A4E" w:rsidRPr="00B46A4E">
        <w:rPr>
          <w:rFonts w:ascii="Arial Narrow" w:hAnsi="Arial Narrow" w:cs="Times New Roman"/>
          <w:sz w:val="24"/>
          <w:szCs w:val="24"/>
        </w:rPr>
        <w:t xml:space="preserve"> </w:t>
      </w:r>
      <w:r w:rsidR="00B46A4E">
        <w:rPr>
          <w:rFonts w:ascii="Arial Narrow" w:hAnsi="Arial Narrow" w:cs="Times New Roman"/>
          <w:sz w:val="24"/>
          <w:szCs w:val="24"/>
          <w:lang w:val="en-US"/>
        </w:rPr>
        <w:t>Quwain</w:t>
      </w:r>
      <w:r w:rsidR="00B46A4E" w:rsidRPr="00B46A4E">
        <w:rPr>
          <w:rFonts w:ascii="Arial Narrow" w:hAnsi="Arial Narrow" w:cs="Times New Roman"/>
          <w:sz w:val="24"/>
          <w:szCs w:val="24"/>
        </w:rPr>
        <w:t xml:space="preserve">, </w:t>
      </w:r>
      <w:r w:rsidR="00B46A4E">
        <w:rPr>
          <w:rFonts w:ascii="Arial Narrow" w:hAnsi="Arial Narrow" w:cs="Times New Roman"/>
          <w:sz w:val="24"/>
          <w:szCs w:val="24"/>
        </w:rPr>
        <w:t xml:space="preserve">επενδύουν ιδιαίτερα στον οικοτουρισμό, τον ορεινό τουρισμό και τον τουρισμό περιπέτειας. </w:t>
      </w:r>
    </w:p>
    <w:p w14:paraId="79DBAFBE" w14:textId="18514AD7" w:rsidR="00B46A4E" w:rsidRPr="006E6CDB" w:rsidRDefault="0093385D" w:rsidP="00E923A4">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21.4.</w:t>
      </w:r>
      <w:r w:rsidR="00B46A4E" w:rsidRPr="006E6CDB">
        <w:rPr>
          <w:rFonts w:ascii="Arial Narrow" w:hAnsi="Arial Narrow" w:cs="Times New Roman"/>
          <w:b/>
          <w:color w:val="4F81BD" w:themeColor="accent1"/>
          <w:sz w:val="24"/>
          <w:szCs w:val="24"/>
        </w:rPr>
        <w:t xml:space="preserve"> Μορφές Τουρισμού </w:t>
      </w:r>
    </w:p>
    <w:p w14:paraId="6EA1A1E4" w14:textId="19284D50" w:rsidR="00B46A4E" w:rsidRPr="006E6CDB" w:rsidRDefault="0093385D" w:rsidP="00E923A4">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21.5.</w:t>
      </w:r>
      <w:r w:rsidR="00B46A4E" w:rsidRPr="006E6CDB">
        <w:rPr>
          <w:rFonts w:ascii="Arial Narrow" w:hAnsi="Arial Narrow" w:cs="Times New Roman"/>
          <w:b/>
          <w:color w:val="4F81BD" w:themeColor="accent1"/>
          <w:sz w:val="24"/>
          <w:szCs w:val="24"/>
        </w:rPr>
        <w:t xml:space="preserve"> Πολυτελής Τουρισμός</w:t>
      </w:r>
    </w:p>
    <w:p w14:paraId="04DD1B40" w14:textId="52AD97D7" w:rsidR="00B46A4E" w:rsidRDefault="00B46A4E" w:rsidP="00E923A4">
      <w:pPr>
        <w:jc w:val="both"/>
        <w:rPr>
          <w:rFonts w:ascii="Arial Narrow" w:hAnsi="Arial Narrow" w:cs="Times New Roman"/>
          <w:sz w:val="24"/>
          <w:szCs w:val="24"/>
        </w:rPr>
      </w:pPr>
      <w:r>
        <w:rPr>
          <w:rFonts w:ascii="Arial Narrow" w:hAnsi="Arial Narrow" w:cs="Times New Roman"/>
          <w:sz w:val="24"/>
          <w:szCs w:val="24"/>
        </w:rPr>
        <w:t>Τα ΗΑΕ διαθέτουν μερικά από τα πολυτελέστερα ξενοδοχείο παγκοσμίως.</w:t>
      </w:r>
    </w:p>
    <w:p w14:paraId="68A70572" w14:textId="14718BF5" w:rsidR="00B46A4E" w:rsidRPr="00331C65" w:rsidRDefault="0093385D" w:rsidP="00E923A4">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21.6.</w:t>
      </w:r>
      <w:r w:rsidR="00B46A4E" w:rsidRPr="00331C65">
        <w:rPr>
          <w:rFonts w:ascii="Arial Narrow" w:hAnsi="Arial Narrow" w:cs="Times New Roman"/>
          <w:b/>
          <w:color w:val="4F81BD" w:themeColor="accent1"/>
          <w:sz w:val="24"/>
          <w:szCs w:val="24"/>
        </w:rPr>
        <w:t xml:space="preserve"> Συνεδριακός &amp; Επιχειρηματικός Τουρισμός (</w:t>
      </w:r>
      <w:r w:rsidR="00B46A4E" w:rsidRPr="00331C65">
        <w:rPr>
          <w:rFonts w:ascii="Arial Narrow" w:hAnsi="Arial Narrow" w:cs="Times New Roman"/>
          <w:b/>
          <w:color w:val="4F81BD" w:themeColor="accent1"/>
          <w:sz w:val="24"/>
          <w:szCs w:val="24"/>
          <w:lang w:val="en-US"/>
        </w:rPr>
        <w:t>MICE</w:t>
      </w:r>
      <w:r w:rsidR="00B46A4E" w:rsidRPr="00331C65">
        <w:rPr>
          <w:rFonts w:ascii="Arial Narrow" w:hAnsi="Arial Narrow" w:cs="Times New Roman"/>
          <w:b/>
          <w:color w:val="4F81BD" w:themeColor="accent1"/>
          <w:sz w:val="24"/>
          <w:szCs w:val="24"/>
        </w:rPr>
        <w:t>)</w:t>
      </w:r>
    </w:p>
    <w:p w14:paraId="7431070E" w14:textId="5964E2F5" w:rsidR="00B46A4E" w:rsidRDefault="00530FE5" w:rsidP="00E923A4">
      <w:pPr>
        <w:jc w:val="both"/>
        <w:rPr>
          <w:rFonts w:ascii="Arial Narrow" w:hAnsi="Arial Narrow" w:cs="Times New Roman"/>
          <w:sz w:val="24"/>
          <w:szCs w:val="24"/>
        </w:rPr>
      </w:pPr>
      <w:r>
        <w:rPr>
          <w:rFonts w:ascii="Arial Narrow" w:hAnsi="Arial Narrow" w:cs="Times New Roman"/>
          <w:sz w:val="24"/>
          <w:szCs w:val="24"/>
          <w:lang w:val="en-US"/>
        </w:rPr>
        <w:t>T</w:t>
      </w:r>
      <w:r>
        <w:rPr>
          <w:rFonts w:ascii="Arial Narrow" w:hAnsi="Arial Narrow" w:cs="Times New Roman"/>
          <w:sz w:val="24"/>
          <w:szCs w:val="24"/>
        </w:rPr>
        <w:t xml:space="preserve">α ΗΑΕ αποτελούν κορυφαίο παγκόσμιο κέντρο για διεθνείς εκθέσεις, συνέδρια, εμπορικές αποστολές και εταιρικές εκδηλώσεις με σημαντικά επιχειρηματικά κέντρα </w:t>
      </w:r>
      <w:r>
        <w:rPr>
          <w:rFonts w:ascii="Arial Narrow" w:hAnsi="Arial Narrow" w:cs="Times New Roman"/>
          <w:sz w:val="24"/>
          <w:szCs w:val="24"/>
          <w:lang w:val="en-US"/>
        </w:rPr>
        <w:t>Dubai</w:t>
      </w:r>
      <w:r w:rsidRPr="00530FE5">
        <w:rPr>
          <w:rFonts w:ascii="Arial Narrow" w:hAnsi="Arial Narrow" w:cs="Times New Roman"/>
          <w:sz w:val="24"/>
          <w:szCs w:val="24"/>
        </w:rPr>
        <w:t xml:space="preserve"> </w:t>
      </w:r>
      <w:r>
        <w:rPr>
          <w:rFonts w:ascii="Arial Narrow" w:hAnsi="Arial Narrow" w:cs="Times New Roman"/>
          <w:sz w:val="24"/>
          <w:szCs w:val="24"/>
          <w:lang w:val="en-US"/>
        </w:rPr>
        <w:t>World</w:t>
      </w:r>
      <w:r w:rsidRPr="00530FE5">
        <w:rPr>
          <w:rFonts w:ascii="Arial Narrow" w:hAnsi="Arial Narrow" w:cs="Times New Roman"/>
          <w:sz w:val="24"/>
          <w:szCs w:val="24"/>
        </w:rPr>
        <w:t xml:space="preserve"> </w:t>
      </w:r>
      <w:r>
        <w:rPr>
          <w:rFonts w:ascii="Arial Narrow" w:hAnsi="Arial Narrow" w:cs="Times New Roman"/>
          <w:sz w:val="24"/>
          <w:szCs w:val="24"/>
          <w:lang w:val="en-US"/>
        </w:rPr>
        <w:t>Trade</w:t>
      </w:r>
      <w:r w:rsidRPr="00530FE5">
        <w:rPr>
          <w:rFonts w:ascii="Arial Narrow" w:hAnsi="Arial Narrow" w:cs="Times New Roman"/>
          <w:sz w:val="24"/>
          <w:szCs w:val="24"/>
        </w:rPr>
        <w:t xml:space="preserve"> </w:t>
      </w:r>
      <w:r>
        <w:rPr>
          <w:rFonts w:ascii="Arial Narrow" w:hAnsi="Arial Narrow" w:cs="Times New Roman"/>
          <w:sz w:val="24"/>
          <w:szCs w:val="24"/>
          <w:lang w:val="en-US"/>
        </w:rPr>
        <w:t>Center</w:t>
      </w:r>
      <w:r w:rsidRPr="00530FE5">
        <w:rPr>
          <w:rFonts w:ascii="Arial Narrow" w:hAnsi="Arial Narrow" w:cs="Times New Roman"/>
          <w:sz w:val="24"/>
          <w:szCs w:val="24"/>
        </w:rPr>
        <w:t xml:space="preserve">, </w:t>
      </w:r>
      <w:r>
        <w:rPr>
          <w:rFonts w:ascii="Arial Narrow" w:hAnsi="Arial Narrow" w:cs="Times New Roman"/>
          <w:sz w:val="24"/>
          <w:szCs w:val="24"/>
          <w:lang w:val="en-US"/>
        </w:rPr>
        <w:t>ADNEC</w:t>
      </w:r>
      <w:r w:rsidRPr="00530FE5">
        <w:rPr>
          <w:rFonts w:ascii="Arial Narrow" w:hAnsi="Arial Narrow" w:cs="Times New Roman"/>
          <w:sz w:val="24"/>
          <w:szCs w:val="24"/>
        </w:rPr>
        <w:t xml:space="preserve"> </w:t>
      </w:r>
      <w:r>
        <w:rPr>
          <w:rFonts w:ascii="Arial Narrow" w:hAnsi="Arial Narrow" w:cs="Times New Roman"/>
          <w:sz w:val="24"/>
          <w:szCs w:val="24"/>
          <w:lang w:val="en-US"/>
        </w:rPr>
        <w:t>Centre</w:t>
      </w:r>
      <w:r w:rsidRPr="00530FE5">
        <w:rPr>
          <w:rFonts w:ascii="Arial Narrow" w:hAnsi="Arial Narrow" w:cs="Times New Roman"/>
          <w:sz w:val="24"/>
          <w:szCs w:val="24"/>
        </w:rPr>
        <w:t xml:space="preserve"> </w:t>
      </w:r>
      <w:r>
        <w:rPr>
          <w:rFonts w:ascii="Arial Narrow" w:hAnsi="Arial Narrow" w:cs="Times New Roman"/>
          <w:sz w:val="24"/>
          <w:szCs w:val="24"/>
          <w:lang w:val="en-US"/>
        </w:rPr>
        <w:t>Abu</w:t>
      </w:r>
      <w:r w:rsidRPr="00530FE5">
        <w:rPr>
          <w:rFonts w:ascii="Arial Narrow" w:hAnsi="Arial Narrow" w:cs="Times New Roman"/>
          <w:sz w:val="24"/>
          <w:szCs w:val="24"/>
        </w:rPr>
        <w:t xml:space="preserve"> </w:t>
      </w:r>
      <w:r>
        <w:rPr>
          <w:rFonts w:ascii="Arial Narrow" w:hAnsi="Arial Narrow" w:cs="Times New Roman"/>
          <w:sz w:val="24"/>
          <w:szCs w:val="24"/>
          <w:lang w:val="en-US"/>
        </w:rPr>
        <w:t>Dhabi</w:t>
      </w:r>
      <w:r w:rsidRPr="00530FE5">
        <w:rPr>
          <w:rFonts w:ascii="Arial Narrow" w:hAnsi="Arial Narrow" w:cs="Times New Roman"/>
          <w:sz w:val="24"/>
          <w:szCs w:val="24"/>
        </w:rPr>
        <w:t xml:space="preserve"> &amp; </w:t>
      </w:r>
      <w:r>
        <w:rPr>
          <w:rFonts w:ascii="Arial Narrow" w:hAnsi="Arial Narrow" w:cs="Times New Roman"/>
          <w:sz w:val="24"/>
          <w:szCs w:val="24"/>
          <w:lang w:val="en-US"/>
        </w:rPr>
        <w:t>EXPO</w:t>
      </w:r>
      <w:r w:rsidRPr="00530FE5">
        <w:rPr>
          <w:rFonts w:ascii="Arial Narrow" w:hAnsi="Arial Narrow" w:cs="Times New Roman"/>
          <w:sz w:val="24"/>
          <w:szCs w:val="24"/>
        </w:rPr>
        <w:t xml:space="preserve"> </w:t>
      </w:r>
      <w:r>
        <w:rPr>
          <w:rFonts w:ascii="Arial Narrow" w:hAnsi="Arial Narrow" w:cs="Times New Roman"/>
          <w:sz w:val="24"/>
          <w:szCs w:val="24"/>
          <w:lang w:val="en-US"/>
        </w:rPr>
        <w:t>CITY</w:t>
      </w:r>
      <w:r w:rsidRPr="00530FE5">
        <w:rPr>
          <w:rFonts w:ascii="Arial Narrow" w:hAnsi="Arial Narrow" w:cs="Times New Roman"/>
          <w:sz w:val="24"/>
          <w:szCs w:val="24"/>
        </w:rPr>
        <w:t xml:space="preserve"> </w:t>
      </w:r>
      <w:r>
        <w:rPr>
          <w:rFonts w:ascii="Arial Narrow" w:hAnsi="Arial Narrow" w:cs="Times New Roman"/>
          <w:sz w:val="24"/>
          <w:szCs w:val="24"/>
          <w:lang w:val="en-US"/>
        </w:rPr>
        <w:t>Dubai</w:t>
      </w:r>
      <w:r w:rsidRPr="00530FE5">
        <w:rPr>
          <w:rFonts w:ascii="Arial Narrow" w:hAnsi="Arial Narrow" w:cs="Times New Roman"/>
          <w:sz w:val="24"/>
          <w:szCs w:val="24"/>
        </w:rPr>
        <w:t>.</w:t>
      </w:r>
    </w:p>
    <w:p w14:paraId="0E63C06D" w14:textId="1D062A16" w:rsidR="00530FE5" w:rsidRPr="00331C65" w:rsidRDefault="0093385D" w:rsidP="00E923A4">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21.7. </w:t>
      </w:r>
      <w:r w:rsidR="008D781C" w:rsidRPr="00331C65">
        <w:rPr>
          <w:rFonts w:ascii="Arial Narrow" w:hAnsi="Arial Narrow" w:cs="Times New Roman"/>
          <w:b/>
          <w:color w:val="4F81BD" w:themeColor="accent1"/>
          <w:sz w:val="24"/>
          <w:szCs w:val="24"/>
        </w:rPr>
        <w:t xml:space="preserve">Πολιτιστικός Τουρισμός </w:t>
      </w:r>
    </w:p>
    <w:p w14:paraId="592016DE" w14:textId="4C0B2E6B" w:rsidR="008D781C" w:rsidRDefault="008D781C" w:rsidP="00E923A4">
      <w:pPr>
        <w:jc w:val="both"/>
        <w:rPr>
          <w:rFonts w:ascii="Arial Narrow" w:hAnsi="Arial Narrow" w:cs="Times New Roman"/>
          <w:sz w:val="24"/>
          <w:szCs w:val="24"/>
        </w:rPr>
      </w:pPr>
      <w:r>
        <w:rPr>
          <w:rFonts w:ascii="Arial Narrow" w:hAnsi="Arial Narrow" w:cs="Times New Roman"/>
          <w:sz w:val="24"/>
          <w:szCs w:val="24"/>
        </w:rPr>
        <w:t>Κύρια χαρακτηριστικά είναι τα Μουσεία, τα Ιστορικά Φρούρια, οι Παραδοσιακές Αγορές (</w:t>
      </w:r>
      <w:r>
        <w:rPr>
          <w:rFonts w:ascii="Arial Narrow" w:hAnsi="Arial Narrow" w:cs="Times New Roman"/>
          <w:sz w:val="24"/>
          <w:szCs w:val="24"/>
          <w:lang w:val="en-US"/>
        </w:rPr>
        <w:t>Souk</w:t>
      </w:r>
      <w:r w:rsidRPr="008D781C">
        <w:rPr>
          <w:rFonts w:ascii="Arial Narrow" w:hAnsi="Arial Narrow" w:cs="Times New Roman"/>
          <w:sz w:val="24"/>
          <w:szCs w:val="24"/>
        </w:rPr>
        <w:t xml:space="preserve">) </w:t>
      </w:r>
      <w:r>
        <w:rPr>
          <w:rFonts w:ascii="Arial Narrow" w:hAnsi="Arial Narrow" w:cs="Times New Roman"/>
          <w:sz w:val="24"/>
          <w:szCs w:val="24"/>
        </w:rPr>
        <w:t xml:space="preserve">&amp; οι κάθε είδους πολτιστικές εκδηλώσεις. </w:t>
      </w:r>
    </w:p>
    <w:p w14:paraId="6400A525" w14:textId="5B8C32D4" w:rsidR="008D781C" w:rsidRPr="00331C65" w:rsidRDefault="0093385D" w:rsidP="008D781C">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21.8. </w:t>
      </w:r>
      <w:r w:rsidR="008D781C" w:rsidRPr="00331C65">
        <w:rPr>
          <w:rFonts w:ascii="Arial Narrow" w:hAnsi="Arial Narrow" w:cs="Times New Roman"/>
          <w:b/>
          <w:color w:val="4F81BD" w:themeColor="accent1"/>
          <w:sz w:val="24"/>
          <w:szCs w:val="24"/>
        </w:rPr>
        <w:t>Θαλάσιος και Τουρισμός Κρουαζιέρας</w:t>
      </w:r>
    </w:p>
    <w:p w14:paraId="0914808D" w14:textId="0B178264" w:rsidR="008D781C" w:rsidRPr="00E500E2" w:rsidRDefault="008D781C" w:rsidP="008D781C">
      <w:pPr>
        <w:rPr>
          <w:rFonts w:ascii="Arial Narrow" w:hAnsi="Arial Narrow" w:cs="Times New Roman"/>
          <w:sz w:val="24"/>
          <w:szCs w:val="24"/>
        </w:rPr>
      </w:pPr>
      <w:r>
        <w:rPr>
          <w:rFonts w:ascii="Arial Narrow" w:hAnsi="Arial Narrow" w:cs="Times New Roman"/>
          <w:sz w:val="24"/>
          <w:szCs w:val="24"/>
        </w:rPr>
        <w:t xml:space="preserve">Τα ΗΑΕ εξελίσσονται σε βασικό κόμβο κρουαζιέρας για τον Αραβικό Κόλπο. Κύρια λιμάνια </w:t>
      </w:r>
      <w:r>
        <w:rPr>
          <w:rFonts w:ascii="Arial Narrow" w:hAnsi="Arial Narrow" w:cs="Times New Roman"/>
          <w:sz w:val="24"/>
          <w:szCs w:val="24"/>
          <w:lang w:val="en-US"/>
        </w:rPr>
        <w:t>Port</w:t>
      </w:r>
      <w:r w:rsidRPr="00E500E2">
        <w:rPr>
          <w:rFonts w:ascii="Arial Narrow" w:hAnsi="Arial Narrow" w:cs="Times New Roman"/>
          <w:sz w:val="24"/>
          <w:szCs w:val="24"/>
        </w:rPr>
        <w:t xml:space="preserve"> </w:t>
      </w:r>
      <w:r>
        <w:rPr>
          <w:rFonts w:ascii="Arial Narrow" w:hAnsi="Arial Narrow" w:cs="Times New Roman"/>
          <w:sz w:val="24"/>
          <w:szCs w:val="24"/>
          <w:lang w:val="en-US"/>
        </w:rPr>
        <w:t>Rashid</w:t>
      </w:r>
      <w:r w:rsidRPr="00E500E2">
        <w:rPr>
          <w:rFonts w:ascii="Arial Narrow" w:hAnsi="Arial Narrow" w:cs="Times New Roman"/>
          <w:sz w:val="24"/>
          <w:szCs w:val="24"/>
        </w:rPr>
        <w:t xml:space="preserve"> &amp; </w:t>
      </w:r>
      <w:r>
        <w:rPr>
          <w:rFonts w:ascii="Arial Narrow" w:hAnsi="Arial Narrow" w:cs="Times New Roman"/>
          <w:sz w:val="24"/>
          <w:szCs w:val="24"/>
          <w:lang w:val="en-US"/>
        </w:rPr>
        <w:t>Abu</w:t>
      </w:r>
      <w:r w:rsidRPr="00E500E2">
        <w:rPr>
          <w:rFonts w:ascii="Arial Narrow" w:hAnsi="Arial Narrow" w:cs="Times New Roman"/>
          <w:sz w:val="24"/>
          <w:szCs w:val="24"/>
        </w:rPr>
        <w:t xml:space="preserve"> </w:t>
      </w:r>
      <w:r>
        <w:rPr>
          <w:rFonts w:ascii="Arial Narrow" w:hAnsi="Arial Narrow" w:cs="Times New Roman"/>
          <w:sz w:val="24"/>
          <w:szCs w:val="24"/>
          <w:lang w:val="en-US"/>
        </w:rPr>
        <w:t>Dhabi</w:t>
      </w:r>
      <w:r w:rsidRPr="00E500E2">
        <w:rPr>
          <w:rFonts w:ascii="Arial Narrow" w:hAnsi="Arial Narrow" w:cs="Times New Roman"/>
          <w:sz w:val="24"/>
          <w:szCs w:val="24"/>
        </w:rPr>
        <w:t xml:space="preserve"> </w:t>
      </w:r>
      <w:r>
        <w:rPr>
          <w:rFonts w:ascii="Arial Narrow" w:hAnsi="Arial Narrow" w:cs="Times New Roman"/>
          <w:sz w:val="24"/>
          <w:szCs w:val="24"/>
          <w:lang w:val="en-US"/>
        </w:rPr>
        <w:t>Cruise</w:t>
      </w:r>
      <w:r w:rsidRPr="00E500E2">
        <w:rPr>
          <w:rFonts w:ascii="Arial Narrow" w:hAnsi="Arial Narrow" w:cs="Times New Roman"/>
          <w:sz w:val="24"/>
          <w:szCs w:val="24"/>
        </w:rPr>
        <w:t xml:space="preserve"> </w:t>
      </w:r>
      <w:r>
        <w:rPr>
          <w:rFonts w:ascii="Arial Narrow" w:hAnsi="Arial Narrow" w:cs="Times New Roman"/>
          <w:sz w:val="24"/>
          <w:szCs w:val="24"/>
          <w:lang w:val="en-US"/>
        </w:rPr>
        <w:t>Terminal</w:t>
      </w:r>
    </w:p>
    <w:p w14:paraId="1FF1F1E6" w14:textId="3BA0B8E0" w:rsidR="008D781C" w:rsidRPr="00331C65" w:rsidRDefault="0093385D" w:rsidP="008D781C">
      <w:pPr>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21.9. </w:t>
      </w:r>
      <w:r w:rsidR="008D781C" w:rsidRPr="00331C65">
        <w:rPr>
          <w:rFonts w:ascii="Arial Narrow" w:hAnsi="Arial Narrow" w:cs="Times New Roman"/>
          <w:b/>
          <w:color w:val="4F81BD" w:themeColor="accent1"/>
          <w:sz w:val="24"/>
          <w:szCs w:val="24"/>
        </w:rPr>
        <w:t>Ιατρικός Τουρισμός</w:t>
      </w:r>
    </w:p>
    <w:p w14:paraId="671004F0" w14:textId="748CC7C0" w:rsidR="008D781C" w:rsidRDefault="008D781C" w:rsidP="008D781C">
      <w:pPr>
        <w:jc w:val="both"/>
        <w:rPr>
          <w:rFonts w:ascii="Arial Narrow" w:hAnsi="Arial Narrow" w:cs="Times New Roman"/>
          <w:sz w:val="24"/>
          <w:szCs w:val="24"/>
        </w:rPr>
      </w:pPr>
      <w:r w:rsidRPr="008D781C">
        <w:rPr>
          <w:rFonts w:ascii="Arial Narrow" w:hAnsi="Arial Narrow" w:cs="Times New Roman"/>
          <w:sz w:val="24"/>
          <w:szCs w:val="24"/>
        </w:rPr>
        <w:t xml:space="preserve">Το Ντουμπάϊ </w:t>
      </w:r>
      <w:r>
        <w:rPr>
          <w:rFonts w:ascii="Arial Narrow" w:hAnsi="Arial Narrow" w:cs="Times New Roman"/>
          <w:sz w:val="24"/>
          <w:szCs w:val="24"/>
        </w:rPr>
        <w:t>προωθεί ιδιαίτερα την αισθητική ιατρική, τις ορθοπεδικές επεμβάσεις, τις εξειδικευμένες θεραπείες και τις υπηρεσίες αποκατάστασης.</w:t>
      </w:r>
    </w:p>
    <w:p w14:paraId="57D800EB" w14:textId="7FFD7E85" w:rsidR="008D781C" w:rsidRPr="00331C65" w:rsidRDefault="00A81BD8" w:rsidP="008D781C">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21.10. </w:t>
      </w:r>
      <w:r w:rsidR="008D781C" w:rsidRPr="00331C65">
        <w:rPr>
          <w:rFonts w:ascii="Arial Narrow" w:hAnsi="Arial Narrow" w:cs="Times New Roman"/>
          <w:b/>
          <w:color w:val="4F81BD" w:themeColor="accent1"/>
          <w:sz w:val="24"/>
          <w:szCs w:val="24"/>
        </w:rPr>
        <w:t xml:space="preserve"> Οικοτουρισμός και Τουρισμός Περιπέτειας </w:t>
      </w:r>
    </w:p>
    <w:p w14:paraId="021CF7FB" w14:textId="4E80BBFB" w:rsidR="008D781C" w:rsidRDefault="008D781C" w:rsidP="008D781C">
      <w:pPr>
        <w:jc w:val="both"/>
        <w:rPr>
          <w:rFonts w:ascii="Arial Narrow" w:hAnsi="Arial Narrow" w:cs="Times New Roman"/>
          <w:sz w:val="24"/>
          <w:szCs w:val="24"/>
        </w:rPr>
      </w:pPr>
      <w:r>
        <w:rPr>
          <w:rFonts w:ascii="Arial Narrow" w:hAnsi="Arial Narrow" w:cs="Times New Roman"/>
          <w:sz w:val="24"/>
          <w:szCs w:val="24"/>
        </w:rPr>
        <w:t xml:space="preserve">Αναπτύσσεται κυρίως σε περιοχές όπως </w:t>
      </w:r>
      <w:r>
        <w:rPr>
          <w:rFonts w:ascii="Arial Narrow" w:hAnsi="Arial Narrow" w:cs="Times New Roman"/>
          <w:sz w:val="24"/>
          <w:szCs w:val="24"/>
          <w:lang w:val="en-US"/>
        </w:rPr>
        <w:t>Jebel</w:t>
      </w:r>
      <w:r w:rsidRPr="008D781C">
        <w:rPr>
          <w:rFonts w:ascii="Arial Narrow" w:hAnsi="Arial Narrow" w:cs="Times New Roman"/>
          <w:sz w:val="24"/>
          <w:szCs w:val="24"/>
        </w:rPr>
        <w:t xml:space="preserve"> </w:t>
      </w:r>
      <w:r>
        <w:rPr>
          <w:rFonts w:ascii="Arial Narrow" w:hAnsi="Arial Narrow" w:cs="Times New Roman"/>
          <w:sz w:val="24"/>
          <w:szCs w:val="24"/>
          <w:lang w:val="en-US"/>
        </w:rPr>
        <w:t>Jais</w:t>
      </w:r>
      <w:r w:rsidRPr="008D781C">
        <w:rPr>
          <w:rFonts w:ascii="Arial Narrow" w:hAnsi="Arial Narrow" w:cs="Times New Roman"/>
          <w:sz w:val="24"/>
          <w:szCs w:val="24"/>
        </w:rPr>
        <w:t xml:space="preserve">, </w:t>
      </w:r>
      <w:r>
        <w:rPr>
          <w:rFonts w:ascii="Arial Narrow" w:hAnsi="Arial Narrow" w:cs="Times New Roman"/>
          <w:sz w:val="24"/>
          <w:szCs w:val="24"/>
          <w:lang w:val="en-US"/>
        </w:rPr>
        <w:t>Hatta</w:t>
      </w:r>
      <w:r w:rsidRPr="008D781C">
        <w:rPr>
          <w:rFonts w:ascii="Arial Narrow" w:hAnsi="Arial Narrow" w:cs="Times New Roman"/>
          <w:sz w:val="24"/>
          <w:szCs w:val="24"/>
        </w:rPr>
        <w:t xml:space="preserve"> </w:t>
      </w:r>
      <w:r>
        <w:rPr>
          <w:rFonts w:ascii="Arial Narrow" w:hAnsi="Arial Narrow" w:cs="Times New Roman"/>
          <w:sz w:val="24"/>
          <w:szCs w:val="24"/>
        </w:rPr>
        <w:t xml:space="preserve">&amp; έρημο </w:t>
      </w:r>
      <w:r>
        <w:rPr>
          <w:rFonts w:ascii="Arial Narrow" w:hAnsi="Arial Narrow" w:cs="Times New Roman"/>
          <w:sz w:val="24"/>
          <w:szCs w:val="24"/>
          <w:lang w:val="en-US"/>
        </w:rPr>
        <w:t>Rub</w:t>
      </w:r>
      <w:r w:rsidRPr="008D781C">
        <w:rPr>
          <w:rFonts w:ascii="Arial Narrow" w:hAnsi="Arial Narrow" w:cs="Times New Roman"/>
          <w:sz w:val="24"/>
          <w:szCs w:val="24"/>
        </w:rPr>
        <w:t xml:space="preserve"> </w:t>
      </w:r>
      <w:r>
        <w:rPr>
          <w:rFonts w:ascii="Arial Narrow" w:hAnsi="Arial Narrow" w:cs="Times New Roman"/>
          <w:sz w:val="24"/>
          <w:szCs w:val="24"/>
          <w:lang w:val="en-US"/>
        </w:rPr>
        <w:t>Al</w:t>
      </w:r>
      <w:r w:rsidRPr="008D781C">
        <w:rPr>
          <w:rFonts w:ascii="Arial Narrow" w:hAnsi="Arial Narrow" w:cs="Times New Roman"/>
          <w:sz w:val="24"/>
          <w:szCs w:val="24"/>
        </w:rPr>
        <w:t xml:space="preserve"> </w:t>
      </w:r>
      <w:r>
        <w:rPr>
          <w:rFonts w:ascii="Arial Narrow" w:hAnsi="Arial Narrow" w:cs="Times New Roman"/>
          <w:sz w:val="24"/>
          <w:szCs w:val="24"/>
          <w:lang w:val="en-US"/>
        </w:rPr>
        <w:t>Khali</w:t>
      </w:r>
      <w:r w:rsidR="0075351B" w:rsidRPr="0075351B">
        <w:rPr>
          <w:rFonts w:ascii="Arial Narrow" w:hAnsi="Arial Narrow" w:cs="Times New Roman"/>
          <w:sz w:val="24"/>
          <w:szCs w:val="24"/>
        </w:rPr>
        <w:t>.</w:t>
      </w:r>
    </w:p>
    <w:p w14:paraId="3BB8596F" w14:textId="2E38C561" w:rsidR="0075351B" w:rsidRPr="00331C65" w:rsidRDefault="00A81BD8" w:rsidP="008D781C">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21.11. </w:t>
      </w:r>
      <w:r w:rsidR="0075351B" w:rsidRPr="00331C65">
        <w:rPr>
          <w:rFonts w:ascii="Arial Narrow" w:hAnsi="Arial Narrow" w:cs="Times New Roman"/>
          <w:b/>
          <w:color w:val="4F81BD" w:themeColor="accent1"/>
          <w:sz w:val="24"/>
          <w:szCs w:val="24"/>
        </w:rPr>
        <w:t xml:space="preserve">Ξενοδοχειακή Βιομηχανία </w:t>
      </w:r>
    </w:p>
    <w:p w14:paraId="0FF7A186" w14:textId="0AAD30A4" w:rsidR="0075351B" w:rsidRDefault="0075351B" w:rsidP="008D781C">
      <w:pPr>
        <w:jc w:val="both"/>
        <w:rPr>
          <w:rFonts w:ascii="Arial Narrow" w:hAnsi="Arial Narrow" w:cs="Times New Roman"/>
          <w:sz w:val="24"/>
          <w:szCs w:val="24"/>
          <w:lang w:val="en-US"/>
        </w:rPr>
      </w:pPr>
      <w:r w:rsidRPr="0075351B">
        <w:rPr>
          <w:rFonts w:ascii="Arial Narrow" w:hAnsi="Arial Narrow" w:cs="Times New Roman"/>
          <w:sz w:val="24"/>
          <w:szCs w:val="24"/>
        </w:rPr>
        <w:t xml:space="preserve">Τα ΗΑΕ </w:t>
      </w:r>
      <w:r>
        <w:rPr>
          <w:rFonts w:ascii="Arial Narrow" w:hAnsi="Arial Narrow" w:cs="Times New Roman"/>
          <w:sz w:val="24"/>
          <w:szCs w:val="24"/>
        </w:rPr>
        <w:t xml:space="preserve">διαθέτουν περισσότερες από 1.240 ξενοδοχειακές μονάδες και πάνω από 216.000 δωμάτια. Η μέση πληρότητα, σε κανονικές συνθήκες, προσεγγίζει το 79%, μια από τις υψηλότερες διεθνώς. Τα έσοδα των ξενοδοχείων για το 2024 ξεπέρασαν τα 45 δις </w:t>
      </w:r>
      <w:r>
        <w:rPr>
          <w:rFonts w:ascii="Arial Narrow" w:hAnsi="Arial Narrow" w:cs="Times New Roman"/>
          <w:sz w:val="24"/>
          <w:szCs w:val="24"/>
          <w:lang w:val="en-US"/>
        </w:rPr>
        <w:t>AED</w:t>
      </w:r>
      <w:r w:rsidRPr="0075351B">
        <w:rPr>
          <w:rFonts w:ascii="Arial Narrow" w:hAnsi="Arial Narrow" w:cs="Times New Roman"/>
          <w:sz w:val="24"/>
          <w:szCs w:val="24"/>
        </w:rPr>
        <w:t xml:space="preserve"> (</w:t>
      </w:r>
      <w:r w:rsidR="00FB4088">
        <w:rPr>
          <w:rFonts w:ascii="Arial Narrow" w:hAnsi="Arial Narrow" w:cs="Times New Roman"/>
          <w:sz w:val="24"/>
          <w:szCs w:val="24"/>
        </w:rPr>
        <w:t>Ντίρχαμ) και κατέγραψαν και αυξητικές τάσεις για το 2025. Ως</w:t>
      </w:r>
      <w:r w:rsidR="00FB4088" w:rsidRPr="00FB4088">
        <w:rPr>
          <w:rFonts w:ascii="Arial Narrow" w:hAnsi="Arial Narrow" w:cs="Times New Roman"/>
          <w:sz w:val="24"/>
          <w:szCs w:val="24"/>
          <w:lang w:val="en-AE"/>
        </w:rPr>
        <w:t xml:space="preserve"> </w:t>
      </w:r>
      <w:r w:rsidR="00FB4088">
        <w:rPr>
          <w:rFonts w:ascii="Arial Narrow" w:hAnsi="Arial Narrow" w:cs="Times New Roman"/>
          <w:sz w:val="24"/>
          <w:szCs w:val="24"/>
        </w:rPr>
        <w:t>μεγάλοι</w:t>
      </w:r>
      <w:r w:rsidR="00FB4088" w:rsidRPr="00FB4088">
        <w:rPr>
          <w:rFonts w:ascii="Arial Narrow" w:hAnsi="Arial Narrow" w:cs="Times New Roman"/>
          <w:sz w:val="24"/>
          <w:szCs w:val="24"/>
          <w:lang w:val="en-AE"/>
        </w:rPr>
        <w:t xml:space="preserve"> </w:t>
      </w:r>
      <w:r w:rsidR="00FB4088">
        <w:rPr>
          <w:rFonts w:ascii="Arial Narrow" w:hAnsi="Arial Narrow" w:cs="Times New Roman"/>
          <w:sz w:val="24"/>
          <w:szCs w:val="24"/>
        </w:rPr>
        <w:t>ξενοδοχειακοί</w:t>
      </w:r>
      <w:r w:rsidR="00FB4088" w:rsidRPr="00FB4088">
        <w:rPr>
          <w:rFonts w:ascii="Arial Narrow" w:hAnsi="Arial Narrow" w:cs="Times New Roman"/>
          <w:sz w:val="24"/>
          <w:szCs w:val="24"/>
          <w:lang w:val="en-AE"/>
        </w:rPr>
        <w:t xml:space="preserve"> </w:t>
      </w:r>
      <w:r w:rsidR="00FB4088">
        <w:rPr>
          <w:rFonts w:ascii="Arial Narrow" w:hAnsi="Arial Narrow" w:cs="Times New Roman"/>
          <w:sz w:val="24"/>
          <w:szCs w:val="24"/>
        </w:rPr>
        <w:t>όμιλοι</w:t>
      </w:r>
      <w:r w:rsidR="00FB4088" w:rsidRPr="00FB4088">
        <w:rPr>
          <w:rFonts w:ascii="Arial Narrow" w:hAnsi="Arial Narrow" w:cs="Times New Roman"/>
          <w:sz w:val="24"/>
          <w:szCs w:val="24"/>
          <w:lang w:val="en-AE"/>
        </w:rPr>
        <w:t xml:space="preserve"> </w:t>
      </w:r>
      <w:r w:rsidR="00FB4088">
        <w:rPr>
          <w:rFonts w:ascii="Arial Narrow" w:hAnsi="Arial Narrow" w:cs="Times New Roman"/>
          <w:sz w:val="24"/>
          <w:szCs w:val="24"/>
        </w:rPr>
        <w:t>είναι</w:t>
      </w:r>
      <w:r w:rsidR="00FB4088" w:rsidRPr="00FB4088">
        <w:rPr>
          <w:rFonts w:ascii="Arial Narrow" w:hAnsi="Arial Narrow" w:cs="Times New Roman"/>
          <w:sz w:val="24"/>
          <w:szCs w:val="24"/>
          <w:lang w:val="en-AE"/>
        </w:rPr>
        <w:t xml:space="preserve"> </w:t>
      </w:r>
      <w:r w:rsidR="00FB4088">
        <w:rPr>
          <w:rFonts w:ascii="Arial Narrow" w:hAnsi="Arial Narrow" w:cs="Times New Roman"/>
          <w:sz w:val="24"/>
          <w:szCs w:val="24"/>
          <w:lang w:val="en-US"/>
        </w:rPr>
        <w:t>Marriot International, Hilton Hotels &amp; Resorts, Accor Hotels, Jumeirah Group &amp; Rotana Hotels.</w:t>
      </w:r>
    </w:p>
    <w:p w14:paraId="312FB867" w14:textId="67A6778A" w:rsidR="00FB4088" w:rsidRPr="00331C65" w:rsidRDefault="00A81BD8" w:rsidP="008D781C">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21.12. </w:t>
      </w:r>
      <w:r w:rsidR="00FB4088" w:rsidRPr="00331C65">
        <w:rPr>
          <w:rFonts w:ascii="Arial Narrow" w:hAnsi="Arial Narrow" w:cs="Times New Roman"/>
          <w:b/>
          <w:color w:val="4F81BD" w:themeColor="accent1"/>
          <w:sz w:val="24"/>
          <w:szCs w:val="24"/>
        </w:rPr>
        <w:t xml:space="preserve">Αερομεταφορές &amp; Τουρισμός </w:t>
      </w:r>
    </w:p>
    <w:p w14:paraId="157A7C79" w14:textId="327C0BDC" w:rsidR="00FB4088" w:rsidRDefault="00FB4088" w:rsidP="008D781C">
      <w:pPr>
        <w:jc w:val="both"/>
        <w:rPr>
          <w:rFonts w:ascii="Arial Narrow" w:hAnsi="Arial Narrow" w:cs="Times New Roman"/>
          <w:sz w:val="24"/>
          <w:szCs w:val="24"/>
          <w:lang w:val="en-US"/>
        </w:rPr>
      </w:pPr>
      <w:r>
        <w:rPr>
          <w:rFonts w:ascii="Arial Narrow" w:hAnsi="Arial Narrow" w:cs="Times New Roman"/>
          <w:sz w:val="24"/>
          <w:szCs w:val="24"/>
        </w:rPr>
        <w:t xml:space="preserve">Η ανάπτυξη του τουρισμού συνδέεται άμεσα με τις αεροπορικές εταιρείες, </w:t>
      </w:r>
      <w:r w:rsidR="00E45F80">
        <w:rPr>
          <w:rFonts w:ascii="Arial Narrow" w:hAnsi="Arial Narrow" w:cs="Times New Roman"/>
          <w:sz w:val="24"/>
          <w:szCs w:val="24"/>
          <w:lang w:val="en-US"/>
        </w:rPr>
        <w:t>Emirates</w:t>
      </w:r>
      <w:r w:rsidR="00E45F80" w:rsidRPr="00E45F80">
        <w:rPr>
          <w:rFonts w:ascii="Arial Narrow" w:hAnsi="Arial Narrow" w:cs="Times New Roman"/>
          <w:sz w:val="24"/>
          <w:szCs w:val="24"/>
        </w:rPr>
        <w:t xml:space="preserve">, </w:t>
      </w:r>
      <w:r w:rsidR="00E45F80">
        <w:rPr>
          <w:rFonts w:ascii="Arial Narrow" w:hAnsi="Arial Narrow" w:cs="Times New Roman"/>
          <w:sz w:val="24"/>
          <w:szCs w:val="24"/>
          <w:lang w:val="en-US"/>
        </w:rPr>
        <w:t>Etihad</w:t>
      </w:r>
      <w:r w:rsidR="00E45F80" w:rsidRPr="00E45F80">
        <w:rPr>
          <w:rFonts w:ascii="Arial Narrow" w:hAnsi="Arial Narrow" w:cs="Times New Roman"/>
          <w:sz w:val="24"/>
          <w:szCs w:val="24"/>
        </w:rPr>
        <w:t xml:space="preserve"> </w:t>
      </w:r>
      <w:r w:rsidR="00E45F80">
        <w:rPr>
          <w:rFonts w:ascii="Arial Narrow" w:hAnsi="Arial Narrow" w:cs="Times New Roman"/>
          <w:sz w:val="24"/>
          <w:szCs w:val="24"/>
          <w:lang w:val="en-US"/>
        </w:rPr>
        <w:t>Airways</w:t>
      </w:r>
      <w:r w:rsidR="00E45F80" w:rsidRPr="00E45F80">
        <w:rPr>
          <w:rFonts w:ascii="Arial Narrow" w:hAnsi="Arial Narrow" w:cs="Times New Roman"/>
          <w:sz w:val="24"/>
          <w:szCs w:val="24"/>
        </w:rPr>
        <w:t xml:space="preserve">, </w:t>
      </w:r>
      <w:r w:rsidR="00E45F80">
        <w:rPr>
          <w:rFonts w:ascii="Arial Narrow" w:hAnsi="Arial Narrow" w:cs="Times New Roman"/>
          <w:sz w:val="24"/>
          <w:szCs w:val="24"/>
          <w:lang w:val="en-US"/>
        </w:rPr>
        <w:t>FlyDubai</w:t>
      </w:r>
      <w:r w:rsidR="00E45F80" w:rsidRPr="00E45F80">
        <w:rPr>
          <w:rFonts w:ascii="Arial Narrow" w:hAnsi="Arial Narrow" w:cs="Times New Roman"/>
          <w:sz w:val="24"/>
          <w:szCs w:val="24"/>
        </w:rPr>
        <w:t xml:space="preserve">, </w:t>
      </w:r>
      <w:r w:rsidR="00E45F80">
        <w:rPr>
          <w:rFonts w:ascii="Arial Narrow" w:hAnsi="Arial Narrow" w:cs="Times New Roman"/>
          <w:sz w:val="24"/>
          <w:szCs w:val="24"/>
          <w:lang w:val="en-US"/>
        </w:rPr>
        <w:t>Air</w:t>
      </w:r>
      <w:r w:rsidR="00E45F80" w:rsidRPr="00E45F80">
        <w:rPr>
          <w:rFonts w:ascii="Arial Narrow" w:hAnsi="Arial Narrow" w:cs="Times New Roman"/>
          <w:sz w:val="24"/>
          <w:szCs w:val="24"/>
        </w:rPr>
        <w:t xml:space="preserve"> </w:t>
      </w:r>
      <w:r w:rsidR="00E45F80">
        <w:rPr>
          <w:rFonts w:ascii="Arial Narrow" w:hAnsi="Arial Narrow" w:cs="Times New Roman"/>
          <w:sz w:val="24"/>
          <w:szCs w:val="24"/>
          <w:lang w:val="en-US"/>
        </w:rPr>
        <w:t>Arabia</w:t>
      </w:r>
      <w:r w:rsidR="00E45F80" w:rsidRPr="00E45F80">
        <w:rPr>
          <w:rFonts w:ascii="Arial Narrow" w:hAnsi="Arial Narrow" w:cs="Times New Roman"/>
          <w:sz w:val="24"/>
          <w:szCs w:val="24"/>
        </w:rPr>
        <w:t xml:space="preserve">. </w:t>
      </w:r>
      <w:r w:rsidR="00E45F80">
        <w:rPr>
          <w:rFonts w:ascii="Arial Narrow" w:hAnsi="Arial Narrow" w:cs="Times New Roman"/>
          <w:sz w:val="24"/>
          <w:szCs w:val="24"/>
        </w:rPr>
        <w:t>Κύρια</w:t>
      </w:r>
      <w:r w:rsidR="00E45F80" w:rsidRPr="00E45F80">
        <w:rPr>
          <w:rFonts w:ascii="Arial Narrow" w:hAnsi="Arial Narrow" w:cs="Times New Roman"/>
          <w:sz w:val="24"/>
          <w:szCs w:val="24"/>
          <w:lang w:val="en-AE"/>
        </w:rPr>
        <w:t xml:space="preserve"> </w:t>
      </w:r>
      <w:r w:rsidR="00E45F80">
        <w:rPr>
          <w:rFonts w:ascii="Arial Narrow" w:hAnsi="Arial Narrow" w:cs="Times New Roman"/>
          <w:sz w:val="24"/>
          <w:szCs w:val="24"/>
        </w:rPr>
        <w:t>αεροδρόμια</w:t>
      </w:r>
      <w:r w:rsidR="00E45F80" w:rsidRPr="00E45F80">
        <w:rPr>
          <w:rFonts w:ascii="Arial Narrow" w:hAnsi="Arial Narrow" w:cs="Times New Roman"/>
          <w:sz w:val="24"/>
          <w:szCs w:val="24"/>
          <w:lang w:val="en-AE"/>
        </w:rPr>
        <w:t xml:space="preserve"> </w:t>
      </w:r>
      <w:r w:rsidR="00E45F80">
        <w:rPr>
          <w:rFonts w:ascii="Arial Narrow" w:hAnsi="Arial Narrow" w:cs="Times New Roman"/>
          <w:sz w:val="24"/>
          <w:szCs w:val="24"/>
          <w:lang w:val="en-US"/>
        </w:rPr>
        <w:t>Dubai International Airport, Al Maktoum International Airport &amp; Zayed International Airport.</w:t>
      </w:r>
    </w:p>
    <w:p w14:paraId="1ECC5B87" w14:textId="0F9A041D" w:rsidR="00E45F80" w:rsidRPr="00331C65" w:rsidRDefault="00A81BD8" w:rsidP="00A81BD8">
      <w:pPr>
        <w:jc w:val="center"/>
        <w:rPr>
          <w:rFonts w:ascii="Arial Narrow" w:hAnsi="Arial Narrow" w:cs="Times New Roman"/>
          <w:b/>
          <w:color w:val="4F81BD" w:themeColor="accent1"/>
          <w:sz w:val="28"/>
          <w:szCs w:val="28"/>
        </w:rPr>
      </w:pPr>
      <w:r>
        <w:rPr>
          <w:rFonts w:ascii="Arial Narrow" w:hAnsi="Arial Narrow" w:cs="Times New Roman"/>
          <w:b/>
          <w:color w:val="4F81BD" w:themeColor="accent1"/>
          <w:sz w:val="28"/>
          <w:szCs w:val="28"/>
        </w:rPr>
        <w:t xml:space="preserve">22. </w:t>
      </w:r>
      <w:r w:rsidR="00E45F80" w:rsidRPr="00331C65">
        <w:rPr>
          <w:rFonts w:ascii="Arial Narrow" w:hAnsi="Arial Narrow" w:cs="Times New Roman"/>
          <w:b/>
          <w:color w:val="4F81BD" w:themeColor="accent1"/>
          <w:sz w:val="28"/>
          <w:szCs w:val="28"/>
        </w:rPr>
        <w:t>Εθνικ</w:t>
      </w:r>
      <w:r w:rsidR="00331C65">
        <w:rPr>
          <w:rFonts w:ascii="Arial Narrow" w:hAnsi="Arial Narrow" w:cs="Times New Roman"/>
          <w:b/>
          <w:color w:val="4F81BD" w:themeColor="accent1"/>
          <w:sz w:val="28"/>
          <w:szCs w:val="28"/>
        </w:rPr>
        <w:t xml:space="preserve">ή </w:t>
      </w:r>
      <w:r w:rsidR="00E45F80" w:rsidRPr="00331C65">
        <w:rPr>
          <w:rFonts w:ascii="Arial Narrow" w:hAnsi="Arial Narrow" w:cs="Times New Roman"/>
          <w:b/>
          <w:color w:val="4F81BD" w:themeColor="accent1"/>
          <w:sz w:val="28"/>
          <w:szCs w:val="28"/>
        </w:rPr>
        <w:t>Στρατηγική Τουρισμού 2031</w:t>
      </w:r>
    </w:p>
    <w:p w14:paraId="65FFC39F" w14:textId="3ED9FBB7" w:rsidR="00E45F80" w:rsidRDefault="00E45F80" w:rsidP="008D781C">
      <w:pPr>
        <w:jc w:val="both"/>
        <w:rPr>
          <w:rFonts w:ascii="Arial Narrow" w:hAnsi="Arial Narrow" w:cs="Times New Roman"/>
          <w:sz w:val="24"/>
          <w:szCs w:val="24"/>
        </w:rPr>
      </w:pPr>
      <w:r>
        <w:rPr>
          <w:rFonts w:ascii="Arial Narrow" w:hAnsi="Arial Narrow" w:cs="Times New Roman"/>
          <w:sz w:val="24"/>
          <w:szCs w:val="24"/>
        </w:rPr>
        <w:t xml:space="preserve">Η στρατηγική των ΗΑΕ για το τουρισμό στοχεύει στην αύξηση της συμβολής του τουρισμού </w:t>
      </w:r>
      <w:r w:rsidR="000415ED">
        <w:rPr>
          <w:rFonts w:ascii="Arial Narrow" w:hAnsi="Arial Narrow" w:cs="Times New Roman"/>
          <w:sz w:val="24"/>
          <w:szCs w:val="24"/>
        </w:rPr>
        <w:t xml:space="preserve">στο ΑΕΠ, στη προσέλκυση νέων επενδύσεων, στη δημιουργία νέων θέσεων εργασίας, στην ενίσχυση του βιώσιμου τουρισμού, στον ψηφιακό μετασχηματισμό του κλάδου και στην προώθηση των 7 Εμιράτων ως ενιαίου τουριστικού προορισμού. </w:t>
      </w:r>
    </w:p>
    <w:p w14:paraId="4B9A6B6E" w14:textId="7796EE1E" w:rsidR="000415ED" w:rsidRPr="00331C65" w:rsidRDefault="00A81BD8" w:rsidP="00A81BD8">
      <w:pPr>
        <w:jc w:val="center"/>
        <w:rPr>
          <w:rFonts w:ascii="Arial Narrow" w:hAnsi="Arial Narrow" w:cs="Times New Roman"/>
          <w:b/>
          <w:color w:val="4F81BD" w:themeColor="accent1"/>
          <w:sz w:val="28"/>
          <w:szCs w:val="28"/>
        </w:rPr>
      </w:pPr>
      <w:r>
        <w:rPr>
          <w:rFonts w:ascii="Arial Narrow" w:hAnsi="Arial Narrow" w:cs="Times New Roman"/>
          <w:b/>
          <w:color w:val="4F81BD" w:themeColor="accent1"/>
          <w:sz w:val="28"/>
          <w:szCs w:val="28"/>
        </w:rPr>
        <w:t xml:space="preserve">23. </w:t>
      </w:r>
      <w:r w:rsidR="000415ED" w:rsidRPr="00331C65">
        <w:rPr>
          <w:rFonts w:ascii="Arial Narrow" w:hAnsi="Arial Narrow" w:cs="Times New Roman"/>
          <w:b/>
          <w:color w:val="4F81BD" w:themeColor="accent1"/>
          <w:sz w:val="28"/>
          <w:szCs w:val="28"/>
        </w:rPr>
        <w:t>Προοπτικές έως το 2035</w:t>
      </w:r>
    </w:p>
    <w:p w14:paraId="70210C00" w14:textId="773AA0A8" w:rsidR="000415ED" w:rsidRDefault="00BF4C95" w:rsidP="008D781C">
      <w:pPr>
        <w:jc w:val="both"/>
        <w:rPr>
          <w:rFonts w:ascii="Arial Narrow" w:hAnsi="Arial Narrow" w:cs="Times New Roman"/>
          <w:sz w:val="24"/>
          <w:szCs w:val="24"/>
        </w:rPr>
      </w:pPr>
      <w:r>
        <w:rPr>
          <w:rFonts w:ascii="Arial Narrow" w:hAnsi="Arial Narrow" w:cs="Times New Roman"/>
          <w:sz w:val="24"/>
          <w:szCs w:val="24"/>
        </w:rPr>
        <w:t xml:space="preserve">Οι διεθνείς οργανισμοί προβλέπουν και σε συνδυασμό με τις εξελίξεις στο πεδίο των στρατιωτικών συγκρούσεων με την επιστροφή σε κανονικές συνθήκες, ότι ο τουρισμός θα παραμείνει ένας από τους βασικότερους αναπτυξιακούς πυλώνες της οικονομίας των ΗΑΕ, υποστηρίζοντας σχεδόν 1 εκατ. νέες θέσεις εργασίας και διατηρώντας συνεισφορά περίπου 13% στο ΑΕΠ. Η επανεκκίνηση του τουρισμού θα προέλθει από τον ψηφιακό τουρισμό, τον ιατρικό τουρισμό, τον συνεδριακό τουρισμό &amp; τα μεγάλα διεθνή γεγονότα και εκθέσεις. </w:t>
      </w:r>
    </w:p>
    <w:p w14:paraId="2739FA8D" w14:textId="3885E5FA" w:rsidR="00807071" w:rsidRPr="000C34A9" w:rsidRDefault="000C34A9" w:rsidP="000C34A9">
      <w:pPr>
        <w:jc w:val="center"/>
        <w:rPr>
          <w:rFonts w:ascii="Arial Narrow" w:hAnsi="Arial Narrow" w:cs="Times New Roman"/>
          <w:b/>
          <w:color w:val="4F81BD" w:themeColor="accent1"/>
          <w:sz w:val="28"/>
          <w:szCs w:val="28"/>
        </w:rPr>
      </w:pPr>
      <w:r w:rsidRPr="000C34A9">
        <w:rPr>
          <w:rFonts w:ascii="Arial Narrow" w:hAnsi="Arial Narrow" w:cs="Times New Roman"/>
          <w:b/>
          <w:color w:val="4F81BD" w:themeColor="accent1"/>
          <w:sz w:val="28"/>
          <w:szCs w:val="28"/>
        </w:rPr>
        <w:t xml:space="preserve">24. </w:t>
      </w:r>
      <w:r w:rsidR="00084CBB" w:rsidRPr="000C34A9">
        <w:rPr>
          <w:rFonts w:ascii="Arial Narrow" w:hAnsi="Arial Narrow" w:cs="Times New Roman"/>
          <w:b/>
          <w:color w:val="4F81BD" w:themeColor="accent1"/>
          <w:sz w:val="28"/>
          <w:szCs w:val="28"/>
        </w:rPr>
        <w:t>ΤΟΜΕΙΣ ΧΟΝΔΡΙΚΟΥ &amp; ΛΙΑΝΙΚΟΥ ΕΜΠΟΡΙΟΥ ΣΤΑ Η</w:t>
      </w:r>
      <w:r w:rsidR="00205BE4" w:rsidRPr="000C34A9">
        <w:rPr>
          <w:rFonts w:ascii="Arial Narrow" w:hAnsi="Arial Narrow" w:cs="Times New Roman"/>
          <w:b/>
          <w:color w:val="4F81BD" w:themeColor="accent1"/>
          <w:sz w:val="28"/>
          <w:szCs w:val="28"/>
        </w:rPr>
        <w:t>ΝΩΜΕΝΑ ΑΡΑΒΙΚΑ ΕΜΙΡΑΤΑ</w:t>
      </w:r>
    </w:p>
    <w:p w14:paraId="3E826E12" w14:textId="1FC35BD2" w:rsidR="005B0E52" w:rsidRPr="00331C65" w:rsidRDefault="000C34A9" w:rsidP="008D781C">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24.1. </w:t>
      </w:r>
      <w:r w:rsidR="005B0E52" w:rsidRPr="00331C65">
        <w:rPr>
          <w:rFonts w:ascii="Arial Narrow" w:hAnsi="Arial Narrow" w:cs="Times New Roman"/>
          <w:b/>
          <w:color w:val="4F81BD" w:themeColor="accent1"/>
          <w:sz w:val="24"/>
          <w:szCs w:val="24"/>
        </w:rPr>
        <w:t>Γενική Επισκόπηση</w:t>
      </w:r>
    </w:p>
    <w:p w14:paraId="2749725C" w14:textId="4680E3FC" w:rsidR="00084CBB" w:rsidRDefault="00084CBB" w:rsidP="008D781C">
      <w:pPr>
        <w:jc w:val="both"/>
        <w:rPr>
          <w:rFonts w:ascii="Arial Narrow" w:hAnsi="Arial Narrow" w:cs="Times New Roman"/>
          <w:sz w:val="24"/>
          <w:szCs w:val="24"/>
        </w:rPr>
      </w:pPr>
      <w:r>
        <w:rPr>
          <w:rFonts w:ascii="Arial Narrow" w:hAnsi="Arial Narrow" w:cs="Times New Roman"/>
          <w:sz w:val="24"/>
          <w:szCs w:val="24"/>
        </w:rPr>
        <w:t xml:space="preserve">Τα ΗΑΕ έχουν εξελιχθεί σε ένα από τα μεγαλύτερα εμπορικά και καταναλωτικά κέντρα σε παγκόσμια κλίμακα, αξιοποιώντας τη στρατηγική γεωγραφική θέση μεταξύ Ευρώπης, Ασίας και Αφρικής, τις σύγχρονες λιμενικές και αεροπορικές υποδομές, τις ελεύθερες οικονομικές ζώνες, το ευνοϊκό φορολογικό περιβάλλον, το υψηλό κατά κεφαλή εισόδημα, τη συνεχή αύξηση του πληθυσμού και του τουρισμού. Το εμπόριο αποτελεί τον μεγαλύτερο επιμέρους συντελεστή του μη πετρελαϊκού ΑΕΠ των ΗΑΕ, με συμμετοχή 15,6% περίπου στο μη πετρελαϊκό ΑΕΠ για το 2025. </w:t>
      </w:r>
    </w:p>
    <w:p w14:paraId="59B70D0B" w14:textId="28F240E9" w:rsidR="005B0E52" w:rsidRPr="00331C65" w:rsidRDefault="000C34A9" w:rsidP="008D781C">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24.2. </w:t>
      </w:r>
      <w:r w:rsidR="005B0E52" w:rsidRPr="00331C65">
        <w:rPr>
          <w:rFonts w:ascii="Arial Narrow" w:hAnsi="Arial Narrow" w:cs="Times New Roman"/>
          <w:b/>
          <w:color w:val="4F81BD" w:themeColor="accent1"/>
          <w:sz w:val="24"/>
          <w:szCs w:val="24"/>
        </w:rPr>
        <w:t>Συμβολή στην Οικονομία</w:t>
      </w:r>
    </w:p>
    <w:p w14:paraId="6C1A0F05" w14:textId="77777777" w:rsidR="0097352B" w:rsidRDefault="005B0E52" w:rsidP="005B0E52">
      <w:pPr>
        <w:jc w:val="both"/>
        <w:rPr>
          <w:rFonts w:ascii="Arial Narrow" w:hAnsi="Arial Narrow" w:cs="Times New Roman"/>
          <w:sz w:val="24"/>
          <w:szCs w:val="24"/>
        </w:rPr>
      </w:pPr>
      <w:r>
        <w:rPr>
          <w:rFonts w:ascii="Arial Narrow" w:hAnsi="Arial Narrow" w:cs="Times New Roman"/>
          <w:sz w:val="24"/>
          <w:szCs w:val="24"/>
        </w:rPr>
        <w:t xml:space="preserve">Ο κλάδος χονδρικού και λιανικού εμπορίου σε εθνικό επίπεδο, αντιπροσωπεύει πάνω από11% του συνολικού ΑΕΠ, αποτελεί τον μεγαλύτερο μη πετρελαϊκό οικονομικό κλάδο, συνεισφέρει σημαντικά στην απασχόληση και στηρίζει τη λειτουργία όλων των παραγωγικών και υπηρεσιακών δραστηριοτήτων. Το πραγματικό ΑΕΠ των ΗΑΕ ανήλθε περίπου για το 2025 στα 1,9 τρις </w:t>
      </w:r>
      <w:r>
        <w:rPr>
          <w:rFonts w:ascii="Arial Narrow" w:hAnsi="Arial Narrow" w:cs="Times New Roman"/>
          <w:sz w:val="24"/>
          <w:szCs w:val="24"/>
          <w:lang w:val="en-US"/>
        </w:rPr>
        <w:t>AED</w:t>
      </w:r>
      <w:r w:rsidRPr="005B0E52">
        <w:rPr>
          <w:rFonts w:ascii="Arial Narrow" w:hAnsi="Arial Narrow" w:cs="Times New Roman"/>
          <w:sz w:val="24"/>
          <w:szCs w:val="24"/>
        </w:rPr>
        <w:t xml:space="preserve"> (</w:t>
      </w:r>
      <w:r w:rsidR="002B125F">
        <w:rPr>
          <w:rFonts w:ascii="Arial Narrow" w:hAnsi="Arial Narrow" w:cs="Times New Roman"/>
          <w:sz w:val="24"/>
          <w:szCs w:val="24"/>
        </w:rPr>
        <w:t xml:space="preserve">Ντίρχαμ), ενώ το μη πετρελαϊκό ΑΕΠ ξεπέρασε τα 1,5 τρις </w:t>
      </w:r>
      <w:r w:rsidR="002B125F">
        <w:rPr>
          <w:rFonts w:ascii="Arial Narrow" w:hAnsi="Arial Narrow" w:cs="Times New Roman"/>
          <w:sz w:val="24"/>
          <w:szCs w:val="24"/>
          <w:lang w:val="en-US"/>
        </w:rPr>
        <w:t>AED</w:t>
      </w:r>
      <w:r w:rsidR="002B125F" w:rsidRPr="002B125F">
        <w:rPr>
          <w:rFonts w:ascii="Arial Narrow" w:hAnsi="Arial Narrow" w:cs="Times New Roman"/>
          <w:sz w:val="24"/>
          <w:szCs w:val="24"/>
        </w:rPr>
        <w:t xml:space="preserve"> (</w:t>
      </w:r>
      <w:r w:rsidR="002B125F">
        <w:rPr>
          <w:rFonts w:ascii="Arial Narrow" w:hAnsi="Arial Narrow" w:cs="Times New Roman"/>
          <w:sz w:val="24"/>
          <w:szCs w:val="24"/>
        </w:rPr>
        <w:t xml:space="preserve">Ντίρχαμ). </w:t>
      </w:r>
    </w:p>
    <w:p w14:paraId="2DD1907D" w14:textId="48BB38CF" w:rsidR="0097352B" w:rsidRPr="00331C65" w:rsidRDefault="000C34A9" w:rsidP="005B0E52">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24.3. </w:t>
      </w:r>
      <w:r w:rsidR="0097352B" w:rsidRPr="00331C65">
        <w:rPr>
          <w:rFonts w:ascii="Arial Narrow" w:hAnsi="Arial Narrow" w:cs="Times New Roman"/>
          <w:b/>
          <w:color w:val="4F81BD" w:themeColor="accent1"/>
          <w:sz w:val="24"/>
          <w:szCs w:val="24"/>
        </w:rPr>
        <w:t>Το εμπόριο στο Εμιράτο του Ντουμπάϊ</w:t>
      </w:r>
    </w:p>
    <w:p w14:paraId="252A375D" w14:textId="42501A30" w:rsidR="009A390A" w:rsidRDefault="002B125F" w:rsidP="005B0E52">
      <w:pPr>
        <w:jc w:val="both"/>
        <w:rPr>
          <w:rFonts w:ascii="Arial Narrow" w:hAnsi="Arial Narrow" w:cs="Times New Roman"/>
          <w:sz w:val="24"/>
          <w:szCs w:val="24"/>
        </w:rPr>
      </w:pPr>
      <w:r>
        <w:rPr>
          <w:rFonts w:ascii="Arial Narrow" w:hAnsi="Arial Narrow" w:cs="Times New Roman"/>
          <w:sz w:val="24"/>
          <w:szCs w:val="24"/>
        </w:rPr>
        <w:t xml:space="preserve">Το Ντουμπάϊ αποτελεί τα σημαντικότερο εμπορικό κέντρο </w:t>
      </w:r>
      <w:r w:rsidR="00ED3365">
        <w:rPr>
          <w:rFonts w:ascii="Arial Narrow" w:hAnsi="Arial Narrow" w:cs="Times New Roman"/>
          <w:sz w:val="24"/>
          <w:szCs w:val="24"/>
        </w:rPr>
        <w:t xml:space="preserve">της Μέσης Ανατολής. Για το 2025 βασικά στοιχεία χονδρικού και λιανικού εμπορίου είναι η συμμετοχή του Ντουμπάϊ στο ΑΕΠ κυμάνθηκε μεταξύ 23% και 26%. Η αξία του κλάδου για το 9μηνο Ιανουαρίου – Σεπτεμβρίου 2025 εκτιμάται στα 86,9 δις </w:t>
      </w:r>
      <w:r w:rsidR="00ED3365">
        <w:rPr>
          <w:rFonts w:ascii="Arial Narrow" w:hAnsi="Arial Narrow" w:cs="Times New Roman"/>
          <w:sz w:val="24"/>
          <w:szCs w:val="24"/>
          <w:lang w:val="en-US"/>
        </w:rPr>
        <w:t>AED</w:t>
      </w:r>
      <w:r w:rsidR="00ED3365" w:rsidRPr="00ED3365">
        <w:rPr>
          <w:rFonts w:ascii="Arial Narrow" w:hAnsi="Arial Narrow" w:cs="Times New Roman"/>
          <w:sz w:val="24"/>
          <w:szCs w:val="24"/>
        </w:rPr>
        <w:t xml:space="preserve"> (</w:t>
      </w:r>
      <w:r w:rsidR="00ED3365">
        <w:rPr>
          <w:rFonts w:ascii="Arial Narrow" w:hAnsi="Arial Narrow" w:cs="Times New Roman"/>
          <w:sz w:val="24"/>
          <w:szCs w:val="24"/>
        </w:rPr>
        <w:t xml:space="preserve">Ντίρχαμ), με ρυθμό ανάπτυξης 4,6%. Για το τρίτο τρίμηνο 2025 η αξία του κλάδου άγγιξε τα 29,5 δις </w:t>
      </w:r>
      <w:r w:rsidR="00ED3365">
        <w:rPr>
          <w:rFonts w:ascii="Arial Narrow" w:hAnsi="Arial Narrow" w:cs="Times New Roman"/>
          <w:sz w:val="24"/>
          <w:szCs w:val="24"/>
          <w:lang w:val="en-US"/>
        </w:rPr>
        <w:t>AED</w:t>
      </w:r>
      <w:r w:rsidR="00ED3365" w:rsidRPr="00ED3365">
        <w:rPr>
          <w:rFonts w:ascii="Arial Narrow" w:hAnsi="Arial Narrow" w:cs="Times New Roman"/>
          <w:sz w:val="24"/>
          <w:szCs w:val="24"/>
        </w:rPr>
        <w:t xml:space="preserve"> (</w:t>
      </w:r>
      <w:r w:rsidR="009A390A">
        <w:rPr>
          <w:rFonts w:ascii="Arial Narrow" w:hAnsi="Arial Narrow" w:cs="Times New Roman"/>
          <w:sz w:val="24"/>
          <w:szCs w:val="24"/>
        </w:rPr>
        <w:t>Ντίρχαμ). Αντίστοιχα για το πρώτο τρίμηνο 2025 ο κλάδος συνεισέφερε σε 27,5 δις</w:t>
      </w:r>
      <w:r w:rsidR="009A390A" w:rsidRPr="009A390A">
        <w:rPr>
          <w:rFonts w:ascii="Arial Narrow" w:hAnsi="Arial Narrow" w:cs="Times New Roman"/>
          <w:sz w:val="24"/>
          <w:szCs w:val="24"/>
        </w:rPr>
        <w:t xml:space="preserve"> </w:t>
      </w:r>
      <w:r w:rsidR="009A390A">
        <w:rPr>
          <w:rFonts w:ascii="Arial Narrow" w:hAnsi="Arial Narrow" w:cs="Times New Roman"/>
          <w:sz w:val="24"/>
          <w:szCs w:val="24"/>
          <w:lang w:val="en-US"/>
        </w:rPr>
        <w:t>AED</w:t>
      </w:r>
      <w:r w:rsidR="009A390A" w:rsidRPr="009A390A">
        <w:rPr>
          <w:rFonts w:ascii="Arial Narrow" w:hAnsi="Arial Narrow" w:cs="Times New Roman"/>
          <w:sz w:val="24"/>
          <w:szCs w:val="24"/>
        </w:rPr>
        <w:t xml:space="preserve"> (</w:t>
      </w:r>
      <w:r w:rsidR="0097352B">
        <w:rPr>
          <w:rFonts w:ascii="Arial Narrow" w:hAnsi="Arial Narrow" w:cs="Times New Roman"/>
          <w:sz w:val="24"/>
          <w:szCs w:val="24"/>
        </w:rPr>
        <w:t>Ντίρχαμ), ποσοστό έως και 23% του ΑΕΠ του Εμιράτου του Ντουμπάϊ.</w:t>
      </w:r>
    </w:p>
    <w:p w14:paraId="16097423" w14:textId="1114A1DE" w:rsidR="0097352B" w:rsidRPr="00331C65" w:rsidRDefault="000C34A9" w:rsidP="005B0E52">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24.4. </w:t>
      </w:r>
      <w:r w:rsidR="0097352B" w:rsidRPr="00331C65">
        <w:rPr>
          <w:rFonts w:ascii="Arial Narrow" w:hAnsi="Arial Narrow" w:cs="Times New Roman"/>
          <w:b/>
          <w:color w:val="4F81BD" w:themeColor="accent1"/>
          <w:sz w:val="24"/>
          <w:szCs w:val="24"/>
        </w:rPr>
        <w:t xml:space="preserve">Το εμπόριο στο Εμιράτο του </w:t>
      </w:r>
      <w:r w:rsidR="0097352B" w:rsidRPr="00331C65">
        <w:rPr>
          <w:rFonts w:ascii="Arial Narrow" w:hAnsi="Arial Narrow" w:cs="Times New Roman"/>
          <w:b/>
          <w:color w:val="4F81BD" w:themeColor="accent1"/>
          <w:sz w:val="24"/>
          <w:szCs w:val="24"/>
          <w:lang w:val="en-US"/>
        </w:rPr>
        <w:t>Abu</w:t>
      </w:r>
      <w:r w:rsidR="0097352B" w:rsidRPr="00331C65">
        <w:rPr>
          <w:rFonts w:ascii="Arial Narrow" w:hAnsi="Arial Narrow" w:cs="Times New Roman"/>
          <w:b/>
          <w:color w:val="4F81BD" w:themeColor="accent1"/>
          <w:sz w:val="24"/>
          <w:szCs w:val="24"/>
        </w:rPr>
        <w:t xml:space="preserve"> – </w:t>
      </w:r>
      <w:r w:rsidR="0097352B" w:rsidRPr="00331C65">
        <w:rPr>
          <w:rFonts w:ascii="Arial Narrow" w:hAnsi="Arial Narrow" w:cs="Times New Roman"/>
          <w:b/>
          <w:color w:val="4F81BD" w:themeColor="accent1"/>
          <w:sz w:val="24"/>
          <w:szCs w:val="24"/>
          <w:lang w:val="en-US"/>
        </w:rPr>
        <w:t>Dhabi</w:t>
      </w:r>
    </w:p>
    <w:p w14:paraId="39A46A20" w14:textId="130254D1" w:rsidR="0097352B" w:rsidRDefault="00B63F45" w:rsidP="005B0E52">
      <w:pPr>
        <w:jc w:val="both"/>
        <w:rPr>
          <w:rFonts w:ascii="Arial Narrow" w:hAnsi="Arial Narrow" w:cs="Times New Roman"/>
          <w:sz w:val="24"/>
          <w:szCs w:val="24"/>
        </w:rPr>
      </w:pPr>
      <w:r>
        <w:rPr>
          <w:rFonts w:ascii="Arial Narrow" w:hAnsi="Arial Narrow" w:cs="Times New Roman"/>
          <w:sz w:val="24"/>
          <w:szCs w:val="24"/>
        </w:rPr>
        <w:t xml:space="preserve">Το Εμιράτο του </w:t>
      </w:r>
      <w:r>
        <w:rPr>
          <w:rFonts w:ascii="Arial Narrow" w:hAnsi="Arial Narrow" w:cs="Times New Roman"/>
          <w:sz w:val="24"/>
          <w:szCs w:val="24"/>
          <w:lang w:val="en-US"/>
        </w:rPr>
        <w:t>Abu</w:t>
      </w:r>
      <w:r w:rsidRPr="00B63F45">
        <w:rPr>
          <w:rFonts w:ascii="Arial Narrow" w:hAnsi="Arial Narrow" w:cs="Times New Roman"/>
          <w:sz w:val="24"/>
          <w:szCs w:val="24"/>
        </w:rPr>
        <w:t xml:space="preserve"> </w:t>
      </w:r>
      <w:r>
        <w:rPr>
          <w:rFonts w:ascii="Arial Narrow" w:hAnsi="Arial Narrow" w:cs="Times New Roman"/>
          <w:sz w:val="24"/>
          <w:szCs w:val="24"/>
        </w:rPr>
        <w:t>–</w:t>
      </w:r>
      <w:r w:rsidRPr="00B63F45">
        <w:rPr>
          <w:rFonts w:ascii="Arial Narrow" w:hAnsi="Arial Narrow" w:cs="Times New Roman"/>
          <w:sz w:val="24"/>
          <w:szCs w:val="24"/>
        </w:rPr>
        <w:t xml:space="preserve"> </w:t>
      </w:r>
      <w:r>
        <w:rPr>
          <w:rFonts w:ascii="Arial Narrow" w:hAnsi="Arial Narrow" w:cs="Times New Roman"/>
          <w:sz w:val="24"/>
          <w:szCs w:val="24"/>
          <w:lang w:val="en-US"/>
        </w:rPr>
        <w:t>Dhabi</w:t>
      </w:r>
      <w:r w:rsidRPr="00B63F45">
        <w:rPr>
          <w:rFonts w:ascii="Arial Narrow" w:hAnsi="Arial Narrow" w:cs="Times New Roman"/>
          <w:sz w:val="24"/>
          <w:szCs w:val="24"/>
        </w:rPr>
        <w:t xml:space="preserve"> </w:t>
      </w:r>
      <w:r>
        <w:rPr>
          <w:rFonts w:ascii="Arial Narrow" w:hAnsi="Arial Narrow" w:cs="Times New Roman"/>
          <w:sz w:val="24"/>
          <w:szCs w:val="24"/>
        </w:rPr>
        <w:t>αποτελεί το δεύτερο μεγαλύτερο εμπορικό κέντρο της χώρας</w:t>
      </w:r>
      <w:r w:rsidR="003B07AE">
        <w:rPr>
          <w:rFonts w:ascii="Arial Narrow" w:hAnsi="Arial Narrow" w:cs="Times New Roman"/>
          <w:sz w:val="24"/>
          <w:szCs w:val="24"/>
        </w:rPr>
        <w:t xml:space="preserve">. Για το 2025 η προστιθέμενη αξία του κλάδου ανήλθε σε 16 δις </w:t>
      </w:r>
      <w:r w:rsidR="003B07AE">
        <w:rPr>
          <w:rFonts w:ascii="Arial Narrow" w:hAnsi="Arial Narrow" w:cs="Times New Roman"/>
          <w:sz w:val="24"/>
          <w:szCs w:val="24"/>
          <w:lang w:val="en-US"/>
        </w:rPr>
        <w:t>AED</w:t>
      </w:r>
      <w:r w:rsidR="003B07AE" w:rsidRPr="003B07AE">
        <w:rPr>
          <w:rFonts w:ascii="Arial Narrow" w:hAnsi="Arial Narrow" w:cs="Times New Roman"/>
          <w:sz w:val="24"/>
          <w:szCs w:val="24"/>
        </w:rPr>
        <w:t xml:space="preserve"> (</w:t>
      </w:r>
      <w:r w:rsidR="00B412DA">
        <w:rPr>
          <w:rFonts w:ascii="Arial Narrow" w:hAnsi="Arial Narrow" w:cs="Times New Roman"/>
          <w:sz w:val="24"/>
          <w:szCs w:val="24"/>
        </w:rPr>
        <w:t>Ντίρχαμ), ο ρυθμός ανάπτυξης έφθασε στο 3,6%, η συμμετοχή στο ΑΕΠ στο 5,5%. Η συνεχής ανάπτυξη υποστηρίζεται από την αύξηση του πληθυσμού, την ισχυρή καταναλωτική εμπιστοσύνη, τη διεύρυνση των εμπορικών σχέσεων και την αύξηση του τουρισμού. \</w:t>
      </w:r>
    </w:p>
    <w:p w14:paraId="5B7C8102" w14:textId="3A2F4DE0" w:rsidR="00B412DA" w:rsidRPr="00331C65" w:rsidRDefault="000C34A9" w:rsidP="005B0E52">
      <w:pPr>
        <w:jc w:val="both"/>
        <w:rPr>
          <w:rFonts w:ascii="Arial Narrow" w:hAnsi="Arial Narrow" w:cs="Times New Roman"/>
          <w:b/>
          <w:color w:val="4F81BD" w:themeColor="accent1"/>
          <w:sz w:val="28"/>
          <w:szCs w:val="28"/>
        </w:rPr>
      </w:pPr>
      <w:r>
        <w:rPr>
          <w:rFonts w:ascii="Arial Narrow" w:hAnsi="Arial Narrow" w:cs="Times New Roman"/>
          <w:b/>
          <w:color w:val="4F81BD" w:themeColor="accent1"/>
          <w:sz w:val="28"/>
          <w:szCs w:val="28"/>
        </w:rPr>
        <w:t xml:space="preserve">24.5. </w:t>
      </w:r>
      <w:r w:rsidR="00B412DA" w:rsidRPr="00331C65">
        <w:rPr>
          <w:rFonts w:ascii="Arial Narrow" w:hAnsi="Arial Narrow" w:cs="Times New Roman"/>
          <w:b/>
          <w:color w:val="4F81BD" w:themeColor="accent1"/>
          <w:sz w:val="28"/>
          <w:szCs w:val="28"/>
        </w:rPr>
        <w:t>Δομή του Κλάδου</w:t>
      </w:r>
    </w:p>
    <w:p w14:paraId="16DE2CD5" w14:textId="41E0ECB6" w:rsidR="00E500E2" w:rsidRDefault="00E500E2" w:rsidP="005B0E52">
      <w:pPr>
        <w:jc w:val="both"/>
        <w:rPr>
          <w:rFonts w:ascii="Arial Narrow" w:hAnsi="Arial Narrow" w:cs="Times New Roman"/>
          <w:sz w:val="24"/>
          <w:szCs w:val="24"/>
        </w:rPr>
      </w:pPr>
      <w:r>
        <w:rPr>
          <w:rFonts w:ascii="Arial Narrow" w:hAnsi="Arial Narrow" w:cs="Times New Roman"/>
          <w:sz w:val="24"/>
          <w:szCs w:val="24"/>
        </w:rPr>
        <w:t xml:space="preserve">Ο τομέας διακρίνεται σε χονδρικό και λιανικό εμπόριο. Το χονδρικό εμπόριο περιλαμβάνει τρόφιμα και ποτά, φαρμακευτικά προϊόντα, δομικά υλικά,, βιομηχανικό εξοπλισμό, ηλεκτρονικά είδη, αυτοκίνητα και ανταλλακτικά και πετροχημικά προϊόντα. Οι κατηγορίες των συγκεκριμένων προϊόντων διεκπραιώνονται στα εξής διαμετακομιστικά κέντρα όπως </w:t>
      </w:r>
      <w:r>
        <w:rPr>
          <w:rFonts w:ascii="Arial Narrow" w:hAnsi="Arial Narrow" w:cs="Times New Roman"/>
          <w:sz w:val="24"/>
          <w:szCs w:val="24"/>
          <w:lang w:val="en-US"/>
        </w:rPr>
        <w:t>Jebel</w:t>
      </w:r>
      <w:r w:rsidRPr="00E500E2">
        <w:rPr>
          <w:rFonts w:ascii="Arial Narrow" w:hAnsi="Arial Narrow" w:cs="Times New Roman"/>
          <w:sz w:val="24"/>
          <w:szCs w:val="24"/>
        </w:rPr>
        <w:t xml:space="preserve"> </w:t>
      </w:r>
      <w:r>
        <w:rPr>
          <w:rFonts w:ascii="Arial Narrow" w:hAnsi="Arial Narrow" w:cs="Times New Roman"/>
          <w:sz w:val="24"/>
          <w:szCs w:val="24"/>
          <w:lang w:val="en-US"/>
        </w:rPr>
        <w:t>Ali</w:t>
      </w:r>
      <w:r w:rsidRPr="00E500E2">
        <w:rPr>
          <w:rFonts w:ascii="Arial Narrow" w:hAnsi="Arial Narrow" w:cs="Times New Roman"/>
          <w:sz w:val="24"/>
          <w:szCs w:val="24"/>
        </w:rPr>
        <w:t xml:space="preserve"> </w:t>
      </w:r>
      <w:r>
        <w:rPr>
          <w:rFonts w:ascii="Arial Narrow" w:hAnsi="Arial Narrow" w:cs="Times New Roman"/>
          <w:sz w:val="24"/>
          <w:szCs w:val="24"/>
          <w:lang w:val="en-US"/>
        </w:rPr>
        <w:t>Port</w:t>
      </w:r>
      <w:r w:rsidRPr="00E500E2">
        <w:rPr>
          <w:rFonts w:ascii="Arial Narrow" w:hAnsi="Arial Narrow" w:cs="Times New Roman"/>
          <w:sz w:val="24"/>
          <w:szCs w:val="24"/>
        </w:rPr>
        <w:t xml:space="preserve"> (</w:t>
      </w:r>
      <w:r>
        <w:rPr>
          <w:rFonts w:ascii="Arial Narrow" w:hAnsi="Arial Narrow" w:cs="Times New Roman"/>
          <w:sz w:val="24"/>
          <w:szCs w:val="24"/>
        </w:rPr>
        <w:t xml:space="preserve">το μεγαλύτερο </w:t>
      </w:r>
      <w:r w:rsidR="00B742E8">
        <w:rPr>
          <w:rFonts w:ascii="Arial Narrow" w:hAnsi="Arial Narrow" w:cs="Times New Roman"/>
          <w:sz w:val="24"/>
          <w:szCs w:val="24"/>
        </w:rPr>
        <w:t xml:space="preserve">λιμάνι της Μέσης Ανατολής), </w:t>
      </w:r>
      <w:r w:rsidR="00B742E8">
        <w:rPr>
          <w:rFonts w:ascii="Arial Narrow" w:hAnsi="Arial Narrow" w:cs="Times New Roman"/>
          <w:sz w:val="24"/>
          <w:szCs w:val="24"/>
          <w:lang w:val="en-US"/>
        </w:rPr>
        <w:t>Dubai</w:t>
      </w:r>
      <w:r w:rsidR="00B742E8" w:rsidRPr="00B742E8">
        <w:rPr>
          <w:rFonts w:ascii="Arial Narrow" w:hAnsi="Arial Narrow" w:cs="Times New Roman"/>
          <w:sz w:val="24"/>
          <w:szCs w:val="24"/>
        </w:rPr>
        <w:t xml:space="preserve"> </w:t>
      </w:r>
      <w:r w:rsidR="00FD0395">
        <w:rPr>
          <w:rFonts w:ascii="Arial Narrow" w:hAnsi="Arial Narrow" w:cs="Times New Roman"/>
          <w:sz w:val="24"/>
          <w:szCs w:val="24"/>
          <w:lang w:val="en-US"/>
        </w:rPr>
        <w:t>Multi</w:t>
      </w:r>
      <w:r w:rsidR="00FD0395" w:rsidRPr="00FD0395">
        <w:rPr>
          <w:rFonts w:ascii="Arial Narrow" w:hAnsi="Arial Narrow" w:cs="Times New Roman"/>
          <w:sz w:val="24"/>
          <w:szCs w:val="24"/>
        </w:rPr>
        <w:t xml:space="preserve"> </w:t>
      </w:r>
      <w:r w:rsidR="00FD0395">
        <w:rPr>
          <w:rFonts w:ascii="Arial Narrow" w:hAnsi="Arial Narrow" w:cs="Times New Roman"/>
          <w:sz w:val="24"/>
          <w:szCs w:val="24"/>
          <w:lang w:val="en-US"/>
        </w:rPr>
        <w:t>Commodities</w:t>
      </w:r>
      <w:r w:rsidR="00FD0395" w:rsidRPr="00FD0395">
        <w:rPr>
          <w:rFonts w:ascii="Arial Narrow" w:hAnsi="Arial Narrow" w:cs="Times New Roman"/>
          <w:sz w:val="24"/>
          <w:szCs w:val="24"/>
        </w:rPr>
        <w:t xml:space="preserve"> </w:t>
      </w:r>
      <w:r w:rsidR="00FD0395">
        <w:rPr>
          <w:rFonts w:ascii="Arial Narrow" w:hAnsi="Arial Narrow" w:cs="Times New Roman"/>
          <w:sz w:val="24"/>
          <w:szCs w:val="24"/>
          <w:lang w:val="en-US"/>
        </w:rPr>
        <w:t>Centre</w:t>
      </w:r>
      <w:r w:rsidR="00FD0395" w:rsidRPr="00FD0395">
        <w:rPr>
          <w:rFonts w:ascii="Arial Narrow" w:hAnsi="Arial Narrow" w:cs="Times New Roman"/>
          <w:sz w:val="24"/>
          <w:szCs w:val="24"/>
        </w:rPr>
        <w:t xml:space="preserve"> (</w:t>
      </w:r>
      <w:r w:rsidR="00E5072C">
        <w:rPr>
          <w:rFonts w:ascii="Arial Narrow" w:hAnsi="Arial Narrow" w:cs="Times New Roman"/>
          <w:sz w:val="24"/>
          <w:szCs w:val="24"/>
        </w:rPr>
        <w:t xml:space="preserve">Παγκόσμιο Κέντρο Εμπορίας για χρυσό, διαμάντια, μέταλλα και αγροτικά προϊόντα) και </w:t>
      </w:r>
      <w:r w:rsidR="00E5072C">
        <w:rPr>
          <w:rFonts w:ascii="Arial Narrow" w:hAnsi="Arial Narrow" w:cs="Times New Roman"/>
          <w:sz w:val="24"/>
          <w:szCs w:val="24"/>
          <w:lang w:val="en-US"/>
        </w:rPr>
        <w:t>Dubai</w:t>
      </w:r>
      <w:r w:rsidR="00E5072C" w:rsidRPr="00E5072C">
        <w:rPr>
          <w:rFonts w:ascii="Arial Narrow" w:hAnsi="Arial Narrow" w:cs="Times New Roman"/>
          <w:sz w:val="24"/>
          <w:szCs w:val="24"/>
        </w:rPr>
        <w:t xml:space="preserve"> </w:t>
      </w:r>
      <w:r w:rsidR="00E5072C">
        <w:rPr>
          <w:rFonts w:ascii="Arial Narrow" w:hAnsi="Arial Narrow" w:cs="Times New Roman"/>
          <w:sz w:val="24"/>
          <w:szCs w:val="24"/>
          <w:lang w:val="en-US"/>
        </w:rPr>
        <w:t>Airport</w:t>
      </w:r>
      <w:r w:rsidR="00E5072C" w:rsidRPr="00E5072C">
        <w:rPr>
          <w:rFonts w:ascii="Arial Narrow" w:hAnsi="Arial Narrow" w:cs="Times New Roman"/>
          <w:sz w:val="24"/>
          <w:szCs w:val="24"/>
        </w:rPr>
        <w:t xml:space="preserve"> </w:t>
      </w:r>
      <w:r w:rsidR="00E5072C">
        <w:rPr>
          <w:rFonts w:ascii="Arial Narrow" w:hAnsi="Arial Narrow" w:cs="Times New Roman"/>
          <w:sz w:val="24"/>
          <w:szCs w:val="24"/>
          <w:lang w:val="en-US"/>
        </w:rPr>
        <w:t>Free</w:t>
      </w:r>
      <w:r w:rsidR="00E5072C" w:rsidRPr="00E5072C">
        <w:rPr>
          <w:rFonts w:ascii="Arial Narrow" w:hAnsi="Arial Narrow" w:cs="Times New Roman"/>
          <w:sz w:val="24"/>
          <w:szCs w:val="24"/>
        </w:rPr>
        <w:t xml:space="preserve"> </w:t>
      </w:r>
      <w:r w:rsidR="00E5072C">
        <w:rPr>
          <w:rFonts w:ascii="Arial Narrow" w:hAnsi="Arial Narrow" w:cs="Times New Roman"/>
          <w:sz w:val="24"/>
          <w:szCs w:val="24"/>
          <w:lang w:val="en-US"/>
        </w:rPr>
        <w:t>Zone</w:t>
      </w:r>
      <w:r w:rsidR="00E5072C" w:rsidRPr="00E5072C">
        <w:rPr>
          <w:rFonts w:ascii="Arial Narrow" w:hAnsi="Arial Narrow" w:cs="Times New Roman"/>
          <w:sz w:val="24"/>
          <w:szCs w:val="24"/>
        </w:rPr>
        <w:t xml:space="preserve"> (</w:t>
      </w:r>
      <w:r w:rsidR="00E5072C">
        <w:rPr>
          <w:rFonts w:ascii="Arial Narrow" w:hAnsi="Arial Narrow" w:cs="Times New Roman"/>
          <w:sz w:val="24"/>
          <w:szCs w:val="24"/>
        </w:rPr>
        <w:t xml:space="preserve">κέντρο αεροπορικού εμπορίου και </w:t>
      </w:r>
      <w:r w:rsidR="00E5072C">
        <w:rPr>
          <w:rFonts w:ascii="Arial Narrow" w:hAnsi="Arial Narrow" w:cs="Times New Roman"/>
          <w:sz w:val="24"/>
          <w:szCs w:val="24"/>
          <w:lang w:val="en-US"/>
        </w:rPr>
        <w:t>Logistics</w:t>
      </w:r>
      <w:r w:rsidR="00E5072C" w:rsidRPr="00E5072C">
        <w:rPr>
          <w:rFonts w:ascii="Arial Narrow" w:hAnsi="Arial Narrow" w:cs="Times New Roman"/>
          <w:sz w:val="24"/>
          <w:szCs w:val="24"/>
        </w:rPr>
        <w:t>).</w:t>
      </w:r>
    </w:p>
    <w:p w14:paraId="6CE5CE9E" w14:textId="4DE8BF43" w:rsidR="00E5072C" w:rsidRDefault="00E5072C" w:rsidP="005B0E52">
      <w:pPr>
        <w:jc w:val="both"/>
        <w:rPr>
          <w:rFonts w:ascii="Arial Narrow" w:hAnsi="Arial Narrow" w:cs="Times New Roman"/>
          <w:sz w:val="24"/>
          <w:szCs w:val="24"/>
        </w:rPr>
      </w:pPr>
      <w:r>
        <w:rPr>
          <w:rFonts w:ascii="Arial Narrow" w:hAnsi="Arial Narrow" w:cs="Times New Roman"/>
          <w:sz w:val="24"/>
          <w:szCs w:val="24"/>
        </w:rPr>
        <w:t xml:space="preserve">Το λιανικό εμπόριο χαρακτηρίζεται από υψηλή αγοραστκή δύναμη, πολυεθνική καταναλωτική βάση, μεγάλο αριθμό τουριστών και έντονη παρουσία πολυτελών </w:t>
      </w:r>
      <w:r>
        <w:rPr>
          <w:rFonts w:ascii="Arial Narrow" w:hAnsi="Arial Narrow" w:cs="Times New Roman"/>
          <w:sz w:val="24"/>
          <w:szCs w:val="24"/>
          <w:lang w:val="en-US"/>
        </w:rPr>
        <w:t>brands</w:t>
      </w:r>
      <w:r w:rsidR="003C70EB">
        <w:rPr>
          <w:rFonts w:ascii="Arial Narrow" w:hAnsi="Arial Narrow" w:cs="Times New Roman"/>
          <w:sz w:val="24"/>
          <w:szCs w:val="24"/>
        </w:rPr>
        <w:t xml:space="preserve">. Κύριες κατηγορίες προϊόντων είναι τα τρόφιμα, η ένδυση, τα ηλεκτρονικά, τα φαρμακευτικά, τα καλλυντικά, τα πολυτελή αγαθά και τα αυτοκίνητα. </w:t>
      </w:r>
      <w:r w:rsidR="00B819D8">
        <w:rPr>
          <w:rFonts w:ascii="Arial Narrow" w:hAnsi="Arial Narrow" w:cs="Times New Roman"/>
          <w:sz w:val="24"/>
          <w:szCs w:val="24"/>
        </w:rPr>
        <w:t xml:space="preserve">Ως μεγαλύτερα εμπορικά κέντρα είναι </w:t>
      </w:r>
      <w:r w:rsidR="00B819D8">
        <w:rPr>
          <w:rFonts w:ascii="Arial Narrow" w:hAnsi="Arial Narrow" w:cs="Times New Roman"/>
          <w:sz w:val="24"/>
          <w:szCs w:val="24"/>
          <w:lang w:val="en-US"/>
        </w:rPr>
        <w:t>DUBAI</w:t>
      </w:r>
      <w:r w:rsidR="00B819D8" w:rsidRPr="00B819D8">
        <w:rPr>
          <w:rFonts w:ascii="Arial Narrow" w:hAnsi="Arial Narrow" w:cs="Times New Roman"/>
          <w:sz w:val="24"/>
          <w:szCs w:val="24"/>
        </w:rPr>
        <w:t xml:space="preserve"> </w:t>
      </w:r>
      <w:r w:rsidR="00B819D8">
        <w:rPr>
          <w:rFonts w:ascii="Arial Narrow" w:hAnsi="Arial Narrow" w:cs="Times New Roman"/>
          <w:sz w:val="24"/>
          <w:szCs w:val="24"/>
          <w:lang w:val="en-US"/>
        </w:rPr>
        <w:t>MALL</w:t>
      </w:r>
      <w:r w:rsidR="00B819D8" w:rsidRPr="00B819D8">
        <w:rPr>
          <w:rFonts w:ascii="Arial Narrow" w:hAnsi="Arial Narrow" w:cs="Times New Roman"/>
          <w:sz w:val="24"/>
          <w:szCs w:val="24"/>
        </w:rPr>
        <w:t xml:space="preserve"> (</w:t>
      </w:r>
      <w:r w:rsidR="00B819D8">
        <w:rPr>
          <w:rFonts w:ascii="Arial Narrow" w:hAnsi="Arial Narrow" w:cs="Times New Roman"/>
          <w:sz w:val="24"/>
          <w:szCs w:val="24"/>
        </w:rPr>
        <w:t xml:space="preserve">πάνω από 1.200 καταστήματα, περισσότερους από 100 εκατ. επισκέπτες ετησίως) </w:t>
      </w:r>
      <w:r w:rsidR="00B819D8">
        <w:rPr>
          <w:rFonts w:ascii="Arial Narrow" w:hAnsi="Arial Narrow" w:cs="Times New Roman"/>
          <w:sz w:val="24"/>
          <w:szCs w:val="24"/>
          <w:lang w:val="en-US"/>
        </w:rPr>
        <w:t>MALL</w:t>
      </w:r>
      <w:r w:rsidR="00B819D8" w:rsidRPr="00B819D8">
        <w:rPr>
          <w:rFonts w:ascii="Arial Narrow" w:hAnsi="Arial Narrow" w:cs="Times New Roman"/>
          <w:sz w:val="24"/>
          <w:szCs w:val="24"/>
        </w:rPr>
        <w:t xml:space="preserve"> </w:t>
      </w:r>
      <w:r w:rsidR="00B819D8">
        <w:rPr>
          <w:rFonts w:ascii="Arial Narrow" w:hAnsi="Arial Narrow" w:cs="Times New Roman"/>
          <w:sz w:val="24"/>
          <w:szCs w:val="24"/>
          <w:lang w:val="en-US"/>
        </w:rPr>
        <w:t>OF</w:t>
      </w:r>
      <w:r w:rsidR="00B819D8" w:rsidRPr="00B819D8">
        <w:rPr>
          <w:rFonts w:ascii="Arial Narrow" w:hAnsi="Arial Narrow" w:cs="Times New Roman"/>
          <w:sz w:val="24"/>
          <w:szCs w:val="24"/>
        </w:rPr>
        <w:t xml:space="preserve"> </w:t>
      </w:r>
      <w:r w:rsidR="00B819D8">
        <w:rPr>
          <w:rFonts w:ascii="Arial Narrow" w:hAnsi="Arial Narrow" w:cs="Times New Roman"/>
          <w:sz w:val="24"/>
          <w:szCs w:val="24"/>
          <w:lang w:val="en-US"/>
        </w:rPr>
        <w:t>THE</w:t>
      </w:r>
      <w:r w:rsidR="00B819D8" w:rsidRPr="00B819D8">
        <w:rPr>
          <w:rFonts w:ascii="Arial Narrow" w:hAnsi="Arial Narrow" w:cs="Times New Roman"/>
          <w:sz w:val="24"/>
          <w:szCs w:val="24"/>
        </w:rPr>
        <w:t xml:space="preserve"> </w:t>
      </w:r>
      <w:r w:rsidR="00B819D8">
        <w:rPr>
          <w:rFonts w:ascii="Arial Narrow" w:hAnsi="Arial Narrow" w:cs="Times New Roman"/>
          <w:sz w:val="24"/>
          <w:szCs w:val="24"/>
          <w:lang w:val="en-US"/>
        </w:rPr>
        <w:t>EMIRATES</w:t>
      </w:r>
      <w:r w:rsidR="00B819D8" w:rsidRPr="00B819D8">
        <w:rPr>
          <w:rFonts w:ascii="Arial Narrow" w:hAnsi="Arial Narrow" w:cs="Times New Roman"/>
          <w:sz w:val="24"/>
          <w:szCs w:val="24"/>
        </w:rPr>
        <w:t xml:space="preserve"> (</w:t>
      </w:r>
      <w:r w:rsidR="00B819D8">
        <w:rPr>
          <w:rFonts w:ascii="Arial Narrow" w:hAnsi="Arial Narrow" w:cs="Times New Roman"/>
          <w:sz w:val="24"/>
          <w:szCs w:val="24"/>
        </w:rPr>
        <w:t>ένα από τα μεγαλύτερα</w:t>
      </w:r>
      <w:r w:rsidR="00B641BC" w:rsidRPr="00B641BC">
        <w:rPr>
          <w:rFonts w:ascii="Arial Narrow" w:hAnsi="Arial Narrow" w:cs="Times New Roman"/>
          <w:sz w:val="24"/>
          <w:szCs w:val="24"/>
        </w:rPr>
        <w:t xml:space="preserve"> </w:t>
      </w:r>
      <w:r w:rsidR="00B641BC">
        <w:rPr>
          <w:rFonts w:ascii="Arial Narrow" w:hAnsi="Arial Narrow" w:cs="Times New Roman"/>
          <w:sz w:val="24"/>
          <w:szCs w:val="24"/>
          <w:lang w:val="en-US"/>
        </w:rPr>
        <w:t>malls</w:t>
      </w:r>
      <w:r w:rsidR="00B641BC">
        <w:rPr>
          <w:rFonts w:ascii="Arial Narrow" w:hAnsi="Arial Narrow" w:cs="Times New Roman"/>
          <w:sz w:val="24"/>
          <w:szCs w:val="24"/>
        </w:rPr>
        <w:t xml:space="preserve"> της Μέσης Ανατολής), </w:t>
      </w:r>
      <w:r w:rsidR="00B641BC">
        <w:rPr>
          <w:rFonts w:ascii="Arial Narrow" w:hAnsi="Arial Narrow" w:cs="Times New Roman"/>
          <w:sz w:val="24"/>
          <w:szCs w:val="24"/>
          <w:lang w:val="en-US"/>
        </w:rPr>
        <w:t>YAS</w:t>
      </w:r>
      <w:r w:rsidR="00B641BC" w:rsidRPr="00B641BC">
        <w:rPr>
          <w:rFonts w:ascii="Arial Narrow" w:hAnsi="Arial Narrow" w:cs="Times New Roman"/>
          <w:sz w:val="24"/>
          <w:szCs w:val="24"/>
        </w:rPr>
        <w:t xml:space="preserve"> </w:t>
      </w:r>
      <w:r w:rsidR="00B641BC">
        <w:rPr>
          <w:rFonts w:ascii="Arial Narrow" w:hAnsi="Arial Narrow" w:cs="Times New Roman"/>
          <w:sz w:val="24"/>
          <w:szCs w:val="24"/>
          <w:lang w:val="en-US"/>
        </w:rPr>
        <w:t>MALL</w:t>
      </w:r>
      <w:r w:rsidR="00B641BC" w:rsidRPr="00B641BC">
        <w:rPr>
          <w:rFonts w:ascii="Arial Narrow" w:hAnsi="Arial Narrow" w:cs="Times New Roman"/>
          <w:sz w:val="24"/>
          <w:szCs w:val="24"/>
        </w:rPr>
        <w:t xml:space="preserve"> (</w:t>
      </w:r>
      <w:r w:rsidR="00B641BC">
        <w:rPr>
          <w:rFonts w:ascii="Arial Narrow" w:hAnsi="Arial Narrow" w:cs="Times New Roman"/>
          <w:sz w:val="24"/>
          <w:szCs w:val="24"/>
        </w:rPr>
        <w:t>μεγαλύτερο εμπορικό κέντρο στο Α</w:t>
      </w:r>
      <w:r w:rsidR="00B641BC">
        <w:rPr>
          <w:rFonts w:ascii="Arial Narrow" w:hAnsi="Arial Narrow" w:cs="Times New Roman"/>
          <w:sz w:val="24"/>
          <w:szCs w:val="24"/>
          <w:lang w:val="en-US"/>
        </w:rPr>
        <w:t>bu</w:t>
      </w:r>
      <w:r w:rsidR="00B641BC" w:rsidRPr="00B641BC">
        <w:rPr>
          <w:rFonts w:ascii="Arial Narrow" w:hAnsi="Arial Narrow" w:cs="Times New Roman"/>
          <w:sz w:val="24"/>
          <w:szCs w:val="24"/>
        </w:rPr>
        <w:t xml:space="preserve"> </w:t>
      </w:r>
      <w:r w:rsidR="00B641BC">
        <w:rPr>
          <w:rFonts w:ascii="Arial Narrow" w:hAnsi="Arial Narrow" w:cs="Times New Roman"/>
          <w:sz w:val="24"/>
          <w:szCs w:val="24"/>
          <w:lang w:val="en-US"/>
        </w:rPr>
        <w:t>Dhabi</w:t>
      </w:r>
      <w:r w:rsidR="00B641BC" w:rsidRPr="00B641BC">
        <w:rPr>
          <w:rFonts w:ascii="Arial Narrow" w:hAnsi="Arial Narrow" w:cs="Times New Roman"/>
          <w:sz w:val="24"/>
          <w:szCs w:val="24"/>
        </w:rPr>
        <w:t xml:space="preserve">) </w:t>
      </w:r>
      <w:r w:rsidR="00B641BC">
        <w:rPr>
          <w:rFonts w:ascii="Arial Narrow" w:hAnsi="Arial Narrow" w:cs="Times New Roman"/>
          <w:sz w:val="24"/>
          <w:szCs w:val="24"/>
        </w:rPr>
        <w:t xml:space="preserve">&amp; </w:t>
      </w:r>
      <w:r w:rsidR="00B641BC">
        <w:rPr>
          <w:rFonts w:ascii="Arial Narrow" w:hAnsi="Arial Narrow" w:cs="Times New Roman"/>
          <w:sz w:val="24"/>
          <w:szCs w:val="24"/>
          <w:lang w:val="en-US"/>
        </w:rPr>
        <w:t>DUBAI</w:t>
      </w:r>
      <w:r w:rsidR="00B641BC" w:rsidRPr="00B641BC">
        <w:rPr>
          <w:rFonts w:ascii="Arial Narrow" w:hAnsi="Arial Narrow" w:cs="Times New Roman"/>
          <w:sz w:val="24"/>
          <w:szCs w:val="24"/>
        </w:rPr>
        <w:t xml:space="preserve"> </w:t>
      </w:r>
      <w:r w:rsidR="00B641BC">
        <w:rPr>
          <w:rFonts w:ascii="Arial Narrow" w:hAnsi="Arial Narrow" w:cs="Times New Roman"/>
          <w:sz w:val="24"/>
          <w:szCs w:val="24"/>
          <w:lang w:val="en-US"/>
        </w:rPr>
        <w:t>FESTIVAL</w:t>
      </w:r>
      <w:r w:rsidR="00B641BC" w:rsidRPr="00B641BC">
        <w:rPr>
          <w:rFonts w:ascii="Arial Narrow" w:hAnsi="Arial Narrow" w:cs="Times New Roman"/>
          <w:sz w:val="24"/>
          <w:szCs w:val="24"/>
        </w:rPr>
        <w:t xml:space="preserve"> </w:t>
      </w:r>
      <w:r w:rsidR="00B641BC">
        <w:rPr>
          <w:rFonts w:ascii="Arial Narrow" w:hAnsi="Arial Narrow" w:cs="Times New Roman"/>
          <w:sz w:val="24"/>
          <w:szCs w:val="24"/>
          <w:lang w:val="en-US"/>
        </w:rPr>
        <w:t>CITY</w:t>
      </w:r>
      <w:r w:rsidR="00B641BC" w:rsidRPr="00B641BC">
        <w:rPr>
          <w:rFonts w:ascii="Arial Narrow" w:hAnsi="Arial Narrow" w:cs="Times New Roman"/>
          <w:sz w:val="24"/>
          <w:szCs w:val="24"/>
        </w:rPr>
        <w:t xml:space="preserve"> </w:t>
      </w:r>
      <w:r w:rsidR="00B641BC">
        <w:rPr>
          <w:rFonts w:ascii="Arial Narrow" w:hAnsi="Arial Narrow" w:cs="Times New Roman"/>
          <w:sz w:val="24"/>
          <w:szCs w:val="24"/>
          <w:lang w:val="en-US"/>
        </w:rPr>
        <w:t>MALL</w:t>
      </w:r>
      <w:r w:rsidR="00B641BC" w:rsidRPr="00B641BC">
        <w:rPr>
          <w:rFonts w:ascii="Arial Narrow" w:hAnsi="Arial Narrow" w:cs="Times New Roman"/>
          <w:sz w:val="24"/>
          <w:szCs w:val="24"/>
        </w:rPr>
        <w:t xml:space="preserve"> (</w:t>
      </w:r>
      <w:r w:rsidR="007A7B7D">
        <w:rPr>
          <w:rFonts w:ascii="Arial Narrow" w:hAnsi="Arial Narrow" w:cs="Times New Roman"/>
          <w:sz w:val="24"/>
          <w:szCs w:val="24"/>
        </w:rPr>
        <w:t xml:space="preserve">σημαντικό κέντρο λιανικού εμπορίου και ψυχαγωγίας). </w:t>
      </w:r>
    </w:p>
    <w:p w14:paraId="74FE400F" w14:textId="79223125" w:rsidR="007A7B7D" w:rsidRPr="00331C65" w:rsidRDefault="00D75893" w:rsidP="005B0E52">
      <w:pPr>
        <w:jc w:val="both"/>
        <w:rPr>
          <w:rFonts w:ascii="Arial Narrow" w:hAnsi="Arial Narrow" w:cs="Times New Roman"/>
          <w:b/>
          <w:color w:val="4F81BD" w:themeColor="accent1"/>
          <w:sz w:val="28"/>
          <w:szCs w:val="28"/>
        </w:rPr>
      </w:pPr>
      <w:r>
        <w:rPr>
          <w:rFonts w:ascii="Arial Narrow" w:hAnsi="Arial Narrow" w:cs="Times New Roman"/>
          <w:b/>
          <w:color w:val="4F81BD" w:themeColor="accent1"/>
          <w:sz w:val="28"/>
          <w:szCs w:val="28"/>
        </w:rPr>
        <w:t>24.6.</w:t>
      </w:r>
      <w:r w:rsidR="007A7B7D" w:rsidRPr="00331C65">
        <w:rPr>
          <w:rFonts w:ascii="Arial Narrow" w:hAnsi="Arial Narrow" w:cs="Times New Roman"/>
          <w:b/>
          <w:color w:val="4F81BD" w:themeColor="accent1"/>
          <w:sz w:val="28"/>
          <w:szCs w:val="28"/>
        </w:rPr>
        <w:t xml:space="preserve"> Ηλεκτρονικό Εμπόριο (</w:t>
      </w:r>
      <w:r w:rsidR="007A7B7D" w:rsidRPr="00331C65">
        <w:rPr>
          <w:rFonts w:ascii="Arial Narrow" w:hAnsi="Arial Narrow" w:cs="Times New Roman"/>
          <w:b/>
          <w:color w:val="4F81BD" w:themeColor="accent1"/>
          <w:sz w:val="28"/>
          <w:szCs w:val="28"/>
          <w:lang w:val="en-US"/>
        </w:rPr>
        <w:t>E</w:t>
      </w:r>
      <w:r w:rsidR="007A7B7D" w:rsidRPr="00331C65">
        <w:rPr>
          <w:rFonts w:ascii="Arial Narrow" w:hAnsi="Arial Narrow" w:cs="Times New Roman"/>
          <w:b/>
          <w:color w:val="4F81BD" w:themeColor="accent1"/>
          <w:sz w:val="28"/>
          <w:szCs w:val="28"/>
        </w:rPr>
        <w:t>-</w:t>
      </w:r>
      <w:r w:rsidR="007A7B7D" w:rsidRPr="00331C65">
        <w:rPr>
          <w:rFonts w:ascii="Arial Narrow" w:hAnsi="Arial Narrow" w:cs="Times New Roman"/>
          <w:b/>
          <w:color w:val="4F81BD" w:themeColor="accent1"/>
          <w:sz w:val="28"/>
          <w:szCs w:val="28"/>
          <w:lang w:val="en-US"/>
        </w:rPr>
        <w:t>Commerce</w:t>
      </w:r>
      <w:r w:rsidR="007A7B7D" w:rsidRPr="00331C65">
        <w:rPr>
          <w:rFonts w:ascii="Arial Narrow" w:hAnsi="Arial Narrow" w:cs="Times New Roman"/>
          <w:b/>
          <w:color w:val="4F81BD" w:themeColor="accent1"/>
          <w:sz w:val="28"/>
          <w:szCs w:val="28"/>
        </w:rPr>
        <w:t>)</w:t>
      </w:r>
    </w:p>
    <w:p w14:paraId="7D3FA540" w14:textId="73E36811" w:rsidR="007A7B7D" w:rsidRDefault="007A7B7D" w:rsidP="005B0E52">
      <w:pPr>
        <w:jc w:val="both"/>
        <w:rPr>
          <w:rFonts w:ascii="Arial Narrow" w:hAnsi="Arial Narrow" w:cs="Times New Roman"/>
          <w:sz w:val="24"/>
          <w:szCs w:val="24"/>
        </w:rPr>
      </w:pPr>
      <w:r>
        <w:rPr>
          <w:rFonts w:ascii="Arial Narrow" w:hAnsi="Arial Narrow" w:cs="Times New Roman"/>
          <w:sz w:val="24"/>
          <w:szCs w:val="24"/>
        </w:rPr>
        <w:t xml:space="preserve">Τα ΗΑΕ διαθέτουν την πιο ανεπτυγμένη αγορά ηλεκτρονικού εμπορίου στον αραβικό κόσμο. Βασικοί παράγοντες ανάπτυξης του ηλεκτρονικού εμπορίου θεωρούνται ότι είναι οι ψηφιακές πληρωμές, υψηλή διείσδυση και χρήση των </w:t>
      </w:r>
      <w:r w:rsidR="00D72154">
        <w:rPr>
          <w:rFonts w:ascii="Arial Narrow" w:hAnsi="Arial Narrow" w:cs="Times New Roman"/>
          <w:sz w:val="24"/>
          <w:szCs w:val="24"/>
          <w:lang w:val="en-US"/>
        </w:rPr>
        <w:t>Smartphones</w:t>
      </w:r>
      <w:r w:rsidR="00583D07" w:rsidRPr="00583D07">
        <w:rPr>
          <w:rFonts w:ascii="Arial Narrow" w:hAnsi="Arial Narrow" w:cs="Times New Roman"/>
          <w:sz w:val="24"/>
          <w:szCs w:val="24"/>
        </w:rPr>
        <w:t xml:space="preserve">, </w:t>
      </w:r>
      <w:r w:rsidR="00583D07">
        <w:rPr>
          <w:rFonts w:ascii="Arial Narrow" w:hAnsi="Arial Narrow" w:cs="Times New Roman"/>
          <w:sz w:val="24"/>
          <w:szCs w:val="24"/>
        </w:rPr>
        <w:t xml:space="preserve">νεανικός πληθυσμός, γρήγορες παραδόσεις, ισχυρές υποδομές </w:t>
      </w:r>
      <w:r w:rsidR="00583D07">
        <w:rPr>
          <w:rFonts w:ascii="Arial Narrow" w:hAnsi="Arial Narrow" w:cs="Times New Roman"/>
          <w:sz w:val="24"/>
          <w:szCs w:val="24"/>
          <w:lang w:val="en-US"/>
        </w:rPr>
        <w:t>logistics</w:t>
      </w:r>
      <w:r w:rsidR="00583D07" w:rsidRPr="00583D07">
        <w:rPr>
          <w:rFonts w:ascii="Arial Narrow" w:hAnsi="Arial Narrow" w:cs="Times New Roman"/>
          <w:sz w:val="24"/>
          <w:szCs w:val="24"/>
        </w:rPr>
        <w:t xml:space="preserve">. </w:t>
      </w:r>
      <w:r w:rsidR="00583D07">
        <w:rPr>
          <w:rFonts w:ascii="Arial Narrow" w:hAnsi="Arial Narrow" w:cs="Times New Roman"/>
          <w:sz w:val="24"/>
          <w:szCs w:val="24"/>
        </w:rPr>
        <w:t xml:space="preserve">Οι πλατφόρμες που χρησιμοποιούνται είναι </w:t>
      </w:r>
      <w:r w:rsidR="00583D07">
        <w:rPr>
          <w:rFonts w:ascii="Arial Narrow" w:hAnsi="Arial Narrow" w:cs="Times New Roman"/>
          <w:sz w:val="24"/>
          <w:szCs w:val="24"/>
          <w:lang w:val="en-US"/>
        </w:rPr>
        <w:t>Amazon</w:t>
      </w:r>
      <w:r w:rsidR="00583D07" w:rsidRPr="00583D07">
        <w:rPr>
          <w:rFonts w:ascii="Arial Narrow" w:hAnsi="Arial Narrow" w:cs="Times New Roman"/>
          <w:sz w:val="24"/>
          <w:szCs w:val="24"/>
        </w:rPr>
        <w:t xml:space="preserve"> </w:t>
      </w:r>
      <w:r w:rsidR="00583D07">
        <w:rPr>
          <w:rFonts w:ascii="Arial Narrow" w:hAnsi="Arial Narrow" w:cs="Times New Roman"/>
          <w:sz w:val="24"/>
          <w:szCs w:val="24"/>
          <w:lang w:val="en-US"/>
        </w:rPr>
        <w:t>UAE</w:t>
      </w:r>
      <w:r w:rsidR="00583D07" w:rsidRPr="00583D07">
        <w:rPr>
          <w:rFonts w:ascii="Arial Narrow" w:hAnsi="Arial Narrow" w:cs="Times New Roman"/>
          <w:sz w:val="24"/>
          <w:szCs w:val="24"/>
        </w:rPr>
        <w:t xml:space="preserve">, </w:t>
      </w:r>
      <w:r w:rsidR="00583D07">
        <w:rPr>
          <w:rFonts w:ascii="Arial Narrow" w:hAnsi="Arial Narrow" w:cs="Times New Roman"/>
          <w:sz w:val="24"/>
          <w:szCs w:val="24"/>
          <w:lang w:val="en-US"/>
        </w:rPr>
        <w:t>Noon</w:t>
      </w:r>
      <w:r w:rsidR="00583D07" w:rsidRPr="00583D07">
        <w:rPr>
          <w:rFonts w:ascii="Arial Narrow" w:hAnsi="Arial Narrow" w:cs="Times New Roman"/>
          <w:sz w:val="24"/>
          <w:szCs w:val="24"/>
        </w:rPr>
        <w:t xml:space="preserve"> &amp; </w:t>
      </w:r>
      <w:r w:rsidR="00583D07">
        <w:rPr>
          <w:rFonts w:ascii="Arial Narrow" w:hAnsi="Arial Narrow" w:cs="Times New Roman"/>
          <w:sz w:val="24"/>
          <w:szCs w:val="24"/>
          <w:lang w:val="en-US"/>
        </w:rPr>
        <w:t>Carrefour</w:t>
      </w:r>
      <w:r w:rsidR="00583D07" w:rsidRPr="00583D07">
        <w:rPr>
          <w:rFonts w:ascii="Arial Narrow" w:hAnsi="Arial Narrow" w:cs="Times New Roman"/>
          <w:sz w:val="24"/>
          <w:szCs w:val="24"/>
        </w:rPr>
        <w:t xml:space="preserve"> </w:t>
      </w:r>
      <w:r w:rsidR="00583D07">
        <w:rPr>
          <w:rFonts w:ascii="Arial Narrow" w:hAnsi="Arial Narrow" w:cs="Times New Roman"/>
          <w:sz w:val="24"/>
          <w:szCs w:val="24"/>
          <w:lang w:val="en-US"/>
        </w:rPr>
        <w:t>UAE</w:t>
      </w:r>
      <w:r w:rsidR="00583D07" w:rsidRPr="00583D07">
        <w:rPr>
          <w:rFonts w:ascii="Arial Narrow" w:hAnsi="Arial Narrow" w:cs="Times New Roman"/>
          <w:sz w:val="24"/>
          <w:szCs w:val="24"/>
        </w:rPr>
        <w:t>.</w:t>
      </w:r>
    </w:p>
    <w:p w14:paraId="7AE591F2" w14:textId="7758F568" w:rsidR="00583D07" w:rsidRPr="00331C65" w:rsidRDefault="00D75893" w:rsidP="005B0E52">
      <w:pPr>
        <w:jc w:val="both"/>
        <w:rPr>
          <w:rFonts w:ascii="Arial Narrow" w:hAnsi="Arial Narrow" w:cs="Times New Roman"/>
          <w:b/>
          <w:color w:val="4F81BD" w:themeColor="accent1"/>
          <w:sz w:val="28"/>
          <w:szCs w:val="28"/>
        </w:rPr>
      </w:pPr>
      <w:r>
        <w:rPr>
          <w:rFonts w:ascii="Arial Narrow" w:hAnsi="Arial Narrow" w:cs="Times New Roman"/>
          <w:b/>
          <w:color w:val="4F81BD" w:themeColor="accent1"/>
          <w:sz w:val="28"/>
          <w:szCs w:val="28"/>
        </w:rPr>
        <w:t xml:space="preserve">24.7. </w:t>
      </w:r>
      <w:r w:rsidR="00583D07" w:rsidRPr="00331C65">
        <w:rPr>
          <w:rFonts w:ascii="Arial Narrow" w:hAnsi="Arial Narrow" w:cs="Times New Roman"/>
          <w:b/>
          <w:color w:val="4F81BD" w:themeColor="accent1"/>
          <w:sz w:val="28"/>
          <w:szCs w:val="28"/>
        </w:rPr>
        <w:t>Εξωτερικό Εμπόριο και Επανεξαγωγές</w:t>
      </w:r>
    </w:p>
    <w:p w14:paraId="32BFBB8F" w14:textId="7550ED74" w:rsidR="00583D07" w:rsidRDefault="00583D07" w:rsidP="005B0E52">
      <w:pPr>
        <w:jc w:val="both"/>
        <w:rPr>
          <w:rFonts w:ascii="Arial Narrow" w:hAnsi="Arial Narrow" w:cs="Times New Roman"/>
          <w:sz w:val="24"/>
          <w:szCs w:val="24"/>
        </w:rPr>
      </w:pPr>
      <w:r>
        <w:rPr>
          <w:rFonts w:ascii="Arial Narrow" w:hAnsi="Arial Narrow" w:cs="Times New Roman"/>
          <w:sz w:val="24"/>
          <w:szCs w:val="24"/>
        </w:rPr>
        <w:t>Τα ΗΑΕ αποτελούν το μεγαλύτερο κέντρο επανεξαγωγών (</w:t>
      </w:r>
      <w:r w:rsidR="006611F1">
        <w:rPr>
          <w:rFonts w:ascii="Arial Narrow" w:hAnsi="Arial Narrow" w:cs="Times New Roman"/>
          <w:sz w:val="24"/>
          <w:szCs w:val="24"/>
          <w:lang w:val="en-US"/>
        </w:rPr>
        <w:t>re</w:t>
      </w:r>
      <w:r w:rsidR="006611F1" w:rsidRPr="006611F1">
        <w:rPr>
          <w:rFonts w:ascii="Arial Narrow" w:hAnsi="Arial Narrow" w:cs="Times New Roman"/>
          <w:sz w:val="24"/>
          <w:szCs w:val="24"/>
        </w:rPr>
        <w:t>-</w:t>
      </w:r>
      <w:r w:rsidR="006611F1">
        <w:rPr>
          <w:rFonts w:ascii="Arial Narrow" w:hAnsi="Arial Narrow" w:cs="Times New Roman"/>
          <w:sz w:val="24"/>
          <w:szCs w:val="24"/>
          <w:lang w:val="en-US"/>
        </w:rPr>
        <w:t>exports</w:t>
      </w:r>
      <w:r w:rsidR="006611F1" w:rsidRPr="006611F1">
        <w:rPr>
          <w:rFonts w:ascii="Arial Narrow" w:hAnsi="Arial Narrow" w:cs="Times New Roman"/>
          <w:sz w:val="24"/>
          <w:szCs w:val="24"/>
        </w:rPr>
        <w:t xml:space="preserve"> </w:t>
      </w:r>
      <w:r w:rsidR="006611F1">
        <w:rPr>
          <w:rFonts w:ascii="Arial Narrow" w:hAnsi="Arial Narrow" w:cs="Times New Roman"/>
          <w:sz w:val="24"/>
          <w:szCs w:val="24"/>
          <w:lang w:val="en-US"/>
        </w:rPr>
        <w:t>hub</w:t>
      </w:r>
      <w:r w:rsidR="006611F1" w:rsidRPr="006611F1">
        <w:rPr>
          <w:rFonts w:ascii="Arial Narrow" w:hAnsi="Arial Narrow" w:cs="Times New Roman"/>
          <w:sz w:val="24"/>
          <w:szCs w:val="24"/>
        </w:rPr>
        <w:t xml:space="preserve">) </w:t>
      </w:r>
      <w:r w:rsidR="004D1995">
        <w:rPr>
          <w:rFonts w:ascii="Arial Narrow" w:hAnsi="Arial Narrow" w:cs="Times New Roman"/>
          <w:sz w:val="24"/>
          <w:szCs w:val="24"/>
        </w:rPr>
        <w:t xml:space="preserve">στη Μέση Ανατολή. Βασικές αγορές είναι η Σαουδική Αραβία, Ινδία, Κίνα, Τουρκία, Αφρική &amp; Κεντρική Ασία. Η σημαντική ανάπτυξη του εξωτερικού εμπορίου οφείλεται, μεταξύ των άλλων, στις σύγχρονες υποδομές όπως λιμάνια, αεροδρόμια, ελεύθερες ζώνες και συμφωνίες </w:t>
      </w:r>
      <w:r w:rsidR="004D1995">
        <w:rPr>
          <w:rFonts w:ascii="Arial Narrow" w:hAnsi="Arial Narrow" w:cs="Times New Roman"/>
          <w:sz w:val="24"/>
          <w:szCs w:val="24"/>
          <w:lang w:val="en-US"/>
        </w:rPr>
        <w:t>CEPA</w:t>
      </w:r>
      <w:r w:rsidR="004D1995" w:rsidRPr="004D1995">
        <w:rPr>
          <w:rFonts w:ascii="Arial Narrow" w:hAnsi="Arial Narrow" w:cs="Times New Roman"/>
          <w:sz w:val="24"/>
          <w:szCs w:val="24"/>
        </w:rPr>
        <w:t xml:space="preserve">. </w:t>
      </w:r>
      <w:r w:rsidR="004D1995">
        <w:rPr>
          <w:rFonts w:ascii="Arial Narrow" w:hAnsi="Arial Narrow" w:cs="Times New Roman"/>
          <w:sz w:val="24"/>
          <w:szCs w:val="24"/>
          <w:lang w:val="en-US"/>
        </w:rPr>
        <w:t>To</w:t>
      </w:r>
      <w:r w:rsidR="004D1995" w:rsidRPr="00C65F92">
        <w:rPr>
          <w:rFonts w:ascii="Arial Narrow" w:hAnsi="Arial Narrow" w:cs="Times New Roman"/>
          <w:sz w:val="24"/>
          <w:szCs w:val="24"/>
        </w:rPr>
        <w:t xml:space="preserve"> </w:t>
      </w:r>
      <w:r w:rsidR="00FB41AF">
        <w:rPr>
          <w:rFonts w:ascii="Arial Narrow" w:hAnsi="Arial Narrow" w:cs="Times New Roman"/>
          <w:sz w:val="24"/>
          <w:szCs w:val="24"/>
        </w:rPr>
        <w:t xml:space="preserve">μη πετρελαϊκό εξωτερικό εμπόριο του </w:t>
      </w:r>
      <w:r w:rsidR="00FB41AF">
        <w:rPr>
          <w:rFonts w:ascii="Arial Narrow" w:hAnsi="Arial Narrow" w:cs="Times New Roman"/>
          <w:sz w:val="24"/>
          <w:szCs w:val="24"/>
          <w:lang w:val="en-US"/>
        </w:rPr>
        <w:t>Abu</w:t>
      </w:r>
      <w:r w:rsidR="00FB41AF" w:rsidRPr="00C65F92">
        <w:rPr>
          <w:rFonts w:ascii="Arial Narrow" w:hAnsi="Arial Narrow" w:cs="Times New Roman"/>
          <w:sz w:val="24"/>
          <w:szCs w:val="24"/>
        </w:rPr>
        <w:t xml:space="preserve"> </w:t>
      </w:r>
      <w:r w:rsidR="00FB41AF">
        <w:rPr>
          <w:rFonts w:ascii="Arial Narrow" w:hAnsi="Arial Narrow" w:cs="Times New Roman"/>
          <w:sz w:val="24"/>
          <w:szCs w:val="24"/>
          <w:lang w:val="en-US"/>
        </w:rPr>
        <w:t>Dhabi</w:t>
      </w:r>
      <w:r w:rsidR="00FB41AF" w:rsidRPr="00C65F92">
        <w:rPr>
          <w:rFonts w:ascii="Arial Narrow" w:hAnsi="Arial Narrow" w:cs="Times New Roman"/>
          <w:sz w:val="24"/>
          <w:szCs w:val="24"/>
        </w:rPr>
        <w:t xml:space="preserve"> </w:t>
      </w:r>
      <w:r w:rsidR="00FB41AF">
        <w:rPr>
          <w:rFonts w:ascii="Arial Narrow" w:hAnsi="Arial Narrow" w:cs="Times New Roman"/>
          <w:sz w:val="24"/>
          <w:szCs w:val="24"/>
        </w:rPr>
        <w:t xml:space="preserve">αυξήθηκε </w:t>
      </w:r>
      <w:r w:rsidR="00C65F92">
        <w:rPr>
          <w:rFonts w:ascii="Arial Narrow" w:hAnsi="Arial Narrow" w:cs="Times New Roman"/>
          <w:sz w:val="24"/>
          <w:szCs w:val="24"/>
        </w:rPr>
        <w:t xml:space="preserve">κατά το πρώτο εξάμηνο 2025, κατά 34,7%, φθάνοντας τα 195,4 δις </w:t>
      </w:r>
      <w:r w:rsidR="00C65F92">
        <w:rPr>
          <w:rFonts w:ascii="Arial Narrow" w:hAnsi="Arial Narrow" w:cs="Times New Roman"/>
          <w:sz w:val="24"/>
          <w:szCs w:val="24"/>
          <w:lang w:val="en-US"/>
        </w:rPr>
        <w:t>AED</w:t>
      </w:r>
      <w:r w:rsidR="00C65F92" w:rsidRPr="00C65F92">
        <w:rPr>
          <w:rFonts w:ascii="Arial Narrow" w:hAnsi="Arial Narrow" w:cs="Times New Roman"/>
          <w:sz w:val="24"/>
          <w:szCs w:val="24"/>
        </w:rPr>
        <w:t xml:space="preserve"> (</w:t>
      </w:r>
      <w:r w:rsidR="001B0958">
        <w:rPr>
          <w:rFonts w:ascii="Arial Narrow" w:hAnsi="Arial Narrow" w:cs="Times New Roman"/>
          <w:sz w:val="24"/>
          <w:szCs w:val="24"/>
        </w:rPr>
        <w:t>Ντίρχαμ).</w:t>
      </w:r>
    </w:p>
    <w:p w14:paraId="3CB26AB6" w14:textId="29555C86" w:rsidR="001B0958" w:rsidRPr="00331C65" w:rsidRDefault="00D75893" w:rsidP="005B0E52">
      <w:pPr>
        <w:jc w:val="both"/>
        <w:rPr>
          <w:rFonts w:ascii="Arial Narrow" w:hAnsi="Arial Narrow" w:cs="Times New Roman"/>
          <w:b/>
          <w:color w:val="4F81BD" w:themeColor="accent1"/>
          <w:sz w:val="28"/>
          <w:szCs w:val="28"/>
        </w:rPr>
      </w:pPr>
      <w:r>
        <w:rPr>
          <w:rFonts w:ascii="Arial Narrow" w:hAnsi="Arial Narrow" w:cs="Times New Roman"/>
          <w:b/>
          <w:color w:val="4F81BD" w:themeColor="accent1"/>
          <w:sz w:val="28"/>
          <w:szCs w:val="28"/>
        </w:rPr>
        <w:t xml:space="preserve">24.8. </w:t>
      </w:r>
      <w:r w:rsidR="001B0958" w:rsidRPr="00331C65">
        <w:rPr>
          <w:rFonts w:ascii="Arial Narrow" w:hAnsi="Arial Narrow" w:cs="Times New Roman"/>
          <w:b/>
          <w:color w:val="4F81BD" w:themeColor="accent1"/>
          <w:sz w:val="28"/>
          <w:szCs w:val="28"/>
        </w:rPr>
        <w:t xml:space="preserve">Απασχόληση </w:t>
      </w:r>
    </w:p>
    <w:p w14:paraId="117EF2D4" w14:textId="40436D57" w:rsidR="001B0958" w:rsidRDefault="001B0958" w:rsidP="005B0E52">
      <w:pPr>
        <w:jc w:val="both"/>
        <w:rPr>
          <w:rFonts w:ascii="Arial Narrow" w:hAnsi="Arial Narrow" w:cs="Times New Roman"/>
          <w:sz w:val="24"/>
          <w:szCs w:val="24"/>
        </w:rPr>
      </w:pPr>
      <w:r>
        <w:rPr>
          <w:rFonts w:ascii="Arial Narrow" w:hAnsi="Arial Narrow" w:cs="Times New Roman"/>
          <w:sz w:val="24"/>
          <w:szCs w:val="24"/>
        </w:rPr>
        <w:t>Το εμπόριο αποτελεί έναν από τους μεγαλύτερους εργοδότες της χώρας. Εκτιμάται ότι το 16% περίπου του ιδιωτικού εργατικού δυναμικού απασχολείται στο χονδρεμπόριο και λιανεμπόριο, ενώ εκατοντάδες χιλιάδες εργαζόμενοι δραστηριοποιούνται σε πωλήσεις,</w:t>
      </w:r>
      <w:r w:rsidRPr="001B0958">
        <w:rPr>
          <w:rFonts w:ascii="Arial Narrow" w:hAnsi="Arial Narrow" w:cs="Times New Roman"/>
          <w:sz w:val="24"/>
          <w:szCs w:val="24"/>
        </w:rPr>
        <w:t xml:space="preserve"> </w:t>
      </w:r>
      <w:r>
        <w:rPr>
          <w:rFonts w:ascii="Arial Narrow" w:hAnsi="Arial Narrow" w:cs="Times New Roman"/>
          <w:sz w:val="24"/>
          <w:szCs w:val="24"/>
          <w:lang w:val="en-US"/>
        </w:rPr>
        <w:t>Logistics</w:t>
      </w:r>
      <w:r w:rsidRPr="001B0958">
        <w:rPr>
          <w:rFonts w:ascii="Arial Narrow" w:hAnsi="Arial Narrow" w:cs="Times New Roman"/>
          <w:sz w:val="24"/>
          <w:szCs w:val="24"/>
        </w:rPr>
        <w:t xml:space="preserve">, </w:t>
      </w:r>
      <w:r>
        <w:rPr>
          <w:rFonts w:ascii="Arial Narrow" w:hAnsi="Arial Narrow" w:cs="Times New Roman"/>
          <w:sz w:val="24"/>
          <w:szCs w:val="24"/>
        </w:rPr>
        <w:t>αποθήκες και διανομές.</w:t>
      </w:r>
    </w:p>
    <w:p w14:paraId="75C678EB" w14:textId="1FC24C83" w:rsidR="001B0958" w:rsidRPr="00331C65" w:rsidRDefault="00D75893" w:rsidP="005B0E52">
      <w:pPr>
        <w:jc w:val="both"/>
        <w:rPr>
          <w:rFonts w:ascii="Arial Narrow" w:hAnsi="Arial Narrow" w:cs="Times New Roman"/>
          <w:b/>
          <w:color w:val="4F81BD" w:themeColor="accent1"/>
          <w:sz w:val="28"/>
          <w:szCs w:val="28"/>
        </w:rPr>
      </w:pPr>
      <w:r>
        <w:rPr>
          <w:rFonts w:ascii="Arial Narrow" w:hAnsi="Arial Narrow" w:cs="Times New Roman"/>
          <w:b/>
          <w:color w:val="4F81BD" w:themeColor="accent1"/>
          <w:sz w:val="28"/>
          <w:szCs w:val="28"/>
        </w:rPr>
        <w:t xml:space="preserve">24.9. </w:t>
      </w:r>
      <w:r w:rsidR="001B0958" w:rsidRPr="00331C65">
        <w:rPr>
          <w:rFonts w:ascii="Arial Narrow" w:hAnsi="Arial Narrow" w:cs="Times New Roman"/>
          <w:b/>
          <w:color w:val="4F81BD" w:themeColor="accent1"/>
          <w:sz w:val="28"/>
          <w:szCs w:val="28"/>
        </w:rPr>
        <w:t>Προκλήσεις</w:t>
      </w:r>
    </w:p>
    <w:p w14:paraId="453FB1D1" w14:textId="13C8C68D" w:rsidR="001B0958" w:rsidRDefault="001B0958" w:rsidP="005B0E52">
      <w:pPr>
        <w:jc w:val="both"/>
        <w:rPr>
          <w:rFonts w:ascii="Arial Narrow" w:hAnsi="Arial Narrow" w:cs="Times New Roman"/>
          <w:sz w:val="24"/>
          <w:szCs w:val="24"/>
        </w:rPr>
      </w:pPr>
      <w:r>
        <w:rPr>
          <w:rFonts w:ascii="Arial Narrow" w:hAnsi="Arial Narrow" w:cs="Times New Roman"/>
          <w:sz w:val="24"/>
          <w:szCs w:val="24"/>
        </w:rPr>
        <w:t>Σοβαρός ανταγωνισμός από το ηλεκτρονικο εμπόριο (</w:t>
      </w:r>
      <w:r>
        <w:rPr>
          <w:rFonts w:ascii="Arial Narrow" w:hAnsi="Arial Narrow" w:cs="Times New Roman"/>
          <w:sz w:val="24"/>
          <w:szCs w:val="24"/>
          <w:lang w:val="en-US"/>
        </w:rPr>
        <w:t>e</w:t>
      </w:r>
      <w:r w:rsidRPr="001B0958">
        <w:rPr>
          <w:rFonts w:ascii="Arial Narrow" w:hAnsi="Arial Narrow" w:cs="Times New Roman"/>
          <w:sz w:val="24"/>
          <w:szCs w:val="24"/>
        </w:rPr>
        <w:t>-</w:t>
      </w:r>
      <w:r>
        <w:rPr>
          <w:rFonts w:ascii="Arial Narrow" w:hAnsi="Arial Narrow" w:cs="Times New Roman"/>
          <w:sz w:val="24"/>
          <w:szCs w:val="24"/>
          <w:lang w:val="en-US"/>
        </w:rPr>
        <w:t>commerce</w:t>
      </w:r>
      <w:r w:rsidRPr="001B0958">
        <w:rPr>
          <w:rFonts w:ascii="Arial Narrow" w:hAnsi="Arial Narrow" w:cs="Times New Roman"/>
          <w:sz w:val="24"/>
          <w:szCs w:val="24"/>
        </w:rPr>
        <w:t xml:space="preserve">) </w:t>
      </w:r>
      <w:r w:rsidR="00407A2C">
        <w:rPr>
          <w:rFonts w:ascii="Arial Narrow" w:hAnsi="Arial Narrow" w:cs="Times New Roman"/>
          <w:sz w:val="24"/>
          <w:szCs w:val="24"/>
        </w:rPr>
        <w:t>με τη μετάβαση προς τις ηλεκτρονικές αγορές να πιέζουν τα παραδοσιακά καταστήματα. Οι συνεχιζόμενες εντάσεις στον Αραβικό Κόλπο</w:t>
      </w:r>
      <w:r w:rsidR="006A157F">
        <w:rPr>
          <w:rFonts w:ascii="Arial Narrow" w:hAnsi="Arial Narrow" w:cs="Times New Roman"/>
          <w:sz w:val="24"/>
          <w:szCs w:val="24"/>
        </w:rPr>
        <w:t xml:space="preserve"> και ο έντονος προβληματισμός για την απρόσκοπτη διέλευση των Στενών του Ορμούζ δημιουργούν σημαντικές διαταραχές στις μεταφορές και επηρεάζουν σε μεγάλο βαθμό τις εφοδιαστικές αλυσίδες και το λιανεμπόριο. </w:t>
      </w:r>
    </w:p>
    <w:p w14:paraId="244A3922" w14:textId="712D0BAE" w:rsidR="006A157F" w:rsidRPr="00331C65" w:rsidRDefault="00D75893" w:rsidP="005B0E52">
      <w:pPr>
        <w:jc w:val="both"/>
        <w:rPr>
          <w:rFonts w:ascii="Arial Narrow" w:hAnsi="Arial Narrow" w:cs="Times New Roman"/>
          <w:b/>
          <w:color w:val="4F81BD" w:themeColor="accent1"/>
          <w:sz w:val="28"/>
          <w:szCs w:val="28"/>
        </w:rPr>
      </w:pPr>
      <w:r>
        <w:rPr>
          <w:rFonts w:ascii="Arial Narrow" w:hAnsi="Arial Narrow" w:cs="Times New Roman"/>
          <w:b/>
          <w:color w:val="4F81BD" w:themeColor="accent1"/>
          <w:sz w:val="28"/>
          <w:szCs w:val="28"/>
        </w:rPr>
        <w:t xml:space="preserve">24.10. </w:t>
      </w:r>
      <w:r w:rsidR="006A157F" w:rsidRPr="00331C65">
        <w:rPr>
          <w:rFonts w:ascii="Arial Narrow" w:hAnsi="Arial Narrow" w:cs="Times New Roman"/>
          <w:b/>
          <w:color w:val="4F81BD" w:themeColor="accent1"/>
          <w:sz w:val="28"/>
          <w:szCs w:val="28"/>
        </w:rPr>
        <w:t xml:space="preserve">Προοπτικές 2026-2030 </w:t>
      </w:r>
    </w:p>
    <w:p w14:paraId="4B0BAD01" w14:textId="19F8E365" w:rsidR="002C4D8A" w:rsidRPr="002C4D8A" w:rsidRDefault="006A157F" w:rsidP="002C4D8A">
      <w:pPr>
        <w:jc w:val="both"/>
        <w:rPr>
          <w:rFonts w:ascii="Arial Narrow" w:hAnsi="Arial Narrow" w:cs="Times New Roman"/>
          <w:sz w:val="24"/>
          <w:szCs w:val="24"/>
        </w:rPr>
      </w:pPr>
      <w:r>
        <w:rPr>
          <w:rFonts w:ascii="Arial Narrow" w:hAnsi="Arial Narrow" w:cs="Times New Roman"/>
          <w:sz w:val="24"/>
          <w:szCs w:val="24"/>
        </w:rPr>
        <w:t xml:space="preserve">Οι προοπτικές του κλάδου παραμένουν ιδιαίτερα θετικές λόγω της στρατηγικής </w:t>
      </w:r>
      <w:r>
        <w:rPr>
          <w:rFonts w:ascii="Arial Narrow" w:hAnsi="Arial Narrow" w:cs="Times New Roman"/>
          <w:sz w:val="24"/>
          <w:szCs w:val="24"/>
          <w:lang w:val="en-US"/>
        </w:rPr>
        <w:t>D</w:t>
      </w:r>
      <w:r w:rsidRPr="006A157F">
        <w:rPr>
          <w:rFonts w:ascii="Arial Narrow" w:hAnsi="Arial Narrow" w:cs="Times New Roman"/>
          <w:sz w:val="24"/>
          <w:szCs w:val="24"/>
        </w:rPr>
        <w:t xml:space="preserve">33 </w:t>
      </w:r>
      <w:r>
        <w:rPr>
          <w:rFonts w:ascii="Arial Narrow" w:hAnsi="Arial Narrow" w:cs="Times New Roman"/>
          <w:sz w:val="24"/>
          <w:szCs w:val="24"/>
        </w:rPr>
        <w:t xml:space="preserve">του Ντουμπάϊ, της αύξησης του πληθυσμού, της συνεχούς τουριστικής ανάπτυξης, της επέκτασης των ελευθέρων ζωνών, της συνεχούς ανάπτυξης του ηλεκτρονικού εμπορίου και της ενίσχυσης των διεθνών εμπορικών συμφωνιών. Αναμένεται επίσης να παραμένει ο μεγαλύτερος μη πετρελαϊκός κλάδος της οικονομίας των ΗΑΕ και βασικός μοχλός για την επίτευξη </w:t>
      </w:r>
      <w:r w:rsidR="002C4D8A">
        <w:rPr>
          <w:rFonts w:ascii="Arial Narrow" w:hAnsi="Arial Narrow" w:cs="Times New Roman"/>
          <w:sz w:val="24"/>
          <w:szCs w:val="24"/>
        </w:rPr>
        <w:t>των στόχων οικονομικής διαφοροποίησης έως το 2031 και το 2050. Συμπερασματικά θα μπορούσε να ειπωθεί ότι ο τομέας του χονδρικού και λιανικού εμπορίου στα ΗΑΕ αποτελούν ένας από τους ισχυρότερους και πλέον δυναμικούς κλάδους της οικονομίας, με συμμετοχή άνω του 11% του ΑΕΠ και έως 25% στο ΑΕΠ του Εμιράτου του Ντουμπάϊ. Η στρατηγική θέση της χώρας, οι σύγχρονες υποδομές, ο τουρισμός, οι επανεξαγωγείς και η ψηφιακή οικονομία καθιστούν τα ΗΑΕ κορυφαίο εμπορικό κόμβο σε παγκόσμιο επίπεδο</w:t>
      </w:r>
      <w:bookmarkStart w:id="6" w:name="_Toc14342445"/>
    </w:p>
    <w:p w14:paraId="19C6BBD6" w14:textId="3B9EC805" w:rsidR="002C4D8A" w:rsidRPr="00D75893" w:rsidRDefault="00D75893" w:rsidP="00D75893">
      <w:pPr>
        <w:jc w:val="center"/>
        <w:rPr>
          <w:rFonts w:ascii="Arial Narrow" w:hAnsi="Arial Narrow" w:cs="Times New Roman"/>
          <w:b/>
          <w:color w:val="4F81BD" w:themeColor="accent1"/>
          <w:sz w:val="28"/>
          <w:szCs w:val="28"/>
        </w:rPr>
      </w:pPr>
      <w:r w:rsidRPr="00D75893">
        <w:rPr>
          <w:rFonts w:ascii="Arial Narrow" w:hAnsi="Arial Narrow" w:cs="Times New Roman"/>
          <w:b/>
          <w:color w:val="4F81BD" w:themeColor="accent1"/>
          <w:sz w:val="28"/>
          <w:szCs w:val="28"/>
        </w:rPr>
        <w:t xml:space="preserve">25. </w:t>
      </w:r>
      <w:r w:rsidR="002C4D8A" w:rsidRPr="00D75893">
        <w:rPr>
          <w:rFonts w:ascii="Arial Narrow" w:hAnsi="Arial Narrow" w:cs="Times New Roman"/>
          <w:b/>
          <w:color w:val="4F81BD" w:themeColor="accent1"/>
          <w:sz w:val="28"/>
          <w:szCs w:val="28"/>
        </w:rPr>
        <w:t>Ο ΤΟΜΕΑΣ ΤΩΝ ΜΕΤΑΦΟΡΩΝ ΣΤΑ ΗΝΩΜΕΝΑ ΑΡΑΒΙΚΑ ΕΜΙΡΑΤΑ</w:t>
      </w:r>
    </w:p>
    <w:p w14:paraId="5EF937EA" w14:textId="1CE94D6D" w:rsidR="004D7729" w:rsidRPr="00331C65" w:rsidRDefault="00D75893" w:rsidP="002C4D8A">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25.1. </w:t>
      </w:r>
      <w:r w:rsidR="004D7729" w:rsidRPr="00331C65">
        <w:rPr>
          <w:rFonts w:ascii="Arial Narrow" w:hAnsi="Arial Narrow" w:cs="Times New Roman"/>
          <w:b/>
          <w:color w:val="4F81BD" w:themeColor="accent1"/>
          <w:sz w:val="24"/>
          <w:szCs w:val="24"/>
        </w:rPr>
        <w:t xml:space="preserve"> Γενική Επισκόπηση </w:t>
      </w:r>
      <w:r w:rsidR="002C4D8A" w:rsidRPr="00331C65">
        <w:rPr>
          <w:rFonts w:ascii="Arial Narrow" w:hAnsi="Arial Narrow" w:cs="Times New Roman"/>
          <w:b/>
          <w:color w:val="4F81BD" w:themeColor="accent1"/>
          <w:sz w:val="24"/>
          <w:szCs w:val="24"/>
        </w:rPr>
        <w:t xml:space="preserve"> </w:t>
      </w:r>
    </w:p>
    <w:p w14:paraId="46C21E7B" w14:textId="7782C54E" w:rsidR="00776E24" w:rsidRDefault="004D7729" w:rsidP="002C4D8A">
      <w:pPr>
        <w:jc w:val="both"/>
        <w:rPr>
          <w:rFonts w:ascii="Arial Narrow" w:hAnsi="Arial Narrow" w:cs="Times New Roman"/>
          <w:sz w:val="24"/>
          <w:szCs w:val="24"/>
        </w:rPr>
      </w:pPr>
      <w:r w:rsidRPr="004D7729">
        <w:rPr>
          <w:rFonts w:ascii="Arial Narrow" w:hAnsi="Arial Narrow" w:cs="Times New Roman"/>
          <w:sz w:val="24"/>
          <w:szCs w:val="24"/>
        </w:rPr>
        <w:t>Ο τομέας των μεταφορών αποτελεί έναν από τους σημαντικότερους πυλώνες της οικ</w:t>
      </w:r>
      <w:r>
        <w:rPr>
          <w:rFonts w:ascii="Arial Narrow" w:hAnsi="Arial Narrow" w:cs="Times New Roman"/>
          <w:sz w:val="24"/>
          <w:szCs w:val="24"/>
        </w:rPr>
        <w:t xml:space="preserve">ονομίας των ΗΑΕ, συμβάλλοντας καθοριστικά στην υλοποίηση του στρατηγικού στόχου της χώρας να εξελιχθεί σε παγκόσμιο κόμβο εμπορίου, </w:t>
      </w:r>
      <w:r w:rsidR="00BC7D1B">
        <w:rPr>
          <w:rFonts w:ascii="Arial Narrow" w:hAnsi="Arial Narrow" w:cs="Times New Roman"/>
          <w:sz w:val="24"/>
          <w:szCs w:val="24"/>
          <w:lang w:val="en-US"/>
        </w:rPr>
        <w:t>logistics</w:t>
      </w:r>
      <w:r w:rsidR="00BC7D1B" w:rsidRPr="00BC7D1B">
        <w:rPr>
          <w:rFonts w:ascii="Arial Narrow" w:hAnsi="Arial Narrow" w:cs="Times New Roman"/>
          <w:sz w:val="24"/>
          <w:szCs w:val="24"/>
        </w:rPr>
        <w:t xml:space="preserve">, </w:t>
      </w:r>
      <w:r w:rsidR="00BC7D1B">
        <w:rPr>
          <w:rFonts w:ascii="Arial Narrow" w:hAnsi="Arial Narrow" w:cs="Times New Roman"/>
          <w:sz w:val="24"/>
          <w:szCs w:val="24"/>
        </w:rPr>
        <w:t xml:space="preserve">τουρισμού και διασύνδεσης μεταξύ Ευρώπης, Ασίας και Αφρικής. </w:t>
      </w:r>
      <w:r w:rsidR="00526069">
        <w:rPr>
          <w:rFonts w:ascii="Arial Narrow" w:hAnsi="Arial Narrow" w:cs="Times New Roman"/>
          <w:sz w:val="24"/>
          <w:szCs w:val="24"/>
        </w:rPr>
        <w:t xml:space="preserve">Η γεωγραφική θέση των ΗΑΕ επιτρέπει τη πρόσβαση σε αγορές άνω των 3 δις καταναλωτών εντός ακτίνας πτήσης 4 έως 8 ωρών. </w:t>
      </w:r>
    </w:p>
    <w:p w14:paraId="6ED8420F" w14:textId="70A57A03" w:rsidR="00526069" w:rsidRDefault="00526069" w:rsidP="002C4D8A">
      <w:pPr>
        <w:jc w:val="both"/>
        <w:rPr>
          <w:rFonts w:ascii="Arial Narrow" w:hAnsi="Arial Narrow" w:cs="Times New Roman"/>
          <w:sz w:val="24"/>
          <w:szCs w:val="24"/>
        </w:rPr>
      </w:pPr>
      <w:r w:rsidRPr="00526069">
        <w:rPr>
          <w:rFonts w:ascii="Arial Narrow" w:hAnsi="Arial Narrow" w:cs="Times New Roman"/>
          <w:sz w:val="24"/>
          <w:szCs w:val="24"/>
        </w:rPr>
        <w:t xml:space="preserve">Βασικά στοιχειά του κλάδου των μεταφορών είναι η συνεισφορά του τομέα των μεταφορών και αποθήκευσης στο 8% έως και 10% στο ΑΕΠ της χώρας, </w:t>
      </w:r>
      <w:r>
        <w:rPr>
          <w:rFonts w:ascii="Arial Narrow" w:hAnsi="Arial Narrow" w:cs="Times New Roman"/>
          <w:sz w:val="24"/>
          <w:szCs w:val="24"/>
        </w:rPr>
        <w:t xml:space="preserve">ενώ η αξία του κλάδου αγγίζει τα 180 δις </w:t>
      </w:r>
      <w:r>
        <w:rPr>
          <w:rFonts w:ascii="Arial Narrow" w:hAnsi="Arial Narrow" w:cs="Times New Roman"/>
          <w:sz w:val="24"/>
          <w:szCs w:val="24"/>
          <w:lang w:val="en-US"/>
        </w:rPr>
        <w:t>AED</w:t>
      </w:r>
      <w:r w:rsidRPr="00526069">
        <w:rPr>
          <w:rFonts w:ascii="Arial Narrow" w:hAnsi="Arial Narrow" w:cs="Times New Roman"/>
          <w:sz w:val="24"/>
          <w:szCs w:val="24"/>
        </w:rPr>
        <w:t xml:space="preserve"> (</w:t>
      </w:r>
      <w:r w:rsidR="00965A09">
        <w:rPr>
          <w:rFonts w:ascii="Arial Narrow" w:hAnsi="Arial Narrow" w:cs="Times New Roman"/>
          <w:sz w:val="24"/>
          <w:szCs w:val="24"/>
        </w:rPr>
        <w:t xml:space="preserve">Ντίρχαμ). Η απασχόληση καλύπτει θέσεις εργασίας για 400.000 εργαζόμενους και οι διεθνείς αεροπορικές συνδέσεις καλύπτουν έως και 270 προορισμούς, διασυνδέσεις έως και 12 μεγάλα λιμάνια, με 10+ διεθνή αεροδρόμια και οδικό δίκτυο έως και 18.000 χλμ. </w:t>
      </w:r>
    </w:p>
    <w:p w14:paraId="1746CBBD" w14:textId="050DA903" w:rsidR="00BC54D7" w:rsidRPr="00331C65" w:rsidRDefault="00BC54D7" w:rsidP="002C4D8A">
      <w:pPr>
        <w:jc w:val="both"/>
        <w:rPr>
          <w:rFonts w:ascii="Arial Narrow" w:hAnsi="Arial Narrow" w:cs="Times New Roman"/>
          <w:b/>
          <w:color w:val="4F81BD" w:themeColor="accent1"/>
          <w:sz w:val="24"/>
          <w:szCs w:val="24"/>
        </w:rPr>
      </w:pPr>
      <w:r w:rsidRPr="00331C65">
        <w:rPr>
          <w:rFonts w:ascii="Arial Narrow" w:hAnsi="Arial Narrow" w:cs="Times New Roman"/>
          <w:b/>
          <w:color w:val="4F81BD" w:themeColor="accent1"/>
          <w:sz w:val="24"/>
          <w:szCs w:val="24"/>
        </w:rPr>
        <w:t>2</w:t>
      </w:r>
      <w:r w:rsidR="00D75893">
        <w:rPr>
          <w:rFonts w:ascii="Arial Narrow" w:hAnsi="Arial Narrow" w:cs="Times New Roman"/>
          <w:b/>
          <w:color w:val="4F81BD" w:themeColor="accent1"/>
          <w:sz w:val="24"/>
          <w:szCs w:val="24"/>
        </w:rPr>
        <w:t xml:space="preserve">5.2. </w:t>
      </w:r>
      <w:r w:rsidRPr="00331C65">
        <w:rPr>
          <w:rFonts w:ascii="Arial Narrow" w:hAnsi="Arial Narrow" w:cs="Times New Roman"/>
          <w:b/>
          <w:color w:val="4F81BD" w:themeColor="accent1"/>
          <w:sz w:val="24"/>
          <w:szCs w:val="24"/>
        </w:rPr>
        <w:t>Στρατηγική Σημασία</w:t>
      </w:r>
    </w:p>
    <w:p w14:paraId="45E0EEED" w14:textId="36D54A7A" w:rsidR="00BC54D7" w:rsidRDefault="00BC54D7" w:rsidP="002C4D8A">
      <w:pPr>
        <w:jc w:val="both"/>
        <w:rPr>
          <w:rFonts w:ascii="Arial Narrow" w:hAnsi="Arial Narrow" w:cs="Times New Roman"/>
          <w:sz w:val="24"/>
          <w:szCs w:val="24"/>
        </w:rPr>
      </w:pPr>
      <w:r>
        <w:rPr>
          <w:rFonts w:ascii="Arial Narrow" w:hAnsi="Arial Narrow" w:cs="Times New Roman"/>
          <w:sz w:val="24"/>
          <w:szCs w:val="24"/>
        </w:rPr>
        <w:t xml:space="preserve">Η κυβέρνηση των ΗΑΕ επενδύει συστηματικά στο κλάδο μέσω του </w:t>
      </w:r>
      <w:r>
        <w:rPr>
          <w:rFonts w:ascii="Arial Narrow" w:hAnsi="Arial Narrow" w:cs="Times New Roman"/>
          <w:sz w:val="24"/>
          <w:szCs w:val="24"/>
          <w:lang w:val="en-US"/>
        </w:rPr>
        <w:t>UAE</w:t>
      </w:r>
      <w:r w:rsidRPr="00BC54D7">
        <w:rPr>
          <w:rFonts w:ascii="Arial Narrow" w:hAnsi="Arial Narrow" w:cs="Times New Roman"/>
          <w:sz w:val="24"/>
          <w:szCs w:val="24"/>
        </w:rPr>
        <w:t xml:space="preserve"> </w:t>
      </w:r>
      <w:r>
        <w:rPr>
          <w:rFonts w:ascii="Arial Narrow" w:hAnsi="Arial Narrow" w:cs="Times New Roman"/>
          <w:sz w:val="24"/>
          <w:szCs w:val="24"/>
          <w:lang w:val="en-US"/>
        </w:rPr>
        <w:t>Vision</w:t>
      </w:r>
      <w:r w:rsidRPr="00BC54D7">
        <w:rPr>
          <w:rFonts w:ascii="Arial Narrow" w:hAnsi="Arial Narrow" w:cs="Times New Roman"/>
          <w:sz w:val="24"/>
          <w:szCs w:val="24"/>
        </w:rPr>
        <w:t xml:space="preserve"> 2031, </w:t>
      </w:r>
      <w:r>
        <w:rPr>
          <w:rFonts w:ascii="Arial Narrow" w:hAnsi="Arial Narrow" w:cs="Times New Roman"/>
          <w:sz w:val="24"/>
          <w:szCs w:val="24"/>
          <w:lang w:val="en-US"/>
        </w:rPr>
        <w:t>National</w:t>
      </w:r>
      <w:r w:rsidRPr="00BC54D7">
        <w:rPr>
          <w:rFonts w:ascii="Arial Narrow" w:hAnsi="Arial Narrow" w:cs="Times New Roman"/>
          <w:sz w:val="24"/>
          <w:szCs w:val="24"/>
        </w:rPr>
        <w:t xml:space="preserve"> </w:t>
      </w:r>
      <w:r>
        <w:rPr>
          <w:rFonts w:ascii="Arial Narrow" w:hAnsi="Arial Narrow" w:cs="Times New Roman"/>
          <w:sz w:val="24"/>
          <w:szCs w:val="24"/>
          <w:lang w:val="en-US"/>
        </w:rPr>
        <w:t>Transport</w:t>
      </w:r>
      <w:r w:rsidRPr="00BC54D7">
        <w:rPr>
          <w:rFonts w:ascii="Arial Narrow" w:hAnsi="Arial Narrow" w:cs="Times New Roman"/>
          <w:sz w:val="24"/>
          <w:szCs w:val="24"/>
        </w:rPr>
        <w:t xml:space="preserve"> </w:t>
      </w:r>
      <w:r>
        <w:rPr>
          <w:rFonts w:ascii="Arial Narrow" w:hAnsi="Arial Narrow" w:cs="Times New Roman"/>
          <w:sz w:val="24"/>
          <w:szCs w:val="24"/>
          <w:lang w:val="en-US"/>
        </w:rPr>
        <w:t>Strategy</w:t>
      </w:r>
      <w:r w:rsidRPr="00BC54D7">
        <w:rPr>
          <w:rFonts w:ascii="Arial Narrow" w:hAnsi="Arial Narrow" w:cs="Times New Roman"/>
          <w:sz w:val="24"/>
          <w:szCs w:val="24"/>
        </w:rPr>
        <w:t xml:space="preserve">, </w:t>
      </w:r>
      <w:r>
        <w:rPr>
          <w:rFonts w:ascii="Arial Narrow" w:hAnsi="Arial Narrow" w:cs="Times New Roman"/>
          <w:sz w:val="24"/>
          <w:szCs w:val="24"/>
          <w:lang w:val="en-US"/>
        </w:rPr>
        <w:t>Dubai</w:t>
      </w:r>
      <w:r w:rsidRPr="00BC54D7">
        <w:rPr>
          <w:rFonts w:ascii="Arial Narrow" w:hAnsi="Arial Narrow" w:cs="Times New Roman"/>
          <w:sz w:val="24"/>
          <w:szCs w:val="24"/>
        </w:rPr>
        <w:t xml:space="preserve"> </w:t>
      </w:r>
      <w:r>
        <w:rPr>
          <w:rFonts w:ascii="Arial Narrow" w:hAnsi="Arial Narrow" w:cs="Times New Roman"/>
          <w:sz w:val="24"/>
          <w:szCs w:val="24"/>
          <w:lang w:val="en-US"/>
        </w:rPr>
        <w:t>Economic</w:t>
      </w:r>
      <w:r w:rsidRPr="00BC54D7">
        <w:rPr>
          <w:rFonts w:ascii="Arial Narrow" w:hAnsi="Arial Narrow" w:cs="Times New Roman"/>
          <w:sz w:val="24"/>
          <w:szCs w:val="24"/>
        </w:rPr>
        <w:t xml:space="preserve"> </w:t>
      </w:r>
      <w:r>
        <w:rPr>
          <w:rFonts w:ascii="Arial Narrow" w:hAnsi="Arial Narrow" w:cs="Times New Roman"/>
          <w:sz w:val="24"/>
          <w:szCs w:val="24"/>
          <w:lang w:val="en-US"/>
        </w:rPr>
        <w:t>Agenda</w:t>
      </w:r>
      <w:r w:rsidRPr="00BC54D7">
        <w:rPr>
          <w:rFonts w:ascii="Arial Narrow" w:hAnsi="Arial Narrow" w:cs="Times New Roman"/>
          <w:sz w:val="24"/>
          <w:szCs w:val="24"/>
        </w:rPr>
        <w:t xml:space="preserve"> </w:t>
      </w:r>
      <w:r>
        <w:rPr>
          <w:rFonts w:ascii="Arial Narrow" w:hAnsi="Arial Narrow" w:cs="Times New Roman"/>
          <w:sz w:val="24"/>
          <w:szCs w:val="24"/>
          <w:lang w:val="en-US"/>
        </w:rPr>
        <w:t>D</w:t>
      </w:r>
      <w:r w:rsidRPr="00BC54D7">
        <w:rPr>
          <w:rFonts w:ascii="Arial Narrow" w:hAnsi="Arial Narrow" w:cs="Times New Roman"/>
          <w:sz w:val="24"/>
          <w:szCs w:val="24"/>
        </w:rPr>
        <w:t xml:space="preserve">33, </w:t>
      </w:r>
      <w:r>
        <w:rPr>
          <w:rFonts w:ascii="Arial Narrow" w:hAnsi="Arial Narrow" w:cs="Times New Roman"/>
          <w:sz w:val="24"/>
          <w:szCs w:val="24"/>
          <w:lang w:val="en-US"/>
        </w:rPr>
        <w:t>Adu</w:t>
      </w:r>
      <w:r w:rsidRPr="00BC54D7">
        <w:rPr>
          <w:rFonts w:ascii="Arial Narrow" w:hAnsi="Arial Narrow" w:cs="Times New Roman"/>
          <w:sz w:val="24"/>
          <w:szCs w:val="24"/>
        </w:rPr>
        <w:t xml:space="preserve"> </w:t>
      </w:r>
      <w:r>
        <w:rPr>
          <w:rFonts w:ascii="Arial Narrow" w:hAnsi="Arial Narrow" w:cs="Times New Roman"/>
          <w:sz w:val="24"/>
          <w:szCs w:val="24"/>
          <w:lang w:val="en-US"/>
        </w:rPr>
        <w:t>Dhabi</w:t>
      </w:r>
      <w:r w:rsidRPr="00BC54D7">
        <w:rPr>
          <w:rFonts w:ascii="Arial Narrow" w:hAnsi="Arial Narrow" w:cs="Times New Roman"/>
          <w:sz w:val="24"/>
          <w:szCs w:val="24"/>
        </w:rPr>
        <w:t xml:space="preserve"> </w:t>
      </w:r>
      <w:r>
        <w:rPr>
          <w:rFonts w:ascii="Arial Narrow" w:hAnsi="Arial Narrow" w:cs="Times New Roman"/>
          <w:sz w:val="24"/>
          <w:szCs w:val="24"/>
          <w:lang w:val="en-US"/>
        </w:rPr>
        <w:t>Economic</w:t>
      </w:r>
      <w:r w:rsidRPr="00BC54D7">
        <w:rPr>
          <w:rFonts w:ascii="Arial Narrow" w:hAnsi="Arial Narrow" w:cs="Times New Roman"/>
          <w:sz w:val="24"/>
          <w:szCs w:val="24"/>
        </w:rPr>
        <w:t xml:space="preserve"> </w:t>
      </w:r>
      <w:r>
        <w:rPr>
          <w:rFonts w:ascii="Arial Narrow" w:hAnsi="Arial Narrow" w:cs="Times New Roman"/>
          <w:sz w:val="24"/>
          <w:szCs w:val="24"/>
          <w:lang w:val="en-US"/>
        </w:rPr>
        <w:t>Vision</w:t>
      </w:r>
      <w:r w:rsidRPr="00BC54D7">
        <w:rPr>
          <w:rFonts w:ascii="Arial Narrow" w:hAnsi="Arial Narrow" w:cs="Times New Roman"/>
          <w:sz w:val="24"/>
          <w:szCs w:val="24"/>
        </w:rPr>
        <w:t xml:space="preserve"> 2030. </w:t>
      </w:r>
      <w:r>
        <w:rPr>
          <w:rFonts w:ascii="Arial Narrow" w:hAnsi="Arial Narrow" w:cs="Times New Roman"/>
          <w:sz w:val="24"/>
          <w:szCs w:val="24"/>
        </w:rPr>
        <w:t xml:space="preserve">Βασικοί στόχοι είναι η ενίσχυση της διασυνδεσιμότητας, της ανάπτυξης πράσινων μεταφορών, της ψηφιοποίησης </w:t>
      </w:r>
      <w:r>
        <w:rPr>
          <w:rFonts w:ascii="Arial Narrow" w:hAnsi="Arial Narrow" w:cs="Times New Roman"/>
          <w:sz w:val="24"/>
          <w:szCs w:val="24"/>
          <w:lang w:val="en-US"/>
        </w:rPr>
        <w:t>logistics</w:t>
      </w:r>
      <w:r w:rsidRPr="00BC54D7">
        <w:rPr>
          <w:rFonts w:ascii="Arial Narrow" w:hAnsi="Arial Narrow" w:cs="Times New Roman"/>
          <w:sz w:val="24"/>
          <w:szCs w:val="24"/>
        </w:rPr>
        <w:t xml:space="preserve">, </w:t>
      </w:r>
      <w:r w:rsidR="00594ED0">
        <w:rPr>
          <w:rFonts w:ascii="Arial Narrow" w:hAnsi="Arial Narrow" w:cs="Times New Roman"/>
          <w:sz w:val="24"/>
          <w:szCs w:val="24"/>
        </w:rPr>
        <w:t>της μείωσης εκπομπών άνθρακα και της δημιουργίας πολυτροπικών δικτύων μεταφοράς.</w:t>
      </w:r>
    </w:p>
    <w:p w14:paraId="4E5D595B" w14:textId="2873092B" w:rsidR="00594ED0" w:rsidRPr="00331C65" w:rsidRDefault="00D75893" w:rsidP="002C4D8A">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25.3. </w:t>
      </w:r>
      <w:r w:rsidR="00594ED0" w:rsidRPr="00331C65">
        <w:rPr>
          <w:rFonts w:ascii="Arial Narrow" w:hAnsi="Arial Narrow" w:cs="Times New Roman"/>
          <w:b/>
          <w:color w:val="4F81BD" w:themeColor="accent1"/>
          <w:sz w:val="24"/>
          <w:szCs w:val="24"/>
        </w:rPr>
        <w:t xml:space="preserve">Οδικές Μεταφορές </w:t>
      </w:r>
    </w:p>
    <w:p w14:paraId="758DC1AA" w14:textId="6D027EC6" w:rsidR="00815052" w:rsidRDefault="00D25C95" w:rsidP="002C4D8A">
      <w:pPr>
        <w:jc w:val="both"/>
        <w:rPr>
          <w:rFonts w:ascii="Arial Narrow" w:hAnsi="Arial Narrow" w:cs="Times New Roman"/>
          <w:sz w:val="24"/>
          <w:szCs w:val="24"/>
        </w:rPr>
      </w:pPr>
      <w:r>
        <w:rPr>
          <w:rFonts w:ascii="Arial Narrow" w:hAnsi="Arial Narrow" w:cs="Times New Roman"/>
          <w:sz w:val="24"/>
          <w:szCs w:val="24"/>
        </w:rPr>
        <w:t xml:space="preserve">Ο τομέας των οδικών μεταφορών αποτελεί το κύριο κλάδο για τις εσωτερικές μετακινήσεις. Το Δίκτυο των αυτοκινητοδρόμων περιλαμβάνει τρείς κύριους άξονες, </w:t>
      </w:r>
      <w:r w:rsidR="0037447B">
        <w:rPr>
          <w:rFonts w:ascii="Arial Narrow" w:hAnsi="Arial Narrow" w:cs="Times New Roman"/>
          <w:b/>
          <w:sz w:val="24"/>
          <w:szCs w:val="24"/>
          <w:lang w:val="en-US"/>
        </w:rPr>
        <w:t>Sheikh</w:t>
      </w:r>
      <w:r w:rsidR="0037447B" w:rsidRPr="0037447B">
        <w:rPr>
          <w:rFonts w:ascii="Arial Narrow" w:hAnsi="Arial Narrow" w:cs="Times New Roman"/>
          <w:b/>
          <w:sz w:val="24"/>
          <w:szCs w:val="24"/>
        </w:rPr>
        <w:t xml:space="preserve"> </w:t>
      </w:r>
      <w:r w:rsidR="0037447B">
        <w:rPr>
          <w:rFonts w:ascii="Arial Narrow" w:hAnsi="Arial Narrow" w:cs="Times New Roman"/>
          <w:b/>
          <w:sz w:val="24"/>
          <w:szCs w:val="24"/>
          <w:lang w:val="en-US"/>
        </w:rPr>
        <w:t>Zayed</w:t>
      </w:r>
      <w:r w:rsidR="0037447B" w:rsidRPr="0037447B">
        <w:rPr>
          <w:rFonts w:ascii="Arial Narrow" w:hAnsi="Arial Narrow" w:cs="Times New Roman"/>
          <w:b/>
          <w:sz w:val="24"/>
          <w:szCs w:val="24"/>
        </w:rPr>
        <w:t xml:space="preserve"> </w:t>
      </w:r>
      <w:r w:rsidR="0037447B">
        <w:rPr>
          <w:rFonts w:ascii="Arial Narrow" w:hAnsi="Arial Narrow" w:cs="Times New Roman"/>
          <w:b/>
          <w:sz w:val="24"/>
          <w:szCs w:val="24"/>
          <w:lang w:val="en-US"/>
        </w:rPr>
        <w:t>Road</w:t>
      </w:r>
      <w:r w:rsidR="0037447B" w:rsidRPr="0037447B">
        <w:rPr>
          <w:rFonts w:ascii="Arial Narrow" w:hAnsi="Arial Narrow" w:cs="Times New Roman"/>
          <w:b/>
          <w:sz w:val="24"/>
          <w:szCs w:val="24"/>
        </w:rPr>
        <w:t xml:space="preserve"> (</w:t>
      </w:r>
      <w:r w:rsidR="0037447B">
        <w:rPr>
          <w:rFonts w:ascii="Arial Narrow" w:hAnsi="Arial Narrow" w:cs="Times New Roman"/>
          <w:b/>
          <w:sz w:val="24"/>
          <w:szCs w:val="24"/>
          <w:lang w:val="en-US"/>
        </w:rPr>
        <w:t>E</w:t>
      </w:r>
      <w:r w:rsidR="0037447B" w:rsidRPr="0037447B">
        <w:rPr>
          <w:rFonts w:ascii="Arial Narrow" w:hAnsi="Arial Narrow" w:cs="Times New Roman"/>
          <w:b/>
          <w:sz w:val="24"/>
          <w:szCs w:val="24"/>
        </w:rPr>
        <w:t xml:space="preserve">11), </w:t>
      </w:r>
      <w:r w:rsidR="0037447B">
        <w:rPr>
          <w:rFonts w:ascii="Arial Narrow" w:hAnsi="Arial Narrow" w:cs="Times New Roman"/>
          <w:b/>
          <w:sz w:val="24"/>
          <w:szCs w:val="24"/>
          <w:lang w:val="en-US"/>
        </w:rPr>
        <w:t>Emirates</w:t>
      </w:r>
      <w:r w:rsidR="0037447B" w:rsidRPr="0037447B">
        <w:rPr>
          <w:rFonts w:ascii="Arial Narrow" w:hAnsi="Arial Narrow" w:cs="Times New Roman"/>
          <w:b/>
          <w:sz w:val="24"/>
          <w:szCs w:val="24"/>
        </w:rPr>
        <w:t xml:space="preserve"> </w:t>
      </w:r>
      <w:r w:rsidR="0037447B">
        <w:rPr>
          <w:rFonts w:ascii="Arial Narrow" w:hAnsi="Arial Narrow" w:cs="Times New Roman"/>
          <w:b/>
          <w:sz w:val="24"/>
          <w:szCs w:val="24"/>
          <w:lang w:val="en-US"/>
        </w:rPr>
        <w:t>Road</w:t>
      </w:r>
      <w:r w:rsidR="0037447B" w:rsidRPr="0037447B">
        <w:rPr>
          <w:rFonts w:ascii="Arial Narrow" w:hAnsi="Arial Narrow" w:cs="Times New Roman"/>
          <w:b/>
          <w:sz w:val="24"/>
          <w:szCs w:val="24"/>
        </w:rPr>
        <w:t xml:space="preserve"> (</w:t>
      </w:r>
      <w:r w:rsidR="0037447B">
        <w:rPr>
          <w:rFonts w:ascii="Arial Narrow" w:hAnsi="Arial Narrow" w:cs="Times New Roman"/>
          <w:b/>
          <w:sz w:val="24"/>
          <w:szCs w:val="24"/>
          <w:lang w:val="en-US"/>
        </w:rPr>
        <w:t>E</w:t>
      </w:r>
      <w:r w:rsidR="0037447B" w:rsidRPr="0037447B">
        <w:rPr>
          <w:rFonts w:ascii="Arial Narrow" w:hAnsi="Arial Narrow" w:cs="Times New Roman"/>
          <w:b/>
          <w:sz w:val="24"/>
          <w:szCs w:val="24"/>
        </w:rPr>
        <w:t xml:space="preserve">611) &amp; </w:t>
      </w:r>
      <w:r w:rsidR="0037447B">
        <w:rPr>
          <w:rFonts w:ascii="Arial Narrow" w:hAnsi="Arial Narrow" w:cs="Times New Roman"/>
          <w:b/>
          <w:sz w:val="24"/>
          <w:szCs w:val="24"/>
          <w:lang w:val="en-US"/>
        </w:rPr>
        <w:t>Mohammed</w:t>
      </w:r>
      <w:r w:rsidR="0037447B" w:rsidRPr="0037447B">
        <w:rPr>
          <w:rFonts w:ascii="Arial Narrow" w:hAnsi="Arial Narrow" w:cs="Times New Roman"/>
          <w:b/>
          <w:sz w:val="24"/>
          <w:szCs w:val="24"/>
        </w:rPr>
        <w:t xml:space="preserve"> </w:t>
      </w:r>
      <w:r w:rsidR="0037447B">
        <w:rPr>
          <w:rFonts w:ascii="Arial Narrow" w:hAnsi="Arial Narrow" w:cs="Times New Roman"/>
          <w:b/>
          <w:sz w:val="24"/>
          <w:szCs w:val="24"/>
          <w:lang w:val="en-US"/>
        </w:rPr>
        <w:t>Bin</w:t>
      </w:r>
      <w:r w:rsidR="0037447B" w:rsidRPr="0037447B">
        <w:rPr>
          <w:rFonts w:ascii="Arial Narrow" w:hAnsi="Arial Narrow" w:cs="Times New Roman"/>
          <w:b/>
          <w:sz w:val="24"/>
          <w:szCs w:val="24"/>
        </w:rPr>
        <w:t xml:space="preserve"> </w:t>
      </w:r>
      <w:r w:rsidR="0037447B">
        <w:rPr>
          <w:rFonts w:ascii="Arial Narrow" w:hAnsi="Arial Narrow" w:cs="Times New Roman"/>
          <w:b/>
          <w:sz w:val="24"/>
          <w:szCs w:val="24"/>
          <w:lang w:val="en-US"/>
        </w:rPr>
        <w:t>Zayed</w:t>
      </w:r>
      <w:r w:rsidR="0037447B" w:rsidRPr="0037447B">
        <w:rPr>
          <w:rFonts w:ascii="Arial Narrow" w:hAnsi="Arial Narrow" w:cs="Times New Roman"/>
          <w:b/>
          <w:sz w:val="24"/>
          <w:szCs w:val="24"/>
        </w:rPr>
        <w:t xml:space="preserve"> </w:t>
      </w:r>
      <w:r w:rsidR="0037447B">
        <w:rPr>
          <w:rFonts w:ascii="Arial Narrow" w:hAnsi="Arial Narrow" w:cs="Times New Roman"/>
          <w:b/>
          <w:sz w:val="24"/>
          <w:szCs w:val="24"/>
          <w:lang w:val="en-US"/>
        </w:rPr>
        <w:t>Road</w:t>
      </w:r>
      <w:r w:rsidR="0037447B" w:rsidRPr="0037447B">
        <w:rPr>
          <w:rFonts w:ascii="Arial Narrow" w:hAnsi="Arial Narrow" w:cs="Times New Roman"/>
          <w:b/>
          <w:sz w:val="24"/>
          <w:szCs w:val="24"/>
        </w:rPr>
        <w:t xml:space="preserve"> (</w:t>
      </w:r>
      <w:r w:rsidR="0037447B">
        <w:rPr>
          <w:rFonts w:ascii="Arial Narrow" w:hAnsi="Arial Narrow" w:cs="Times New Roman"/>
          <w:b/>
          <w:sz w:val="24"/>
          <w:szCs w:val="24"/>
          <w:lang w:val="en-US"/>
        </w:rPr>
        <w:t>E</w:t>
      </w:r>
      <w:r w:rsidR="0037447B" w:rsidRPr="0037447B">
        <w:rPr>
          <w:rFonts w:ascii="Arial Narrow" w:hAnsi="Arial Narrow" w:cs="Times New Roman"/>
          <w:b/>
          <w:sz w:val="24"/>
          <w:szCs w:val="24"/>
        </w:rPr>
        <w:t xml:space="preserve">311). </w:t>
      </w:r>
      <w:r w:rsidR="0037447B">
        <w:rPr>
          <w:rFonts w:ascii="Arial Narrow" w:hAnsi="Arial Narrow" w:cs="Times New Roman"/>
          <w:b/>
          <w:sz w:val="24"/>
          <w:szCs w:val="24"/>
          <w:lang w:val="en-US"/>
        </w:rPr>
        <w:t>O</w:t>
      </w:r>
      <w:r w:rsidR="0037447B" w:rsidRPr="00837636">
        <w:rPr>
          <w:rFonts w:ascii="Arial Narrow" w:hAnsi="Arial Narrow" w:cs="Times New Roman"/>
          <w:b/>
          <w:sz w:val="24"/>
          <w:szCs w:val="24"/>
        </w:rPr>
        <w:t xml:space="preserve"> </w:t>
      </w:r>
      <w:r w:rsidR="0037447B">
        <w:rPr>
          <w:rFonts w:ascii="Arial Narrow" w:hAnsi="Arial Narrow" w:cs="Times New Roman"/>
          <w:b/>
          <w:sz w:val="24"/>
          <w:szCs w:val="24"/>
          <w:lang w:val="en-US"/>
        </w:rPr>
        <w:t>Sheikh</w:t>
      </w:r>
      <w:r w:rsidR="0037447B" w:rsidRPr="00837636">
        <w:rPr>
          <w:rFonts w:ascii="Arial Narrow" w:hAnsi="Arial Narrow" w:cs="Times New Roman"/>
          <w:b/>
          <w:sz w:val="24"/>
          <w:szCs w:val="24"/>
        </w:rPr>
        <w:t xml:space="preserve"> </w:t>
      </w:r>
      <w:r w:rsidR="0037447B">
        <w:rPr>
          <w:rFonts w:ascii="Arial Narrow" w:hAnsi="Arial Narrow" w:cs="Times New Roman"/>
          <w:b/>
          <w:sz w:val="24"/>
          <w:szCs w:val="24"/>
          <w:lang w:val="en-US"/>
        </w:rPr>
        <w:t>Zayed</w:t>
      </w:r>
      <w:r w:rsidR="0037447B" w:rsidRPr="00837636">
        <w:rPr>
          <w:rFonts w:ascii="Arial Narrow" w:hAnsi="Arial Narrow" w:cs="Times New Roman"/>
          <w:b/>
          <w:sz w:val="24"/>
          <w:szCs w:val="24"/>
        </w:rPr>
        <w:t xml:space="preserve"> </w:t>
      </w:r>
      <w:r w:rsidR="0037447B">
        <w:rPr>
          <w:rFonts w:ascii="Arial Narrow" w:hAnsi="Arial Narrow" w:cs="Times New Roman"/>
          <w:b/>
          <w:sz w:val="24"/>
          <w:szCs w:val="24"/>
          <w:lang w:val="en-US"/>
        </w:rPr>
        <w:t>Road</w:t>
      </w:r>
      <w:r w:rsidR="0037447B" w:rsidRPr="00837636">
        <w:rPr>
          <w:rFonts w:ascii="Arial Narrow" w:hAnsi="Arial Narrow" w:cs="Times New Roman"/>
          <w:b/>
          <w:sz w:val="24"/>
          <w:szCs w:val="24"/>
        </w:rPr>
        <w:t xml:space="preserve"> (</w:t>
      </w:r>
      <w:r w:rsidR="0037447B">
        <w:rPr>
          <w:rFonts w:ascii="Arial Narrow" w:hAnsi="Arial Narrow" w:cs="Times New Roman"/>
          <w:b/>
          <w:sz w:val="24"/>
          <w:szCs w:val="24"/>
          <w:lang w:val="en-US"/>
        </w:rPr>
        <w:t>E</w:t>
      </w:r>
      <w:r w:rsidR="0037447B" w:rsidRPr="00837636">
        <w:rPr>
          <w:rFonts w:ascii="Arial Narrow" w:hAnsi="Arial Narrow" w:cs="Times New Roman"/>
          <w:b/>
          <w:sz w:val="24"/>
          <w:szCs w:val="24"/>
        </w:rPr>
        <w:t xml:space="preserve">11) </w:t>
      </w:r>
      <w:r w:rsidR="00837636">
        <w:rPr>
          <w:rFonts w:ascii="Arial Narrow" w:hAnsi="Arial Narrow" w:cs="Times New Roman"/>
          <w:sz w:val="24"/>
          <w:szCs w:val="24"/>
        </w:rPr>
        <w:t>συνδέει το Ντουμπάϊ με Α</w:t>
      </w:r>
      <w:r w:rsidR="00837636">
        <w:rPr>
          <w:rFonts w:ascii="Arial Narrow" w:hAnsi="Arial Narrow" w:cs="Times New Roman"/>
          <w:sz w:val="24"/>
          <w:szCs w:val="24"/>
          <w:lang w:val="en-US"/>
        </w:rPr>
        <w:t>bu</w:t>
      </w:r>
      <w:r w:rsidR="00837636" w:rsidRPr="00837636">
        <w:rPr>
          <w:rFonts w:ascii="Arial Narrow" w:hAnsi="Arial Narrow" w:cs="Times New Roman"/>
          <w:sz w:val="24"/>
          <w:szCs w:val="24"/>
        </w:rPr>
        <w:t xml:space="preserve"> </w:t>
      </w:r>
      <w:r w:rsidR="00837636">
        <w:rPr>
          <w:rFonts w:ascii="Arial Narrow" w:hAnsi="Arial Narrow" w:cs="Times New Roman"/>
          <w:sz w:val="24"/>
          <w:szCs w:val="24"/>
          <w:lang w:val="en-US"/>
        </w:rPr>
        <w:t>Dhabi</w:t>
      </w:r>
      <w:r w:rsidR="00837636" w:rsidRPr="00837636">
        <w:rPr>
          <w:rFonts w:ascii="Arial Narrow" w:hAnsi="Arial Narrow" w:cs="Times New Roman"/>
          <w:sz w:val="24"/>
          <w:szCs w:val="24"/>
        </w:rPr>
        <w:t>,</w:t>
      </w:r>
      <w:r w:rsidR="00DC209B" w:rsidRPr="00DC209B">
        <w:rPr>
          <w:rFonts w:ascii="Arial Narrow" w:hAnsi="Arial Narrow" w:cs="Times New Roman"/>
          <w:sz w:val="24"/>
          <w:szCs w:val="24"/>
        </w:rPr>
        <w:t xml:space="preserve"> </w:t>
      </w:r>
      <w:r w:rsidR="00DC209B">
        <w:rPr>
          <w:rFonts w:ascii="Arial Narrow" w:hAnsi="Arial Narrow" w:cs="Times New Roman"/>
          <w:sz w:val="24"/>
          <w:szCs w:val="24"/>
          <w:lang w:val="en-US"/>
        </w:rPr>
        <w:t>Sharjah</w:t>
      </w:r>
      <w:r w:rsidR="00DC209B" w:rsidRPr="00DC209B">
        <w:rPr>
          <w:rFonts w:ascii="Arial Narrow" w:hAnsi="Arial Narrow" w:cs="Times New Roman"/>
          <w:sz w:val="24"/>
          <w:szCs w:val="24"/>
        </w:rPr>
        <w:t xml:space="preserve">, </w:t>
      </w:r>
      <w:r w:rsidR="00DC209B">
        <w:rPr>
          <w:rFonts w:ascii="Arial Narrow" w:hAnsi="Arial Narrow" w:cs="Times New Roman"/>
          <w:sz w:val="24"/>
          <w:szCs w:val="24"/>
          <w:lang w:val="en-US"/>
        </w:rPr>
        <w:t>Ajman</w:t>
      </w:r>
      <w:r w:rsidR="00DC209B" w:rsidRPr="00DC209B">
        <w:rPr>
          <w:rFonts w:ascii="Arial Narrow" w:hAnsi="Arial Narrow" w:cs="Times New Roman"/>
          <w:sz w:val="24"/>
          <w:szCs w:val="24"/>
        </w:rPr>
        <w:t xml:space="preserve"> &amp; </w:t>
      </w:r>
      <w:r w:rsidR="00DC209B">
        <w:rPr>
          <w:rFonts w:ascii="Arial Narrow" w:hAnsi="Arial Narrow" w:cs="Times New Roman"/>
          <w:sz w:val="24"/>
          <w:szCs w:val="24"/>
          <w:lang w:val="en-US"/>
        </w:rPr>
        <w:t>Ras</w:t>
      </w:r>
      <w:r w:rsidR="00DC209B" w:rsidRPr="00DC209B">
        <w:rPr>
          <w:rFonts w:ascii="Arial Narrow" w:hAnsi="Arial Narrow" w:cs="Times New Roman"/>
          <w:sz w:val="24"/>
          <w:szCs w:val="24"/>
        </w:rPr>
        <w:t xml:space="preserve"> </w:t>
      </w:r>
      <w:r w:rsidR="00DC209B">
        <w:rPr>
          <w:rFonts w:ascii="Arial Narrow" w:hAnsi="Arial Narrow" w:cs="Times New Roman"/>
          <w:sz w:val="24"/>
          <w:szCs w:val="24"/>
          <w:lang w:val="en-US"/>
        </w:rPr>
        <w:t>Al</w:t>
      </w:r>
      <w:r w:rsidR="00DC209B" w:rsidRPr="00DC209B">
        <w:rPr>
          <w:rFonts w:ascii="Arial Narrow" w:hAnsi="Arial Narrow" w:cs="Times New Roman"/>
          <w:sz w:val="24"/>
          <w:szCs w:val="24"/>
        </w:rPr>
        <w:t xml:space="preserve"> </w:t>
      </w:r>
      <w:r w:rsidR="00DC209B">
        <w:rPr>
          <w:rFonts w:ascii="Arial Narrow" w:hAnsi="Arial Narrow" w:cs="Times New Roman"/>
          <w:sz w:val="24"/>
          <w:szCs w:val="24"/>
          <w:lang w:val="en-US"/>
        </w:rPr>
        <w:t>Khaimah</w:t>
      </w:r>
      <w:r w:rsidR="00DC209B" w:rsidRPr="00DC209B">
        <w:rPr>
          <w:rFonts w:ascii="Arial Narrow" w:hAnsi="Arial Narrow" w:cs="Times New Roman"/>
          <w:sz w:val="24"/>
          <w:szCs w:val="24"/>
        </w:rPr>
        <w:t xml:space="preserve">. </w:t>
      </w:r>
      <w:r w:rsidR="00DC209B">
        <w:rPr>
          <w:rFonts w:ascii="Arial Narrow" w:hAnsi="Arial Narrow" w:cs="Times New Roman"/>
          <w:b/>
          <w:sz w:val="24"/>
          <w:szCs w:val="24"/>
          <w:lang w:val="en-US"/>
        </w:rPr>
        <w:t>O</w:t>
      </w:r>
      <w:r w:rsidR="00DC209B" w:rsidRPr="00DC209B">
        <w:rPr>
          <w:rFonts w:ascii="Arial Narrow" w:hAnsi="Arial Narrow" w:cs="Times New Roman"/>
          <w:b/>
          <w:sz w:val="24"/>
          <w:szCs w:val="24"/>
        </w:rPr>
        <w:t xml:space="preserve"> </w:t>
      </w:r>
      <w:r w:rsidR="00DC209B">
        <w:rPr>
          <w:rFonts w:ascii="Arial Narrow" w:hAnsi="Arial Narrow" w:cs="Times New Roman"/>
          <w:b/>
          <w:sz w:val="24"/>
          <w:szCs w:val="24"/>
          <w:lang w:val="en-US"/>
        </w:rPr>
        <w:t>Emirates</w:t>
      </w:r>
      <w:r w:rsidR="00DC209B" w:rsidRPr="00DC209B">
        <w:rPr>
          <w:rFonts w:ascii="Arial Narrow" w:hAnsi="Arial Narrow" w:cs="Times New Roman"/>
          <w:b/>
          <w:sz w:val="24"/>
          <w:szCs w:val="24"/>
        </w:rPr>
        <w:t xml:space="preserve"> </w:t>
      </w:r>
      <w:r w:rsidR="00DC209B">
        <w:rPr>
          <w:rFonts w:ascii="Arial Narrow" w:hAnsi="Arial Narrow" w:cs="Times New Roman"/>
          <w:b/>
          <w:sz w:val="24"/>
          <w:szCs w:val="24"/>
          <w:lang w:val="en-US"/>
        </w:rPr>
        <w:t>Road</w:t>
      </w:r>
      <w:r w:rsidR="00DC209B" w:rsidRPr="00DC209B">
        <w:rPr>
          <w:rFonts w:ascii="Arial Narrow" w:hAnsi="Arial Narrow" w:cs="Times New Roman"/>
          <w:b/>
          <w:sz w:val="24"/>
          <w:szCs w:val="24"/>
        </w:rPr>
        <w:t xml:space="preserve"> (</w:t>
      </w:r>
      <w:r w:rsidR="00DC209B">
        <w:rPr>
          <w:rFonts w:ascii="Arial Narrow" w:hAnsi="Arial Narrow" w:cs="Times New Roman"/>
          <w:b/>
          <w:sz w:val="24"/>
          <w:szCs w:val="24"/>
          <w:lang w:val="en-US"/>
        </w:rPr>
        <w:t>E</w:t>
      </w:r>
      <w:r w:rsidR="00DC209B" w:rsidRPr="00DC209B">
        <w:rPr>
          <w:rFonts w:ascii="Arial Narrow" w:hAnsi="Arial Narrow" w:cs="Times New Roman"/>
          <w:b/>
          <w:sz w:val="24"/>
          <w:szCs w:val="24"/>
        </w:rPr>
        <w:t xml:space="preserve">611) </w:t>
      </w:r>
      <w:r w:rsidR="00DC209B">
        <w:rPr>
          <w:rFonts w:ascii="Arial Narrow" w:hAnsi="Arial Narrow" w:cs="Times New Roman"/>
          <w:sz w:val="24"/>
          <w:szCs w:val="24"/>
        </w:rPr>
        <w:t xml:space="preserve">λειτουργεί ως παράλληλος άξονας αποσυμφόρησης και </w:t>
      </w:r>
      <w:r w:rsidR="00DC209B">
        <w:rPr>
          <w:rFonts w:ascii="Arial Narrow" w:hAnsi="Arial Narrow" w:cs="Times New Roman"/>
          <w:b/>
          <w:sz w:val="24"/>
          <w:szCs w:val="24"/>
        </w:rPr>
        <w:t>Ο Μ</w:t>
      </w:r>
      <w:r w:rsidR="00DC209B">
        <w:rPr>
          <w:rFonts w:ascii="Arial Narrow" w:hAnsi="Arial Narrow" w:cs="Times New Roman"/>
          <w:b/>
          <w:sz w:val="24"/>
          <w:szCs w:val="24"/>
          <w:lang w:val="en-US"/>
        </w:rPr>
        <w:t>ohammed</w:t>
      </w:r>
      <w:r w:rsidR="00DC209B" w:rsidRPr="00DC209B">
        <w:rPr>
          <w:rFonts w:ascii="Arial Narrow" w:hAnsi="Arial Narrow" w:cs="Times New Roman"/>
          <w:b/>
          <w:sz w:val="24"/>
          <w:szCs w:val="24"/>
        </w:rPr>
        <w:t xml:space="preserve"> </w:t>
      </w:r>
      <w:r w:rsidR="00DC209B">
        <w:rPr>
          <w:rFonts w:ascii="Arial Narrow" w:hAnsi="Arial Narrow" w:cs="Times New Roman"/>
          <w:b/>
          <w:sz w:val="24"/>
          <w:szCs w:val="24"/>
          <w:lang w:val="en-US"/>
        </w:rPr>
        <w:t>Bin</w:t>
      </w:r>
      <w:r w:rsidR="00DC209B" w:rsidRPr="00DC209B">
        <w:rPr>
          <w:rFonts w:ascii="Arial Narrow" w:hAnsi="Arial Narrow" w:cs="Times New Roman"/>
          <w:b/>
          <w:sz w:val="24"/>
          <w:szCs w:val="24"/>
        </w:rPr>
        <w:t xml:space="preserve"> </w:t>
      </w:r>
      <w:r w:rsidR="00DC209B">
        <w:rPr>
          <w:rFonts w:ascii="Arial Narrow" w:hAnsi="Arial Narrow" w:cs="Times New Roman"/>
          <w:b/>
          <w:sz w:val="24"/>
          <w:szCs w:val="24"/>
          <w:lang w:val="en-US"/>
        </w:rPr>
        <w:t>Zayed</w:t>
      </w:r>
      <w:r w:rsidR="00DC209B" w:rsidRPr="00DC209B">
        <w:rPr>
          <w:rFonts w:ascii="Arial Narrow" w:hAnsi="Arial Narrow" w:cs="Times New Roman"/>
          <w:b/>
          <w:sz w:val="24"/>
          <w:szCs w:val="24"/>
        </w:rPr>
        <w:t xml:space="preserve"> </w:t>
      </w:r>
      <w:r w:rsidR="00DC209B">
        <w:rPr>
          <w:rFonts w:ascii="Arial Narrow" w:hAnsi="Arial Narrow" w:cs="Times New Roman"/>
          <w:b/>
          <w:sz w:val="24"/>
          <w:szCs w:val="24"/>
          <w:lang w:val="en-US"/>
        </w:rPr>
        <w:t>Road</w:t>
      </w:r>
      <w:r w:rsidR="00DC209B" w:rsidRPr="00DC209B">
        <w:rPr>
          <w:rFonts w:ascii="Arial Narrow" w:hAnsi="Arial Narrow" w:cs="Times New Roman"/>
          <w:b/>
          <w:sz w:val="24"/>
          <w:szCs w:val="24"/>
        </w:rPr>
        <w:t xml:space="preserve"> (</w:t>
      </w:r>
      <w:r w:rsidR="00DC209B">
        <w:rPr>
          <w:rFonts w:ascii="Arial Narrow" w:hAnsi="Arial Narrow" w:cs="Times New Roman"/>
          <w:b/>
          <w:sz w:val="24"/>
          <w:szCs w:val="24"/>
          <w:lang w:val="en-US"/>
        </w:rPr>
        <w:t>E</w:t>
      </w:r>
      <w:r w:rsidR="00DC209B" w:rsidRPr="00DC209B">
        <w:rPr>
          <w:rFonts w:ascii="Arial Narrow" w:hAnsi="Arial Narrow" w:cs="Times New Roman"/>
          <w:b/>
          <w:sz w:val="24"/>
          <w:szCs w:val="24"/>
        </w:rPr>
        <w:t xml:space="preserve">311) </w:t>
      </w:r>
      <w:r w:rsidR="00DC209B">
        <w:rPr>
          <w:rFonts w:ascii="Arial Narrow" w:hAnsi="Arial Narrow" w:cs="Times New Roman"/>
          <w:sz w:val="24"/>
          <w:szCs w:val="24"/>
        </w:rPr>
        <w:t>λειτουργεί ως βασικός εμπορευματικός διάδρομος. Το μέγεθος της αγοράς αποτελείται από &gt;250.000 φορτηγά αυτοκίνητα, &gt; 4 εκετομμύρια ΙΧ αυτοκίνητα, &gt;30.000 ταξί &amp; &gt;12.000 λεωφορεία</w:t>
      </w:r>
      <w:r w:rsidR="00815052">
        <w:rPr>
          <w:rFonts w:ascii="Arial Narrow" w:hAnsi="Arial Narrow" w:cs="Times New Roman"/>
          <w:sz w:val="24"/>
          <w:szCs w:val="24"/>
        </w:rPr>
        <w:t>.</w:t>
      </w:r>
    </w:p>
    <w:p w14:paraId="13C66493" w14:textId="0541D0F1" w:rsidR="00815052" w:rsidRDefault="00815052" w:rsidP="002C4D8A">
      <w:pPr>
        <w:jc w:val="both"/>
        <w:rPr>
          <w:rFonts w:ascii="Arial Narrow" w:hAnsi="Arial Narrow" w:cs="Times New Roman"/>
          <w:sz w:val="24"/>
          <w:szCs w:val="24"/>
        </w:rPr>
      </w:pPr>
      <w:r>
        <w:rPr>
          <w:rFonts w:ascii="Arial Narrow" w:hAnsi="Arial Narrow" w:cs="Times New Roman"/>
          <w:sz w:val="24"/>
          <w:szCs w:val="24"/>
        </w:rPr>
        <w:t xml:space="preserve">Στις δημόσιες συγκοινωνίες περιλαμβάνονται το </w:t>
      </w:r>
      <w:r w:rsidRPr="00231B91">
        <w:rPr>
          <w:rFonts w:ascii="Arial Narrow" w:hAnsi="Arial Narrow" w:cs="Times New Roman"/>
          <w:b/>
          <w:sz w:val="24"/>
          <w:szCs w:val="24"/>
        </w:rPr>
        <w:t xml:space="preserve">Μετρό του </w:t>
      </w:r>
      <w:r w:rsidR="00231B91" w:rsidRPr="00231B91">
        <w:rPr>
          <w:rFonts w:ascii="Arial Narrow" w:hAnsi="Arial Narrow" w:cs="Times New Roman"/>
          <w:b/>
          <w:sz w:val="24"/>
          <w:szCs w:val="24"/>
          <w:lang w:val="en-US"/>
        </w:rPr>
        <w:t>Dubai</w:t>
      </w:r>
      <w:r w:rsidR="00231B91" w:rsidRPr="00231B91">
        <w:rPr>
          <w:rFonts w:ascii="Arial Narrow" w:hAnsi="Arial Narrow" w:cs="Times New Roman"/>
          <w:b/>
          <w:sz w:val="24"/>
          <w:szCs w:val="24"/>
        </w:rPr>
        <w:t xml:space="preserve"> (</w:t>
      </w:r>
      <w:r w:rsidR="00231B91" w:rsidRPr="00231B91">
        <w:rPr>
          <w:rFonts w:ascii="Arial Narrow" w:hAnsi="Arial Narrow" w:cs="Times New Roman"/>
          <w:b/>
          <w:sz w:val="24"/>
          <w:szCs w:val="24"/>
          <w:lang w:val="en-US"/>
        </w:rPr>
        <w:t>DUBAI</w:t>
      </w:r>
      <w:r w:rsidR="00231B91" w:rsidRPr="00231B91">
        <w:rPr>
          <w:rFonts w:ascii="Arial Narrow" w:hAnsi="Arial Narrow" w:cs="Times New Roman"/>
          <w:b/>
          <w:sz w:val="24"/>
          <w:szCs w:val="24"/>
        </w:rPr>
        <w:t xml:space="preserve"> </w:t>
      </w:r>
      <w:r w:rsidR="00231B91" w:rsidRPr="00231B91">
        <w:rPr>
          <w:rFonts w:ascii="Arial Narrow" w:hAnsi="Arial Narrow" w:cs="Times New Roman"/>
          <w:b/>
          <w:sz w:val="24"/>
          <w:szCs w:val="24"/>
          <w:lang w:val="en-US"/>
        </w:rPr>
        <w:t>METRO</w:t>
      </w:r>
      <w:r w:rsidR="00231B91" w:rsidRPr="00231B91">
        <w:rPr>
          <w:rFonts w:ascii="Arial Narrow" w:hAnsi="Arial Narrow" w:cs="Times New Roman"/>
          <w:sz w:val="24"/>
          <w:szCs w:val="24"/>
        </w:rPr>
        <w:t>)</w:t>
      </w:r>
      <w:r w:rsidR="00231B91">
        <w:rPr>
          <w:rFonts w:ascii="Arial Narrow" w:hAnsi="Arial Narrow" w:cs="Times New Roman"/>
          <w:sz w:val="24"/>
          <w:szCs w:val="24"/>
        </w:rPr>
        <w:t xml:space="preserve">, ως το μεγαλύτερο αυτόματο σύστημα μετρό παγκοσμίως χωρίς οδηγό. Το μήκος των γραμμών σε 90+ χλμ., με 53 σταθμούς και επιβάτες σε ετήσια βάση τα &gt;280 εκατ. </w:t>
      </w:r>
      <w:r w:rsidR="00231B91" w:rsidRPr="00231B91">
        <w:rPr>
          <w:rFonts w:ascii="Arial Narrow" w:hAnsi="Arial Narrow" w:cs="Times New Roman"/>
          <w:b/>
          <w:sz w:val="24"/>
          <w:szCs w:val="24"/>
        </w:rPr>
        <w:t>Τράμ Ντουμπάϊ (</w:t>
      </w:r>
      <w:r w:rsidR="00231B91" w:rsidRPr="00231B91">
        <w:rPr>
          <w:rFonts w:ascii="Arial Narrow" w:hAnsi="Arial Narrow" w:cs="Times New Roman"/>
          <w:b/>
          <w:sz w:val="24"/>
          <w:szCs w:val="24"/>
          <w:lang w:val="en-US"/>
        </w:rPr>
        <w:t>DUBAI</w:t>
      </w:r>
      <w:r w:rsidR="00231B91" w:rsidRPr="00231B91">
        <w:rPr>
          <w:rFonts w:ascii="Arial Narrow" w:hAnsi="Arial Narrow" w:cs="Times New Roman"/>
          <w:b/>
          <w:sz w:val="24"/>
          <w:szCs w:val="24"/>
        </w:rPr>
        <w:t xml:space="preserve"> </w:t>
      </w:r>
      <w:r w:rsidR="00231B91" w:rsidRPr="00231B91">
        <w:rPr>
          <w:rFonts w:ascii="Arial Narrow" w:hAnsi="Arial Narrow" w:cs="Times New Roman"/>
          <w:b/>
          <w:sz w:val="24"/>
          <w:szCs w:val="24"/>
          <w:lang w:val="en-US"/>
        </w:rPr>
        <w:t>TRAM</w:t>
      </w:r>
      <w:r w:rsidR="00231B91" w:rsidRPr="00231B91">
        <w:rPr>
          <w:rFonts w:ascii="Arial Narrow" w:hAnsi="Arial Narrow" w:cs="Times New Roman"/>
          <w:b/>
          <w:sz w:val="24"/>
          <w:szCs w:val="24"/>
        </w:rPr>
        <w:t xml:space="preserve">), </w:t>
      </w:r>
      <w:r w:rsidR="00231B91">
        <w:rPr>
          <w:rFonts w:ascii="Arial Narrow" w:hAnsi="Arial Narrow" w:cs="Times New Roman"/>
          <w:sz w:val="24"/>
          <w:szCs w:val="24"/>
        </w:rPr>
        <w:t xml:space="preserve">διαδίκτυο με 11 σταθμούς, σύνδεση με τη περιοχή </w:t>
      </w:r>
      <w:r w:rsidR="00231B91">
        <w:rPr>
          <w:rFonts w:ascii="Arial Narrow" w:hAnsi="Arial Narrow" w:cs="Times New Roman"/>
          <w:sz w:val="24"/>
          <w:szCs w:val="24"/>
          <w:lang w:val="en-US"/>
        </w:rPr>
        <w:t>Dubai</w:t>
      </w:r>
      <w:r w:rsidR="00231B91" w:rsidRPr="00231B91">
        <w:rPr>
          <w:rFonts w:ascii="Arial Narrow" w:hAnsi="Arial Narrow" w:cs="Times New Roman"/>
          <w:sz w:val="24"/>
          <w:szCs w:val="24"/>
        </w:rPr>
        <w:t xml:space="preserve"> </w:t>
      </w:r>
      <w:r w:rsidR="00231B91">
        <w:rPr>
          <w:rFonts w:ascii="Arial Narrow" w:hAnsi="Arial Narrow" w:cs="Times New Roman"/>
          <w:sz w:val="24"/>
          <w:szCs w:val="24"/>
          <w:lang w:val="en-US"/>
        </w:rPr>
        <w:t>Marina</w:t>
      </w:r>
      <w:r w:rsidR="00231B91" w:rsidRPr="00231B91">
        <w:rPr>
          <w:rFonts w:ascii="Arial Narrow" w:hAnsi="Arial Narrow" w:cs="Times New Roman"/>
          <w:sz w:val="24"/>
          <w:szCs w:val="24"/>
        </w:rPr>
        <w:t xml:space="preserve"> </w:t>
      </w:r>
      <w:r w:rsidR="00231B91">
        <w:rPr>
          <w:rFonts w:ascii="Arial Narrow" w:hAnsi="Arial Narrow" w:cs="Times New Roman"/>
          <w:sz w:val="24"/>
          <w:szCs w:val="24"/>
        </w:rPr>
        <w:t xml:space="preserve">και διασύνδεση με </w:t>
      </w:r>
      <w:r w:rsidR="00231B91">
        <w:rPr>
          <w:rFonts w:ascii="Arial Narrow" w:hAnsi="Arial Narrow" w:cs="Times New Roman"/>
          <w:sz w:val="24"/>
          <w:szCs w:val="24"/>
          <w:lang w:val="en-US"/>
        </w:rPr>
        <w:t>Metro</w:t>
      </w:r>
      <w:r w:rsidR="00231B91" w:rsidRPr="00231B91">
        <w:rPr>
          <w:rFonts w:ascii="Arial Narrow" w:hAnsi="Arial Narrow" w:cs="Times New Roman"/>
          <w:sz w:val="24"/>
          <w:szCs w:val="24"/>
        </w:rPr>
        <w:t xml:space="preserve"> &amp; </w:t>
      </w:r>
      <w:r w:rsidR="00231B91">
        <w:rPr>
          <w:rFonts w:ascii="Arial Narrow" w:hAnsi="Arial Narrow" w:cs="Times New Roman"/>
          <w:sz w:val="24"/>
          <w:szCs w:val="24"/>
          <w:lang w:val="en-US"/>
        </w:rPr>
        <w:t>Palm</w:t>
      </w:r>
      <w:r w:rsidR="00231B91" w:rsidRPr="00231B91">
        <w:rPr>
          <w:rFonts w:ascii="Arial Narrow" w:hAnsi="Arial Narrow" w:cs="Times New Roman"/>
          <w:sz w:val="24"/>
          <w:szCs w:val="24"/>
        </w:rPr>
        <w:t xml:space="preserve"> </w:t>
      </w:r>
      <w:r w:rsidR="00231B91">
        <w:rPr>
          <w:rFonts w:ascii="Arial Narrow" w:hAnsi="Arial Narrow" w:cs="Times New Roman"/>
          <w:sz w:val="24"/>
          <w:szCs w:val="24"/>
          <w:lang w:val="en-US"/>
        </w:rPr>
        <w:t>Monorail</w:t>
      </w:r>
      <w:r w:rsidR="00231B91" w:rsidRPr="00231B91">
        <w:rPr>
          <w:rFonts w:ascii="Arial Narrow" w:hAnsi="Arial Narrow" w:cs="Times New Roman"/>
          <w:sz w:val="24"/>
          <w:szCs w:val="24"/>
        </w:rPr>
        <w:t>.</w:t>
      </w:r>
    </w:p>
    <w:p w14:paraId="48F95E2E" w14:textId="1A9BD215" w:rsidR="00231B91" w:rsidRDefault="00231B91" w:rsidP="002C4D8A">
      <w:pPr>
        <w:jc w:val="both"/>
        <w:rPr>
          <w:rFonts w:ascii="Arial Narrow" w:hAnsi="Arial Narrow" w:cs="Times New Roman"/>
          <w:sz w:val="24"/>
          <w:szCs w:val="24"/>
        </w:rPr>
      </w:pPr>
      <w:r w:rsidRPr="00231B91">
        <w:rPr>
          <w:rFonts w:ascii="Arial Narrow" w:hAnsi="Arial Narrow" w:cs="Times New Roman"/>
          <w:b/>
          <w:sz w:val="24"/>
          <w:szCs w:val="24"/>
        </w:rPr>
        <w:t>Δημόσια Λεωφορεία</w:t>
      </w:r>
      <w:r w:rsidR="00B8544F">
        <w:rPr>
          <w:rFonts w:ascii="Arial Narrow" w:hAnsi="Arial Narrow" w:cs="Times New Roman"/>
          <w:b/>
          <w:sz w:val="24"/>
          <w:szCs w:val="24"/>
        </w:rPr>
        <w:t xml:space="preserve">, </w:t>
      </w:r>
      <w:r w:rsidR="00B8544F">
        <w:rPr>
          <w:rFonts w:ascii="Arial Narrow" w:hAnsi="Arial Narrow" w:cs="Times New Roman"/>
          <w:sz w:val="24"/>
          <w:szCs w:val="24"/>
        </w:rPr>
        <w:t>με περισσότερα από 1.500 λεωφορεία, σύγχρονο στόλο χαμηλών εκπομπών και κλιματιζόμενες στάσεις.</w:t>
      </w:r>
    </w:p>
    <w:p w14:paraId="66D74066" w14:textId="67747CF8" w:rsidR="00B8544F" w:rsidRPr="00331C65" w:rsidRDefault="00D75893" w:rsidP="002C4D8A">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25.4. </w:t>
      </w:r>
      <w:r w:rsidR="00B8544F" w:rsidRPr="00331C65">
        <w:rPr>
          <w:rFonts w:ascii="Arial Narrow" w:hAnsi="Arial Narrow" w:cs="Times New Roman"/>
          <w:b/>
          <w:color w:val="4F81BD" w:themeColor="accent1"/>
          <w:sz w:val="24"/>
          <w:szCs w:val="24"/>
        </w:rPr>
        <w:t xml:space="preserve">Σιδηροδρομικές Μεταφορές </w:t>
      </w:r>
    </w:p>
    <w:p w14:paraId="076DFD3D" w14:textId="28D71AD1" w:rsidR="00B8544F" w:rsidRDefault="00E72DFC" w:rsidP="002C4D8A">
      <w:pPr>
        <w:jc w:val="both"/>
        <w:rPr>
          <w:rFonts w:ascii="Arial Narrow" w:hAnsi="Arial Narrow" w:cs="Times New Roman"/>
          <w:sz w:val="24"/>
          <w:szCs w:val="24"/>
        </w:rPr>
      </w:pPr>
      <w:r w:rsidRPr="00E72DFC">
        <w:rPr>
          <w:rFonts w:ascii="Arial Narrow" w:hAnsi="Arial Narrow" w:cs="Times New Roman"/>
          <w:b/>
          <w:sz w:val="24"/>
          <w:szCs w:val="24"/>
          <w:lang w:val="en-US"/>
        </w:rPr>
        <w:t>Etihad</w:t>
      </w:r>
      <w:r w:rsidRPr="00E72DFC">
        <w:rPr>
          <w:rFonts w:ascii="Arial Narrow" w:hAnsi="Arial Narrow" w:cs="Times New Roman"/>
          <w:b/>
          <w:sz w:val="24"/>
          <w:szCs w:val="24"/>
        </w:rPr>
        <w:t xml:space="preserve"> </w:t>
      </w:r>
      <w:r w:rsidRPr="00E72DFC">
        <w:rPr>
          <w:rFonts w:ascii="Arial Narrow" w:hAnsi="Arial Narrow" w:cs="Times New Roman"/>
          <w:b/>
          <w:sz w:val="24"/>
          <w:szCs w:val="24"/>
          <w:lang w:val="en-US"/>
        </w:rPr>
        <w:t>Rail</w:t>
      </w:r>
      <w:r w:rsidRPr="00E72DFC">
        <w:rPr>
          <w:rFonts w:ascii="Arial Narrow" w:hAnsi="Arial Narrow" w:cs="Times New Roman"/>
          <w:b/>
          <w:sz w:val="24"/>
          <w:szCs w:val="24"/>
        </w:rPr>
        <w:t xml:space="preserve">, </w:t>
      </w:r>
      <w:r>
        <w:rPr>
          <w:rFonts w:ascii="Arial Narrow" w:hAnsi="Arial Narrow" w:cs="Times New Roman"/>
          <w:b/>
          <w:sz w:val="24"/>
          <w:szCs w:val="24"/>
        </w:rPr>
        <w:t xml:space="preserve">το μεγαλύτερο έργο σιδηροδρομικών μεταφορών στην ιστορία των ΗΑΕ. </w:t>
      </w:r>
      <w:r w:rsidR="00207A0B">
        <w:rPr>
          <w:rFonts w:ascii="Arial Narrow" w:hAnsi="Arial Narrow" w:cs="Times New Roman"/>
          <w:sz w:val="24"/>
          <w:szCs w:val="24"/>
        </w:rPr>
        <w:t xml:space="preserve">Μήκος δικτύου </w:t>
      </w:r>
      <w:r w:rsidR="008A3A0D">
        <w:rPr>
          <w:rFonts w:ascii="Arial Narrow" w:hAnsi="Arial Narrow" w:cs="Times New Roman"/>
          <w:sz w:val="24"/>
          <w:szCs w:val="24"/>
        </w:rPr>
        <w:t xml:space="preserve">έως 1.200 χλμ., συνολική επένδυση &gt;50 δις </w:t>
      </w:r>
      <w:r w:rsidR="008A3A0D">
        <w:rPr>
          <w:rFonts w:ascii="Arial Narrow" w:hAnsi="Arial Narrow" w:cs="Times New Roman"/>
          <w:sz w:val="24"/>
          <w:szCs w:val="24"/>
          <w:lang w:val="en-US"/>
        </w:rPr>
        <w:t>AED</w:t>
      </w:r>
      <w:r w:rsidR="008A3A0D" w:rsidRPr="00082454">
        <w:rPr>
          <w:rFonts w:ascii="Arial Narrow" w:hAnsi="Arial Narrow" w:cs="Times New Roman"/>
          <w:sz w:val="24"/>
          <w:szCs w:val="24"/>
        </w:rPr>
        <w:t xml:space="preserve"> (</w:t>
      </w:r>
      <w:r w:rsidR="00082454">
        <w:rPr>
          <w:rFonts w:ascii="Arial Narrow" w:hAnsi="Arial Narrow" w:cs="Times New Roman"/>
          <w:sz w:val="24"/>
          <w:szCs w:val="24"/>
        </w:rPr>
        <w:t xml:space="preserve">Ντίρχαμ) και με τα 7 Εμιράτα να συνδέονται το ένα με το άλλο. Στους βασικούς στόχους περιλαμβάνονται η μείωση της κυκλοφορίας φορτηγών, η διασύνδεση λιμανιών, η σύνδεση με </w:t>
      </w:r>
      <w:r w:rsidR="00082454">
        <w:rPr>
          <w:rFonts w:ascii="Arial Narrow" w:hAnsi="Arial Narrow" w:cs="Times New Roman"/>
          <w:sz w:val="24"/>
          <w:szCs w:val="24"/>
          <w:lang w:val="en-US"/>
        </w:rPr>
        <w:t>GCC</w:t>
      </w:r>
      <w:r w:rsidR="00082454" w:rsidRPr="00082454">
        <w:rPr>
          <w:rFonts w:ascii="Arial Narrow" w:hAnsi="Arial Narrow" w:cs="Times New Roman"/>
          <w:sz w:val="24"/>
          <w:szCs w:val="24"/>
        </w:rPr>
        <w:t xml:space="preserve"> </w:t>
      </w:r>
      <w:r w:rsidR="00082454">
        <w:rPr>
          <w:rFonts w:ascii="Arial Narrow" w:hAnsi="Arial Narrow" w:cs="Times New Roman"/>
          <w:sz w:val="24"/>
          <w:szCs w:val="24"/>
          <w:lang w:val="en-US"/>
        </w:rPr>
        <w:t>Railway</w:t>
      </w:r>
      <w:r w:rsidR="00082454" w:rsidRPr="00082454">
        <w:rPr>
          <w:rFonts w:ascii="Arial Narrow" w:hAnsi="Arial Narrow" w:cs="Times New Roman"/>
          <w:sz w:val="24"/>
          <w:szCs w:val="24"/>
        </w:rPr>
        <w:t xml:space="preserve"> </w:t>
      </w:r>
      <w:r w:rsidR="00082454">
        <w:rPr>
          <w:rFonts w:ascii="Arial Narrow" w:hAnsi="Arial Narrow" w:cs="Times New Roman"/>
          <w:sz w:val="24"/>
          <w:szCs w:val="24"/>
        </w:rPr>
        <w:t xml:space="preserve">&amp; η μείωση εκπομπών </w:t>
      </w:r>
      <w:r w:rsidR="00082454">
        <w:rPr>
          <w:rFonts w:ascii="Arial Narrow" w:hAnsi="Arial Narrow" w:cs="Times New Roman"/>
          <w:sz w:val="24"/>
          <w:szCs w:val="24"/>
          <w:lang w:val="en-US"/>
        </w:rPr>
        <w:t>CO</w:t>
      </w:r>
      <w:r w:rsidR="00082454" w:rsidRPr="00082454">
        <w:rPr>
          <w:rFonts w:ascii="Arial Narrow" w:hAnsi="Arial Narrow" w:cs="Times New Roman"/>
          <w:sz w:val="24"/>
          <w:szCs w:val="24"/>
        </w:rPr>
        <w:t>2.</w:t>
      </w:r>
    </w:p>
    <w:p w14:paraId="5F2C826A" w14:textId="19084723" w:rsidR="00082454" w:rsidRPr="00331C65" w:rsidRDefault="00D75893" w:rsidP="002C4D8A">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25.5. </w:t>
      </w:r>
      <w:r w:rsidR="00EE46E7" w:rsidRPr="00331C65">
        <w:rPr>
          <w:rFonts w:ascii="Arial Narrow" w:hAnsi="Arial Narrow" w:cs="Times New Roman"/>
          <w:b/>
          <w:color w:val="4F81BD" w:themeColor="accent1"/>
          <w:sz w:val="24"/>
          <w:szCs w:val="24"/>
        </w:rPr>
        <w:t xml:space="preserve">Αεροπορικές Μεταφορές </w:t>
      </w:r>
    </w:p>
    <w:p w14:paraId="231B87E5" w14:textId="11F86659" w:rsidR="00BC2FF7" w:rsidRDefault="00EE46E7" w:rsidP="002C4D8A">
      <w:pPr>
        <w:jc w:val="both"/>
        <w:rPr>
          <w:rFonts w:ascii="Arial Narrow" w:hAnsi="Arial Narrow" w:cs="Times New Roman"/>
          <w:sz w:val="24"/>
          <w:szCs w:val="24"/>
        </w:rPr>
      </w:pPr>
      <w:r w:rsidRPr="00BC2FF7">
        <w:rPr>
          <w:rFonts w:ascii="Arial Narrow" w:hAnsi="Arial Narrow" w:cs="Times New Roman"/>
          <w:b/>
          <w:sz w:val="24"/>
          <w:szCs w:val="24"/>
        </w:rPr>
        <w:t>Το</w:t>
      </w:r>
      <w:r>
        <w:rPr>
          <w:rFonts w:ascii="Arial Narrow" w:hAnsi="Arial Narrow" w:cs="Times New Roman"/>
          <w:sz w:val="24"/>
          <w:szCs w:val="24"/>
        </w:rPr>
        <w:t xml:space="preserve"> </w:t>
      </w:r>
      <w:r w:rsidRPr="00EE46E7">
        <w:rPr>
          <w:rFonts w:ascii="Arial Narrow" w:hAnsi="Arial Narrow" w:cs="Times New Roman"/>
          <w:b/>
          <w:sz w:val="24"/>
          <w:szCs w:val="24"/>
        </w:rPr>
        <w:t>Διεθνές Αεροδρόμιο του Ντουμπάϊ</w:t>
      </w:r>
      <w:r>
        <w:rPr>
          <w:rFonts w:ascii="Arial Narrow" w:hAnsi="Arial Narrow" w:cs="Times New Roman"/>
          <w:sz w:val="24"/>
          <w:szCs w:val="24"/>
        </w:rPr>
        <w:t xml:space="preserve"> συγκαταλέγεται στα μεγαλύτερα διεθνή αεροδρόμια σε παγκόσμια κλίμακα. Εξυπηρετεί σε ετήσια βάση &gt;90 εκατομμύρια επιβάτες, με 260+ προορισμούς ανά τον κόσμο και με 100+ αεροπορικές εταιρείες. </w:t>
      </w:r>
    </w:p>
    <w:p w14:paraId="017B229A" w14:textId="28121B5D" w:rsidR="00BC2FF7" w:rsidRDefault="00BC2FF7" w:rsidP="002C4D8A">
      <w:pPr>
        <w:jc w:val="both"/>
        <w:rPr>
          <w:rFonts w:ascii="Arial Narrow" w:hAnsi="Arial Narrow" w:cs="Times New Roman"/>
          <w:sz w:val="24"/>
          <w:szCs w:val="24"/>
        </w:rPr>
      </w:pPr>
      <w:r w:rsidRPr="00BC2FF7">
        <w:rPr>
          <w:rFonts w:ascii="Arial Narrow" w:hAnsi="Arial Narrow" w:cs="Times New Roman"/>
          <w:b/>
          <w:sz w:val="24"/>
          <w:szCs w:val="24"/>
          <w:lang w:val="en-US"/>
        </w:rPr>
        <w:t>AL</w:t>
      </w:r>
      <w:r w:rsidRPr="00607670">
        <w:rPr>
          <w:rFonts w:ascii="Arial Narrow" w:hAnsi="Arial Narrow" w:cs="Times New Roman"/>
          <w:b/>
          <w:sz w:val="24"/>
          <w:szCs w:val="24"/>
        </w:rPr>
        <w:t xml:space="preserve"> </w:t>
      </w:r>
      <w:r w:rsidRPr="00BC2FF7">
        <w:rPr>
          <w:rFonts w:ascii="Arial Narrow" w:hAnsi="Arial Narrow" w:cs="Times New Roman"/>
          <w:b/>
          <w:sz w:val="24"/>
          <w:szCs w:val="24"/>
          <w:lang w:val="en-US"/>
        </w:rPr>
        <w:t>Maktoum</w:t>
      </w:r>
      <w:r w:rsidRPr="00607670">
        <w:rPr>
          <w:rFonts w:ascii="Arial Narrow" w:hAnsi="Arial Narrow" w:cs="Times New Roman"/>
          <w:b/>
          <w:sz w:val="24"/>
          <w:szCs w:val="24"/>
        </w:rPr>
        <w:t xml:space="preserve"> </w:t>
      </w:r>
      <w:r w:rsidRPr="00BC2FF7">
        <w:rPr>
          <w:rFonts w:ascii="Arial Narrow" w:hAnsi="Arial Narrow" w:cs="Times New Roman"/>
          <w:b/>
          <w:sz w:val="24"/>
          <w:szCs w:val="24"/>
          <w:lang w:val="en-US"/>
        </w:rPr>
        <w:t>International</w:t>
      </w:r>
      <w:r w:rsidRPr="00607670">
        <w:rPr>
          <w:rFonts w:ascii="Arial Narrow" w:hAnsi="Arial Narrow" w:cs="Times New Roman"/>
          <w:b/>
          <w:sz w:val="24"/>
          <w:szCs w:val="24"/>
        </w:rPr>
        <w:t xml:space="preserve"> </w:t>
      </w:r>
      <w:r w:rsidRPr="00607670">
        <w:rPr>
          <w:rFonts w:ascii="Arial Narrow" w:hAnsi="Arial Narrow" w:cs="Times New Roman"/>
          <w:b/>
          <w:sz w:val="24"/>
          <w:szCs w:val="24"/>
          <w:lang w:val="en-US"/>
        </w:rPr>
        <w:t>Airport</w:t>
      </w:r>
      <w:r w:rsidR="00607670" w:rsidRPr="00607670">
        <w:rPr>
          <w:rFonts w:ascii="Arial Narrow" w:hAnsi="Arial Narrow" w:cs="Times New Roman"/>
          <w:b/>
          <w:sz w:val="24"/>
          <w:szCs w:val="24"/>
        </w:rPr>
        <w:t>,</w:t>
      </w:r>
      <w:r w:rsidR="00607670" w:rsidRPr="00607670">
        <w:rPr>
          <w:rFonts w:ascii="Arial Narrow" w:hAnsi="Arial Narrow" w:cs="Times New Roman"/>
          <w:sz w:val="24"/>
          <w:szCs w:val="24"/>
        </w:rPr>
        <w:t xml:space="preserve"> μελλοντικά</w:t>
      </w:r>
      <w:r w:rsidR="00607670" w:rsidRPr="00607670">
        <w:rPr>
          <w:rFonts w:ascii="Arial Narrow" w:hAnsi="Arial Narrow" w:cs="Times New Roman"/>
          <w:b/>
          <w:sz w:val="24"/>
          <w:szCs w:val="24"/>
        </w:rPr>
        <w:t xml:space="preserve"> </w:t>
      </w:r>
      <w:r w:rsidR="00607670">
        <w:rPr>
          <w:rFonts w:ascii="Arial Narrow" w:hAnsi="Arial Narrow" w:cs="Times New Roman"/>
          <w:sz w:val="24"/>
          <w:szCs w:val="24"/>
        </w:rPr>
        <w:t>αναμένεται</w:t>
      </w:r>
      <w:r w:rsidR="00607670" w:rsidRPr="00607670">
        <w:rPr>
          <w:rFonts w:ascii="Arial Narrow" w:hAnsi="Arial Narrow" w:cs="Times New Roman"/>
          <w:sz w:val="24"/>
          <w:szCs w:val="24"/>
        </w:rPr>
        <w:t xml:space="preserve"> </w:t>
      </w:r>
      <w:r w:rsidR="00607670">
        <w:rPr>
          <w:rFonts w:ascii="Arial Narrow" w:hAnsi="Arial Narrow" w:cs="Times New Roman"/>
          <w:sz w:val="24"/>
          <w:szCs w:val="24"/>
        </w:rPr>
        <w:t>να αποτελέσει το μεγαλύτερο αεροδρόμιο παγκοσμίως</w:t>
      </w:r>
      <w:r w:rsidR="001836F9">
        <w:rPr>
          <w:rFonts w:ascii="Arial Narrow" w:hAnsi="Arial Narrow" w:cs="Times New Roman"/>
          <w:sz w:val="24"/>
          <w:szCs w:val="24"/>
        </w:rPr>
        <w:t xml:space="preserve"> με δυναμικότητα έως και 260 εκατ. επιβάτες ετησίως και 12 εκατ. τόνους φορτίου.</w:t>
      </w:r>
    </w:p>
    <w:p w14:paraId="59B07B07" w14:textId="180C3CD3" w:rsidR="001836F9" w:rsidRDefault="001836F9" w:rsidP="002C4D8A">
      <w:pPr>
        <w:jc w:val="both"/>
        <w:rPr>
          <w:rFonts w:ascii="Arial Narrow" w:hAnsi="Arial Narrow" w:cs="Times New Roman"/>
          <w:sz w:val="24"/>
          <w:szCs w:val="24"/>
        </w:rPr>
      </w:pPr>
      <w:r>
        <w:rPr>
          <w:rFonts w:ascii="Arial Narrow" w:hAnsi="Arial Narrow" w:cs="Times New Roman"/>
          <w:b/>
          <w:sz w:val="24"/>
          <w:szCs w:val="24"/>
        </w:rPr>
        <w:t>Διεθνές</w:t>
      </w:r>
      <w:r w:rsidRPr="001836F9">
        <w:rPr>
          <w:rFonts w:ascii="Arial Narrow" w:hAnsi="Arial Narrow" w:cs="Times New Roman"/>
          <w:b/>
          <w:sz w:val="24"/>
          <w:szCs w:val="24"/>
        </w:rPr>
        <w:t xml:space="preserve"> </w:t>
      </w:r>
      <w:r>
        <w:rPr>
          <w:rFonts w:ascii="Arial Narrow" w:hAnsi="Arial Narrow" w:cs="Times New Roman"/>
          <w:b/>
          <w:sz w:val="24"/>
          <w:szCs w:val="24"/>
        </w:rPr>
        <w:t>Αεροδρόμιο</w:t>
      </w:r>
      <w:r w:rsidRPr="001836F9">
        <w:rPr>
          <w:rFonts w:ascii="Arial Narrow" w:hAnsi="Arial Narrow" w:cs="Times New Roman"/>
          <w:b/>
          <w:sz w:val="24"/>
          <w:szCs w:val="24"/>
        </w:rPr>
        <w:t xml:space="preserve"> </w:t>
      </w:r>
      <w:r>
        <w:rPr>
          <w:rFonts w:ascii="Arial Narrow" w:hAnsi="Arial Narrow" w:cs="Times New Roman"/>
          <w:b/>
          <w:sz w:val="24"/>
          <w:szCs w:val="24"/>
          <w:lang w:val="en-US"/>
        </w:rPr>
        <w:t>Abu</w:t>
      </w:r>
      <w:r w:rsidRPr="001836F9">
        <w:rPr>
          <w:rFonts w:ascii="Arial Narrow" w:hAnsi="Arial Narrow" w:cs="Times New Roman"/>
          <w:b/>
          <w:sz w:val="24"/>
          <w:szCs w:val="24"/>
        </w:rPr>
        <w:t>-</w:t>
      </w:r>
      <w:r>
        <w:rPr>
          <w:rFonts w:ascii="Arial Narrow" w:hAnsi="Arial Narrow" w:cs="Times New Roman"/>
          <w:b/>
          <w:sz w:val="24"/>
          <w:szCs w:val="24"/>
          <w:lang w:val="en-US"/>
        </w:rPr>
        <w:t>Dhabi</w:t>
      </w:r>
      <w:r w:rsidRPr="001836F9">
        <w:rPr>
          <w:rFonts w:ascii="Arial Narrow" w:hAnsi="Arial Narrow" w:cs="Times New Roman"/>
          <w:b/>
          <w:sz w:val="24"/>
          <w:szCs w:val="24"/>
        </w:rPr>
        <w:t xml:space="preserve"> (</w:t>
      </w:r>
      <w:r>
        <w:rPr>
          <w:rFonts w:ascii="Arial Narrow" w:hAnsi="Arial Narrow" w:cs="Times New Roman"/>
          <w:b/>
          <w:sz w:val="24"/>
          <w:szCs w:val="24"/>
          <w:lang w:val="en-US"/>
        </w:rPr>
        <w:t>Zayed</w:t>
      </w:r>
      <w:r w:rsidRPr="001836F9">
        <w:rPr>
          <w:rFonts w:ascii="Arial Narrow" w:hAnsi="Arial Narrow" w:cs="Times New Roman"/>
          <w:b/>
          <w:sz w:val="24"/>
          <w:szCs w:val="24"/>
        </w:rPr>
        <w:t xml:space="preserve"> </w:t>
      </w:r>
      <w:r>
        <w:rPr>
          <w:rFonts w:ascii="Arial Narrow" w:hAnsi="Arial Narrow" w:cs="Times New Roman"/>
          <w:b/>
          <w:sz w:val="24"/>
          <w:szCs w:val="24"/>
          <w:lang w:val="en-US"/>
        </w:rPr>
        <w:t>International</w:t>
      </w:r>
      <w:r w:rsidRPr="001836F9">
        <w:rPr>
          <w:rFonts w:ascii="Arial Narrow" w:hAnsi="Arial Narrow" w:cs="Times New Roman"/>
          <w:b/>
          <w:sz w:val="24"/>
          <w:szCs w:val="24"/>
        </w:rPr>
        <w:t xml:space="preserve"> </w:t>
      </w:r>
      <w:r>
        <w:rPr>
          <w:rFonts w:ascii="Arial Narrow" w:hAnsi="Arial Narrow" w:cs="Times New Roman"/>
          <w:b/>
          <w:sz w:val="24"/>
          <w:szCs w:val="24"/>
          <w:lang w:val="en-US"/>
        </w:rPr>
        <w:t>Airport</w:t>
      </w:r>
      <w:r w:rsidRPr="001836F9">
        <w:rPr>
          <w:rFonts w:ascii="Arial Narrow" w:hAnsi="Arial Narrow" w:cs="Times New Roman"/>
          <w:b/>
          <w:sz w:val="24"/>
          <w:szCs w:val="24"/>
        </w:rPr>
        <w:t xml:space="preserve">), </w:t>
      </w:r>
      <w:r>
        <w:rPr>
          <w:rFonts w:ascii="Arial Narrow" w:hAnsi="Arial Narrow" w:cs="Times New Roman"/>
          <w:sz w:val="24"/>
          <w:szCs w:val="24"/>
        </w:rPr>
        <w:t>νέος</w:t>
      </w:r>
      <w:r w:rsidRPr="001836F9">
        <w:rPr>
          <w:rFonts w:ascii="Arial Narrow" w:hAnsi="Arial Narrow" w:cs="Times New Roman"/>
          <w:sz w:val="24"/>
          <w:szCs w:val="24"/>
        </w:rPr>
        <w:t xml:space="preserve"> </w:t>
      </w:r>
      <w:r>
        <w:rPr>
          <w:rFonts w:ascii="Arial Narrow" w:hAnsi="Arial Narrow" w:cs="Times New Roman"/>
          <w:sz w:val="24"/>
          <w:szCs w:val="24"/>
        </w:rPr>
        <w:t>υπερσύγχρονος τερματικός σταθμός.</w:t>
      </w:r>
    </w:p>
    <w:p w14:paraId="5C7AEDAE" w14:textId="364DAF19" w:rsidR="001836F9" w:rsidRPr="00331C65" w:rsidRDefault="00D75893" w:rsidP="002C4D8A">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25.6. </w:t>
      </w:r>
      <w:r w:rsidR="001836F9" w:rsidRPr="00331C65">
        <w:rPr>
          <w:rFonts w:ascii="Arial Narrow" w:hAnsi="Arial Narrow" w:cs="Times New Roman"/>
          <w:b/>
          <w:color w:val="4F81BD" w:themeColor="accent1"/>
          <w:sz w:val="24"/>
          <w:szCs w:val="24"/>
        </w:rPr>
        <w:t>Αεροπορικές Εταιρείες</w:t>
      </w:r>
    </w:p>
    <w:p w14:paraId="78393FA7" w14:textId="4A4F8CFE" w:rsidR="001836F9" w:rsidRDefault="001836F9" w:rsidP="002C4D8A">
      <w:pPr>
        <w:jc w:val="both"/>
        <w:rPr>
          <w:rFonts w:ascii="Arial Narrow" w:hAnsi="Arial Narrow" w:cs="Times New Roman"/>
          <w:sz w:val="24"/>
          <w:szCs w:val="24"/>
        </w:rPr>
      </w:pPr>
      <w:r w:rsidRPr="001836F9">
        <w:rPr>
          <w:rFonts w:ascii="Arial Narrow" w:hAnsi="Arial Narrow" w:cs="Times New Roman"/>
          <w:b/>
          <w:sz w:val="24"/>
          <w:szCs w:val="24"/>
          <w:lang w:val="en-US"/>
        </w:rPr>
        <w:t>Emirates</w:t>
      </w:r>
      <w:r w:rsidRPr="001836F9">
        <w:rPr>
          <w:rFonts w:ascii="Arial Narrow" w:hAnsi="Arial Narrow" w:cs="Times New Roman"/>
          <w:b/>
          <w:sz w:val="24"/>
          <w:szCs w:val="24"/>
        </w:rPr>
        <w:t xml:space="preserve"> – </w:t>
      </w:r>
      <w:r>
        <w:rPr>
          <w:rFonts w:ascii="Arial Narrow" w:hAnsi="Arial Narrow" w:cs="Times New Roman"/>
          <w:sz w:val="24"/>
          <w:szCs w:val="24"/>
        </w:rPr>
        <w:t xml:space="preserve">στόλος με &gt;260 αεροσκάφη, πτήσεις σε 150+ πόλεις, μεταξύ των μεγαλυτέρων αεροπορικών εταιρειών παγκοσμίως. </w:t>
      </w:r>
      <w:r w:rsidRPr="001836F9">
        <w:rPr>
          <w:rFonts w:ascii="Arial Narrow" w:hAnsi="Arial Narrow" w:cs="Times New Roman"/>
          <w:b/>
          <w:sz w:val="24"/>
          <w:szCs w:val="24"/>
          <w:lang w:val="en-US"/>
        </w:rPr>
        <w:t>Etihad</w:t>
      </w:r>
      <w:r w:rsidRPr="002B08A2">
        <w:rPr>
          <w:rFonts w:ascii="Arial Narrow" w:hAnsi="Arial Narrow" w:cs="Times New Roman"/>
          <w:b/>
          <w:sz w:val="24"/>
          <w:szCs w:val="24"/>
        </w:rPr>
        <w:t xml:space="preserve"> </w:t>
      </w:r>
      <w:r w:rsidRPr="001836F9">
        <w:rPr>
          <w:rFonts w:ascii="Arial Narrow" w:hAnsi="Arial Narrow" w:cs="Times New Roman"/>
          <w:b/>
          <w:sz w:val="24"/>
          <w:szCs w:val="24"/>
          <w:lang w:val="en-US"/>
        </w:rPr>
        <w:t>Airways</w:t>
      </w:r>
      <w:r w:rsidRPr="002B08A2">
        <w:rPr>
          <w:rFonts w:ascii="Arial Narrow" w:hAnsi="Arial Narrow" w:cs="Times New Roman"/>
          <w:b/>
          <w:sz w:val="24"/>
          <w:szCs w:val="24"/>
        </w:rPr>
        <w:t xml:space="preserve"> </w:t>
      </w:r>
      <w:r w:rsidR="002B08A2" w:rsidRPr="002B08A2">
        <w:rPr>
          <w:rFonts w:ascii="Arial Narrow" w:hAnsi="Arial Narrow" w:cs="Times New Roman"/>
          <w:b/>
          <w:sz w:val="24"/>
          <w:szCs w:val="24"/>
        </w:rPr>
        <w:t>–</w:t>
      </w:r>
      <w:r w:rsidRPr="002B08A2">
        <w:rPr>
          <w:rFonts w:ascii="Arial Narrow" w:hAnsi="Arial Narrow" w:cs="Times New Roman"/>
          <w:sz w:val="24"/>
          <w:szCs w:val="24"/>
        </w:rPr>
        <w:t xml:space="preserve"> </w:t>
      </w:r>
      <w:r w:rsidR="002B08A2">
        <w:rPr>
          <w:rFonts w:ascii="Arial Narrow" w:hAnsi="Arial Narrow" w:cs="Times New Roman"/>
          <w:sz w:val="24"/>
          <w:szCs w:val="24"/>
        </w:rPr>
        <w:t xml:space="preserve">βάση στο </w:t>
      </w:r>
      <w:r w:rsidR="002B08A2">
        <w:rPr>
          <w:rFonts w:ascii="Arial Narrow" w:hAnsi="Arial Narrow" w:cs="Times New Roman"/>
          <w:sz w:val="24"/>
          <w:szCs w:val="24"/>
          <w:lang w:val="en-US"/>
        </w:rPr>
        <w:t>Abu</w:t>
      </w:r>
      <w:r w:rsidR="002B08A2" w:rsidRPr="002B08A2">
        <w:rPr>
          <w:rFonts w:ascii="Arial Narrow" w:hAnsi="Arial Narrow" w:cs="Times New Roman"/>
          <w:sz w:val="24"/>
          <w:szCs w:val="24"/>
        </w:rPr>
        <w:t xml:space="preserve"> – </w:t>
      </w:r>
      <w:r w:rsidR="002B08A2">
        <w:rPr>
          <w:rFonts w:ascii="Arial Narrow" w:hAnsi="Arial Narrow" w:cs="Times New Roman"/>
          <w:sz w:val="24"/>
          <w:szCs w:val="24"/>
          <w:lang w:val="en-US"/>
        </w:rPr>
        <w:t>Dhabi</w:t>
      </w:r>
      <w:r w:rsidR="002B08A2">
        <w:rPr>
          <w:rFonts w:ascii="Arial Narrow" w:hAnsi="Arial Narrow" w:cs="Times New Roman"/>
          <w:sz w:val="24"/>
          <w:szCs w:val="24"/>
        </w:rPr>
        <w:t xml:space="preserve"> με προορισμούς σε Ευρώπη, Ασία, Αμερική και Αφρική</w:t>
      </w:r>
      <w:r w:rsidR="002B08A2" w:rsidRPr="002B08A2">
        <w:rPr>
          <w:rFonts w:ascii="Arial Narrow" w:hAnsi="Arial Narrow" w:cs="Times New Roman"/>
          <w:b/>
          <w:sz w:val="24"/>
          <w:szCs w:val="24"/>
        </w:rPr>
        <w:t xml:space="preserve">. </w:t>
      </w:r>
      <w:r w:rsidR="002B08A2" w:rsidRPr="002B08A2">
        <w:rPr>
          <w:rFonts w:ascii="Arial Narrow" w:hAnsi="Arial Narrow" w:cs="Times New Roman"/>
          <w:b/>
          <w:sz w:val="24"/>
          <w:szCs w:val="24"/>
          <w:lang w:val="en-US"/>
        </w:rPr>
        <w:t>Flydubai</w:t>
      </w:r>
      <w:r w:rsidR="002B08A2" w:rsidRPr="00CD4C43">
        <w:rPr>
          <w:rFonts w:ascii="Arial Narrow" w:hAnsi="Arial Narrow" w:cs="Times New Roman"/>
          <w:b/>
          <w:sz w:val="24"/>
          <w:szCs w:val="24"/>
        </w:rPr>
        <w:t xml:space="preserve"> </w:t>
      </w:r>
      <w:r w:rsidR="003C1EE6" w:rsidRPr="00CD4C43">
        <w:rPr>
          <w:rFonts w:ascii="Arial Narrow" w:hAnsi="Arial Narrow" w:cs="Times New Roman"/>
          <w:b/>
          <w:sz w:val="24"/>
          <w:szCs w:val="24"/>
        </w:rPr>
        <w:t>–</w:t>
      </w:r>
      <w:r w:rsidR="002B08A2" w:rsidRPr="00CD4C43">
        <w:rPr>
          <w:rFonts w:ascii="Arial Narrow" w:hAnsi="Arial Narrow" w:cs="Times New Roman"/>
          <w:b/>
          <w:sz w:val="24"/>
          <w:szCs w:val="24"/>
        </w:rPr>
        <w:t xml:space="preserve"> </w:t>
      </w:r>
      <w:r w:rsidR="003C1EE6">
        <w:rPr>
          <w:rFonts w:ascii="Arial Narrow" w:hAnsi="Arial Narrow" w:cs="Times New Roman"/>
          <w:sz w:val="24"/>
          <w:szCs w:val="24"/>
        </w:rPr>
        <w:t>με δίκτυο 130+ προορισμών και με ισχυρή περιφερειακή παρουσία.</w:t>
      </w:r>
    </w:p>
    <w:p w14:paraId="68E0C177" w14:textId="1B628CFB" w:rsidR="00FF782E" w:rsidRPr="00331C65" w:rsidRDefault="00D75893" w:rsidP="002C4D8A">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25.7.</w:t>
      </w:r>
      <w:r w:rsidR="00FF782E" w:rsidRPr="00331C65">
        <w:rPr>
          <w:rFonts w:ascii="Arial Narrow" w:hAnsi="Arial Narrow" w:cs="Times New Roman"/>
          <w:b/>
          <w:color w:val="4F81BD" w:themeColor="accent1"/>
          <w:sz w:val="24"/>
          <w:szCs w:val="24"/>
        </w:rPr>
        <w:t xml:space="preserve">Θαλάσσιες Μεταφορές </w:t>
      </w:r>
    </w:p>
    <w:p w14:paraId="6960116F" w14:textId="77777777" w:rsidR="00D75893" w:rsidRDefault="009F59E9" w:rsidP="002C4D8A">
      <w:pPr>
        <w:jc w:val="both"/>
        <w:rPr>
          <w:rFonts w:ascii="Arial Narrow" w:hAnsi="Arial Narrow" w:cs="Times New Roman"/>
          <w:sz w:val="24"/>
          <w:szCs w:val="24"/>
        </w:rPr>
      </w:pPr>
      <w:r>
        <w:rPr>
          <w:rFonts w:ascii="Arial Narrow" w:hAnsi="Arial Narrow" w:cs="Times New Roman"/>
          <w:sz w:val="24"/>
          <w:szCs w:val="24"/>
        </w:rPr>
        <w:t xml:space="preserve"> Τα ΗΑΕ διαθέτουν από τις σημαντικότερες λιμενικές υποδομές παγκοσμίως, όπως </w:t>
      </w:r>
      <w:r w:rsidRPr="009F59E9">
        <w:rPr>
          <w:rFonts w:ascii="Arial Narrow" w:hAnsi="Arial Narrow" w:cs="Times New Roman"/>
          <w:b/>
          <w:sz w:val="24"/>
          <w:szCs w:val="24"/>
          <w:lang w:val="en-US"/>
        </w:rPr>
        <w:t>Jebel</w:t>
      </w:r>
      <w:r w:rsidRPr="009F59E9">
        <w:rPr>
          <w:rFonts w:ascii="Arial Narrow" w:hAnsi="Arial Narrow" w:cs="Times New Roman"/>
          <w:b/>
          <w:sz w:val="24"/>
          <w:szCs w:val="24"/>
        </w:rPr>
        <w:t xml:space="preserve"> </w:t>
      </w:r>
      <w:r w:rsidRPr="009F59E9">
        <w:rPr>
          <w:rFonts w:ascii="Arial Narrow" w:hAnsi="Arial Narrow" w:cs="Times New Roman"/>
          <w:b/>
          <w:sz w:val="24"/>
          <w:szCs w:val="24"/>
          <w:lang w:val="en-US"/>
        </w:rPr>
        <w:t>Ali</w:t>
      </w:r>
      <w:r w:rsidRPr="009F59E9">
        <w:rPr>
          <w:rFonts w:ascii="Arial Narrow" w:hAnsi="Arial Narrow" w:cs="Times New Roman"/>
          <w:b/>
          <w:sz w:val="24"/>
          <w:szCs w:val="24"/>
        </w:rPr>
        <w:t xml:space="preserve"> </w:t>
      </w:r>
      <w:r w:rsidRPr="009F59E9">
        <w:rPr>
          <w:rFonts w:ascii="Arial Narrow" w:hAnsi="Arial Narrow" w:cs="Times New Roman"/>
          <w:b/>
          <w:sz w:val="24"/>
          <w:szCs w:val="24"/>
          <w:lang w:val="en-US"/>
        </w:rPr>
        <w:t>Port</w:t>
      </w:r>
      <w:r w:rsidRPr="009F59E9">
        <w:rPr>
          <w:rFonts w:ascii="Arial Narrow" w:hAnsi="Arial Narrow" w:cs="Times New Roman"/>
          <w:b/>
          <w:sz w:val="24"/>
          <w:szCs w:val="24"/>
        </w:rPr>
        <w:t xml:space="preserve">, </w:t>
      </w:r>
      <w:r w:rsidR="00E97DB6">
        <w:rPr>
          <w:rFonts w:ascii="Arial Narrow" w:hAnsi="Arial Narrow" w:cs="Times New Roman"/>
          <w:sz w:val="24"/>
          <w:szCs w:val="24"/>
        </w:rPr>
        <w:t xml:space="preserve">το μεγαλύτερο λιμάνι της Μέσης Ανατολής με δυναμικότητα &gt;19 εκατ, </w:t>
      </w:r>
      <w:r w:rsidR="00E97DB6">
        <w:rPr>
          <w:rFonts w:ascii="Arial Narrow" w:hAnsi="Arial Narrow" w:cs="Times New Roman"/>
          <w:sz w:val="24"/>
          <w:szCs w:val="24"/>
          <w:lang w:val="en-US"/>
        </w:rPr>
        <w:t>TEU</w:t>
      </w:r>
      <w:r w:rsidR="00E97DB6" w:rsidRPr="00E97DB6">
        <w:rPr>
          <w:rFonts w:ascii="Arial Narrow" w:hAnsi="Arial Narrow" w:cs="Times New Roman"/>
          <w:sz w:val="24"/>
          <w:szCs w:val="24"/>
        </w:rPr>
        <w:t xml:space="preserve">, </w:t>
      </w:r>
      <w:r w:rsidR="00E97DB6">
        <w:rPr>
          <w:rFonts w:ascii="Arial Narrow" w:hAnsi="Arial Narrow" w:cs="Times New Roman"/>
          <w:sz w:val="24"/>
          <w:szCs w:val="24"/>
        </w:rPr>
        <w:t xml:space="preserve">με &gt;10.000 εταιρείες στη </w:t>
      </w:r>
      <w:r w:rsidR="00E97DB6">
        <w:rPr>
          <w:rFonts w:ascii="Arial Narrow" w:hAnsi="Arial Narrow" w:cs="Times New Roman"/>
          <w:sz w:val="24"/>
          <w:szCs w:val="24"/>
          <w:lang w:val="en-US"/>
        </w:rPr>
        <w:t>Free</w:t>
      </w:r>
      <w:r w:rsidR="00E97DB6" w:rsidRPr="00E97DB6">
        <w:rPr>
          <w:rFonts w:ascii="Arial Narrow" w:hAnsi="Arial Narrow" w:cs="Times New Roman"/>
          <w:sz w:val="24"/>
          <w:szCs w:val="24"/>
        </w:rPr>
        <w:t xml:space="preserve"> </w:t>
      </w:r>
      <w:r w:rsidR="00E97DB6">
        <w:rPr>
          <w:rFonts w:ascii="Arial Narrow" w:hAnsi="Arial Narrow" w:cs="Times New Roman"/>
          <w:sz w:val="24"/>
          <w:szCs w:val="24"/>
          <w:lang w:val="en-US"/>
        </w:rPr>
        <w:t>Zone</w:t>
      </w:r>
      <w:r w:rsidR="00E97DB6" w:rsidRPr="00E97DB6">
        <w:rPr>
          <w:rFonts w:ascii="Arial Narrow" w:hAnsi="Arial Narrow" w:cs="Times New Roman"/>
          <w:sz w:val="24"/>
          <w:szCs w:val="24"/>
        </w:rPr>
        <w:t xml:space="preserve"> </w:t>
      </w:r>
      <w:r w:rsidR="00E97DB6">
        <w:rPr>
          <w:rFonts w:ascii="Arial Narrow" w:hAnsi="Arial Narrow" w:cs="Times New Roman"/>
          <w:sz w:val="24"/>
          <w:szCs w:val="24"/>
        </w:rPr>
        <w:t xml:space="preserve">και με &gt;180 χώρες που εξυπηρετεί. </w:t>
      </w:r>
      <w:r w:rsidR="00E97DB6">
        <w:rPr>
          <w:rFonts w:ascii="Arial Narrow" w:hAnsi="Arial Narrow" w:cs="Times New Roman"/>
          <w:b/>
          <w:sz w:val="24"/>
          <w:szCs w:val="24"/>
          <w:lang w:val="en-US"/>
        </w:rPr>
        <w:t>Khalifa</w:t>
      </w:r>
      <w:r w:rsidR="00E97DB6" w:rsidRPr="00E97DB6">
        <w:rPr>
          <w:rFonts w:ascii="Arial Narrow" w:hAnsi="Arial Narrow" w:cs="Times New Roman"/>
          <w:b/>
          <w:sz w:val="24"/>
          <w:szCs w:val="24"/>
        </w:rPr>
        <w:t xml:space="preserve"> </w:t>
      </w:r>
      <w:r w:rsidR="00E97DB6">
        <w:rPr>
          <w:rFonts w:ascii="Arial Narrow" w:hAnsi="Arial Narrow" w:cs="Times New Roman"/>
          <w:b/>
          <w:sz w:val="24"/>
          <w:szCs w:val="24"/>
          <w:lang w:val="en-US"/>
        </w:rPr>
        <w:t>Port</w:t>
      </w:r>
      <w:r w:rsidR="00E97DB6" w:rsidRPr="00E97DB6">
        <w:rPr>
          <w:rFonts w:ascii="Arial Narrow" w:hAnsi="Arial Narrow" w:cs="Times New Roman"/>
          <w:b/>
          <w:sz w:val="24"/>
          <w:szCs w:val="24"/>
        </w:rPr>
        <w:t xml:space="preserve">, </w:t>
      </w:r>
      <w:r w:rsidR="00E97DB6">
        <w:rPr>
          <w:rFonts w:ascii="Arial Narrow" w:hAnsi="Arial Narrow" w:cs="Times New Roman"/>
          <w:sz w:val="24"/>
          <w:szCs w:val="24"/>
        </w:rPr>
        <w:t xml:space="preserve">ένα από τα πλέον αυτοματοποιημένα λιμάνια διεθνώς και το </w:t>
      </w:r>
      <w:r w:rsidR="00E97DB6">
        <w:rPr>
          <w:rFonts w:ascii="Arial Narrow" w:hAnsi="Arial Narrow" w:cs="Times New Roman"/>
          <w:b/>
          <w:sz w:val="24"/>
          <w:szCs w:val="24"/>
          <w:lang w:val="en-US"/>
        </w:rPr>
        <w:t>Fujairah</w:t>
      </w:r>
      <w:r w:rsidR="00E97DB6" w:rsidRPr="00E97DB6">
        <w:rPr>
          <w:rFonts w:ascii="Arial Narrow" w:hAnsi="Arial Narrow" w:cs="Times New Roman"/>
          <w:b/>
          <w:sz w:val="24"/>
          <w:szCs w:val="24"/>
        </w:rPr>
        <w:t xml:space="preserve"> </w:t>
      </w:r>
      <w:r w:rsidR="00E97DB6">
        <w:rPr>
          <w:rFonts w:ascii="Arial Narrow" w:hAnsi="Arial Narrow" w:cs="Times New Roman"/>
          <w:b/>
          <w:sz w:val="24"/>
          <w:szCs w:val="24"/>
          <w:lang w:val="en-US"/>
        </w:rPr>
        <w:t>Port</w:t>
      </w:r>
      <w:r w:rsidR="00E97DB6" w:rsidRPr="00E97DB6">
        <w:rPr>
          <w:rFonts w:ascii="Arial Narrow" w:hAnsi="Arial Narrow" w:cs="Times New Roman"/>
          <w:b/>
          <w:sz w:val="24"/>
          <w:szCs w:val="24"/>
        </w:rPr>
        <w:t xml:space="preserve"> (</w:t>
      </w:r>
      <w:r w:rsidR="00E97DB6">
        <w:rPr>
          <w:rFonts w:ascii="Arial Narrow" w:hAnsi="Arial Narrow" w:cs="Times New Roman"/>
          <w:b/>
          <w:sz w:val="24"/>
          <w:szCs w:val="24"/>
          <w:lang w:val="en-US"/>
        </w:rPr>
        <w:t>Port</w:t>
      </w:r>
      <w:r w:rsidR="00E97DB6" w:rsidRPr="00E97DB6">
        <w:rPr>
          <w:rFonts w:ascii="Arial Narrow" w:hAnsi="Arial Narrow" w:cs="Times New Roman"/>
          <w:b/>
          <w:sz w:val="24"/>
          <w:szCs w:val="24"/>
        </w:rPr>
        <w:t xml:space="preserve"> </w:t>
      </w:r>
      <w:r w:rsidR="00E97DB6">
        <w:rPr>
          <w:rFonts w:ascii="Arial Narrow" w:hAnsi="Arial Narrow" w:cs="Times New Roman"/>
          <w:b/>
          <w:sz w:val="24"/>
          <w:szCs w:val="24"/>
          <w:lang w:val="en-US"/>
        </w:rPr>
        <w:t>of</w:t>
      </w:r>
      <w:r w:rsidR="00E97DB6" w:rsidRPr="00E97DB6">
        <w:rPr>
          <w:rFonts w:ascii="Arial Narrow" w:hAnsi="Arial Narrow" w:cs="Times New Roman"/>
          <w:b/>
          <w:sz w:val="24"/>
          <w:szCs w:val="24"/>
        </w:rPr>
        <w:t xml:space="preserve"> </w:t>
      </w:r>
      <w:r w:rsidR="00E97DB6">
        <w:rPr>
          <w:rFonts w:ascii="Arial Narrow" w:hAnsi="Arial Narrow" w:cs="Times New Roman"/>
          <w:b/>
          <w:sz w:val="24"/>
          <w:szCs w:val="24"/>
          <w:lang w:val="en-US"/>
        </w:rPr>
        <w:t>Fujairah</w:t>
      </w:r>
      <w:r w:rsidR="00E97DB6" w:rsidRPr="00E97DB6">
        <w:rPr>
          <w:rFonts w:ascii="Arial Narrow" w:hAnsi="Arial Narrow" w:cs="Times New Roman"/>
          <w:b/>
          <w:sz w:val="24"/>
          <w:szCs w:val="24"/>
        </w:rPr>
        <w:t xml:space="preserve">), </w:t>
      </w:r>
      <w:r w:rsidR="00E97DB6">
        <w:rPr>
          <w:rFonts w:ascii="Arial Narrow" w:hAnsi="Arial Narrow" w:cs="Times New Roman"/>
          <w:sz w:val="24"/>
          <w:szCs w:val="24"/>
        </w:rPr>
        <w:t xml:space="preserve">στρατηγικής σημασίας λόγω πρόσβασης εκτός των Στενών του Ορμούζ. </w:t>
      </w:r>
    </w:p>
    <w:p w14:paraId="4BD929CD" w14:textId="658C44D8" w:rsidR="00E97DB6" w:rsidRPr="00D75893" w:rsidRDefault="00D75893" w:rsidP="002C4D8A">
      <w:pPr>
        <w:jc w:val="both"/>
        <w:rPr>
          <w:rFonts w:ascii="Arial Narrow" w:hAnsi="Arial Narrow" w:cs="Times New Roman"/>
          <w:sz w:val="24"/>
          <w:szCs w:val="24"/>
        </w:rPr>
      </w:pPr>
      <w:r>
        <w:rPr>
          <w:rFonts w:ascii="Arial Narrow" w:hAnsi="Arial Narrow" w:cs="Times New Roman"/>
          <w:b/>
          <w:color w:val="4F81BD" w:themeColor="accent1"/>
          <w:sz w:val="24"/>
          <w:szCs w:val="24"/>
        </w:rPr>
        <w:t xml:space="preserve">25.8. </w:t>
      </w:r>
      <w:r w:rsidR="00E97DB6" w:rsidRPr="00331C65">
        <w:rPr>
          <w:rFonts w:ascii="Arial Narrow" w:hAnsi="Arial Narrow" w:cs="Times New Roman"/>
          <w:b/>
          <w:color w:val="4F81BD" w:themeColor="accent1"/>
          <w:sz w:val="24"/>
          <w:szCs w:val="24"/>
        </w:rPr>
        <w:t xml:space="preserve"> </w:t>
      </w:r>
      <w:r w:rsidR="00E97DB6" w:rsidRPr="00331C65">
        <w:rPr>
          <w:rFonts w:ascii="Arial Narrow" w:hAnsi="Arial Narrow" w:cs="Times New Roman"/>
          <w:b/>
          <w:color w:val="4F81BD" w:themeColor="accent1"/>
          <w:sz w:val="24"/>
          <w:szCs w:val="24"/>
          <w:lang w:val="en-US"/>
        </w:rPr>
        <w:t>Logistics</w:t>
      </w:r>
      <w:r w:rsidR="00E97DB6" w:rsidRPr="00331C65">
        <w:rPr>
          <w:rFonts w:ascii="Arial Narrow" w:hAnsi="Arial Narrow" w:cs="Times New Roman"/>
          <w:b/>
          <w:color w:val="4F81BD" w:themeColor="accent1"/>
          <w:sz w:val="24"/>
          <w:szCs w:val="24"/>
        </w:rPr>
        <w:t xml:space="preserve"> &amp; Εφοδιαστική Αλυσία </w:t>
      </w:r>
    </w:p>
    <w:p w14:paraId="10B0F683" w14:textId="7664758F" w:rsidR="00CD4C43" w:rsidRDefault="00CD4C43" w:rsidP="002C4D8A">
      <w:pPr>
        <w:jc w:val="both"/>
        <w:rPr>
          <w:rFonts w:ascii="Arial Narrow" w:hAnsi="Arial Narrow" w:cs="Times New Roman"/>
          <w:sz w:val="24"/>
          <w:szCs w:val="24"/>
        </w:rPr>
      </w:pPr>
      <w:r w:rsidRPr="00CD4C43">
        <w:rPr>
          <w:rFonts w:ascii="Arial Narrow" w:hAnsi="Arial Narrow" w:cs="Times New Roman"/>
          <w:sz w:val="24"/>
          <w:szCs w:val="24"/>
        </w:rPr>
        <w:t>Ο κλάδος</w:t>
      </w:r>
      <w:r>
        <w:rPr>
          <w:rFonts w:ascii="Arial Narrow" w:hAnsi="Arial Narrow" w:cs="Times New Roman"/>
          <w:sz w:val="24"/>
          <w:szCs w:val="24"/>
        </w:rPr>
        <w:t xml:space="preserve"> των </w:t>
      </w:r>
      <w:r>
        <w:rPr>
          <w:rFonts w:ascii="Arial Narrow" w:hAnsi="Arial Narrow" w:cs="Times New Roman"/>
          <w:sz w:val="24"/>
          <w:szCs w:val="24"/>
          <w:lang w:val="en-US"/>
        </w:rPr>
        <w:t>Logistics</w:t>
      </w:r>
      <w:r w:rsidRPr="00F3298D">
        <w:rPr>
          <w:rFonts w:ascii="Arial Narrow" w:hAnsi="Arial Narrow" w:cs="Times New Roman"/>
          <w:sz w:val="24"/>
          <w:szCs w:val="24"/>
        </w:rPr>
        <w:t xml:space="preserve"> &amp; </w:t>
      </w:r>
      <w:r w:rsidR="00F3298D">
        <w:rPr>
          <w:rFonts w:ascii="Arial Narrow" w:hAnsi="Arial Narrow" w:cs="Times New Roman"/>
          <w:sz w:val="24"/>
          <w:szCs w:val="24"/>
        </w:rPr>
        <w:t xml:space="preserve">της Εφοδιαστικής Αλυσίδας αποτελεί έναν εκ των ταχύτατα αναπτυσσομένων τομέων, όσον αφορά τις μεταφορές. Η αξία της αγοράς των </w:t>
      </w:r>
      <w:r w:rsidR="00F3298D">
        <w:rPr>
          <w:rFonts w:ascii="Arial Narrow" w:hAnsi="Arial Narrow" w:cs="Times New Roman"/>
          <w:sz w:val="24"/>
          <w:szCs w:val="24"/>
          <w:lang w:val="en-US"/>
        </w:rPr>
        <w:t>logistics</w:t>
      </w:r>
      <w:r w:rsidR="00F3298D" w:rsidRPr="00F3298D">
        <w:rPr>
          <w:rFonts w:ascii="Arial Narrow" w:hAnsi="Arial Narrow" w:cs="Times New Roman"/>
          <w:sz w:val="24"/>
          <w:szCs w:val="24"/>
        </w:rPr>
        <w:t xml:space="preserve"> </w:t>
      </w:r>
      <w:r w:rsidR="00F3298D">
        <w:rPr>
          <w:rFonts w:ascii="Arial Narrow" w:hAnsi="Arial Narrow" w:cs="Times New Roman"/>
          <w:sz w:val="24"/>
          <w:szCs w:val="24"/>
        </w:rPr>
        <w:t>έχει μέγεθος έως και 150-200 δις</w:t>
      </w:r>
      <w:r w:rsidR="00F3298D" w:rsidRPr="00F3298D">
        <w:rPr>
          <w:rFonts w:ascii="Arial Narrow" w:hAnsi="Arial Narrow" w:cs="Times New Roman"/>
          <w:sz w:val="24"/>
          <w:szCs w:val="24"/>
        </w:rPr>
        <w:t xml:space="preserve"> </w:t>
      </w:r>
      <w:r w:rsidR="00F3298D">
        <w:rPr>
          <w:rFonts w:ascii="Arial Narrow" w:hAnsi="Arial Narrow" w:cs="Times New Roman"/>
          <w:sz w:val="24"/>
          <w:szCs w:val="24"/>
          <w:lang w:val="en-US"/>
        </w:rPr>
        <w:t>AED</w:t>
      </w:r>
      <w:r w:rsidR="00F3298D" w:rsidRPr="00F3298D">
        <w:rPr>
          <w:rFonts w:ascii="Arial Narrow" w:hAnsi="Arial Narrow" w:cs="Times New Roman"/>
          <w:sz w:val="24"/>
          <w:szCs w:val="24"/>
        </w:rPr>
        <w:t xml:space="preserve"> (</w:t>
      </w:r>
      <w:r w:rsidR="00F3298D">
        <w:rPr>
          <w:rFonts w:ascii="Arial Narrow" w:hAnsi="Arial Narrow" w:cs="Times New Roman"/>
          <w:sz w:val="24"/>
          <w:szCs w:val="24"/>
        </w:rPr>
        <w:t xml:space="preserve">Ντίρχαμ), ο ρυθμός ανάπτυξης ανέρχεται σε 6% έως και 8% ετησίως και οι αποθηκευτικοί χώροι καταλαμβάνουν έκταση έως και &gt;30 εκατ. τ.μ. Σημαντικές εταιρείες στους τομείς αυτούς είναι οι </w:t>
      </w:r>
      <w:r w:rsidR="00F3298D">
        <w:rPr>
          <w:rFonts w:ascii="Arial Narrow" w:hAnsi="Arial Narrow" w:cs="Times New Roman"/>
          <w:sz w:val="24"/>
          <w:szCs w:val="24"/>
          <w:lang w:val="en-US"/>
        </w:rPr>
        <w:t>DP</w:t>
      </w:r>
      <w:r w:rsidR="00F3298D" w:rsidRPr="00F3298D">
        <w:rPr>
          <w:rFonts w:ascii="Arial Narrow" w:hAnsi="Arial Narrow" w:cs="Times New Roman"/>
          <w:sz w:val="24"/>
          <w:szCs w:val="24"/>
        </w:rPr>
        <w:t xml:space="preserve"> </w:t>
      </w:r>
      <w:r w:rsidR="00F3298D">
        <w:rPr>
          <w:rFonts w:ascii="Arial Narrow" w:hAnsi="Arial Narrow" w:cs="Times New Roman"/>
          <w:sz w:val="24"/>
          <w:szCs w:val="24"/>
          <w:lang w:val="en-US"/>
        </w:rPr>
        <w:t>World</w:t>
      </w:r>
      <w:r w:rsidR="00F3298D" w:rsidRPr="00F3298D">
        <w:rPr>
          <w:rFonts w:ascii="Arial Narrow" w:hAnsi="Arial Narrow" w:cs="Times New Roman"/>
          <w:sz w:val="24"/>
          <w:szCs w:val="24"/>
        </w:rPr>
        <w:t xml:space="preserve">, </w:t>
      </w:r>
      <w:r w:rsidR="00F3298D">
        <w:rPr>
          <w:rFonts w:ascii="Arial Narrow" w:hAnsi="Arial Narrow" w:cs="Times New Roman"/>
          <w:sz w:val="24"/>
          <w:szCs w:val="24"/>
          <w:lang w:val="en-US"/>
        </w:rPr>
        <w:t>AD</w:t>
      </w:r>
      <w:r w:rsidR="00F3298D" w:rsidRPr="00F3298D">
        <w:rPr>
          <w:rFonts w:ascii="Arial Narrow" w:hAnsi="Arial Narrow" w:cs="Times New Roman"/>
          <w:sz w:val="24"/>
          <w:szCs w:val="24"/>
        </w:rPr>
        <w:t xml:space="preserve"> </w:t>
      </w:r>
      <w:r w:rsidR="00F3298D">
        <w:rPr>
          <w:rFonts w:ascii="Arial Narrow" w:hAnsi="Arial Narrow" w:cs="Times New Roman"/>
          <w:sz w:val="24"/>
          <w:szCs w:val="24"/>
          <w:lang w:val="en-US"/>
        </w:rPr>
        <w:t>Ports</w:t>
      </w:r>
      <w:r w:rsidR="00F3298D" w:rsidRPr="00F3298D">
        <w:rPr>
          <w:rFonts w:ascii="Arial Narrow" w:hAnsi="Arial Narrow" w:cs="Times New Roman"/>
          <w:sz w:val="24"/>
          <w:szCs w:val="24"/>
        </w:rPr>
        <w:t xml:space="preserve"> </w:t>
      </w:r>
      <w:r w:rsidR="00F3298D">
        <w:rPr>
          <w:rFonts w:ascii="Arial Narrow" w:hAnsi="Arial Narrow" w:cs="Times New Roman"/>
          <w:sz w:val="24"/>
          <w:szCs w:val="24"/>
          <w:lang w:val="en-US"/>
        </w:rPr>
        <w:t>Group</w:t>
      </w:r>
      <w:r w:rsidR="00F3298D" w:rsidRPr="00F3298D">
        <w:rPr>
          <w:rFonts w:ascii="Arial Narrow" w:hAnsi="Arial Narrow" w:cs="Times New Roman"/>
          <w:sz w:val="24"/>
          <w:szCs w:val="24"/>
        </w:rPr>
        <w:t xml:space="preserve">, </w:t>
      </w:r>
      <w:r w:rsidR="00F3298D">
        <w:rPr>
          <w:rFonts w:ascii="Arial Narrow" w:hAnsi="Arial Narrow" w:cs="Times New Roman"/>
          <w:sz w:val="24"/>
          <w:szCs w:val="24"/>
          <w:lang w:val="en-US"/>
        </w:rPr>
        <w:t>Aramex</w:t>
      </w:r>
      <w:r w:rsidR="00F3298D" w:rsidRPr="00F3298D">
        <w:rPr>
          <w:rFonts w:ascii="Arial Narrow" w:hAnsi="Arial Narrow" w:cs="Times New Roman"/>
          <w:sz w:val="24"/>
          <w:szCs w:val="24"/>
        </w:rPr>
        <w:t xml:space="preserve"> &amp; </w:t>
      </w:r>
      <w:r w:rsidR="00F3298D">
        <w:rPr>
          <w:rFonts w:ascii="Arial Narrow" w:hAnsi="Arial Narrow" w:cs="Times New Roman"/>
          <w:sz w:val="24"/>
          <w:szCs w:val="24"/>
          <w:lang w:val="en-US"/>
        </w:rPr>
        <w:t>Emirates</w:t>
      </w:r>
      <w:r w:rsidR="00F3298D" w:rsidRPr="00F3298D">
        <w:rPr>
          <w:rFonts w:ascii="Arial Narrow" w:hAnsi="Arial Narrow" w:cs="Times New Roman"/>
          <w:sz w:val="24"/>
          <w:szCs w:val="24"/>
        </w:rPr>
        <w:t xml:space="preserve"> </w:t>
      </w:r>
      <w:r w:rsidR="00F3298D">
        <w:rPr>
          <w:rFonts w:ascii="Arial Narrow" w:hAnsi="Arial Narrow" w:cs="Times New Roman"/>
          <w:sz w:val="24"/>
          <w:szCs w:val="24"/>
          <w:lang w:val="en-US"/>
        </w:rPr>
        <w:t>SkyCargo</w:t>
      </w:r>
      <w:r w:rsidR="00F3298D" w:rsidRPr="00F3298D">
        <w:rPr>
          <w:rFonts w:ascii="Arial Narrow" w:hAnsi="Arial Narrow" w:cs="Times New Roman"/>
          <w:sz w:val="24"/>
          <w:szCs w:val="24"/>
        </w:rPr>
        <w:t>.</w:t>
      </w:r>
    </w:p>
    <w:p w14:paraId="128224F5" w14:textId="176A2B39" w:rsidR="00F3298D" w:rsidRPr="00331C65" w:rsidRDefault="00D75893" w:rsidP="002C4D8A">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25.9. </w:t>
      </w:r>
      <w:r w:rsidR="00CB2219" w:rsidRPr="00331C65">
        <w:rPr>
          <w:rFonts w:ascii="Arial Narrow" w:hAnsi="Arial Narrow" w:cs="Times New Roman"/>
          <w:b/>
          <w:color w:val="4F81BD" w:themeColor="accent1"/>
          <w:sz w:val="24"/>
          <w:szCs w:val="24"/>
        </w:rPr>
        <w:t xml:space="preserve">Έξυπνες Μεταφορές και Τεχνολογία </w:t>
      </w:r>
    </w:p>
    <w:p w14:paraId="539CF8BD" w14:textId="49998808" w:rsidR="00CB2219" w:rsidRDefault="00347B79" w:rsidP="002C4D8A">
      <w:pPr>
        <w:jc w:val="both"/>
        <w:rPr>
          <w:rFonts w:ascii="Arial Narrow" w:hAnsi="Arial Narrow" w:cs="Times New Roman"/>
          <w:sz w:val="24"/>
          <w:szCs w:val="24"/>
        </w:rPr>
      </w:pPr>
      <w:r w:rsidRPr="00347B79">
        <w:rPr>
          <w:rFonts w:ascii="Arial Narrow" w:hAnsi="Arial Narrow" w:cs="Times New Roman"/>
          <w:sz w:val="24"/>
          <w:szCs w:val="24"/>
        </w:rPr>
        <w:t>Τα ΗΑΕ</w:t>
      </w:r>
      <w:r>
        <w:rPr>
          <w:rFonts w:ascii="Arial Narrow" w:hAnsi="Arial Narrow" w:cs="Times New Roman"/>
          <w:sz w:val="24"/>
          <w:szCs w:val="24"/>
        </w:rPr>
        <w:t xml:space="preserve"> προωτοπορούν διεθνώς στις «έξυπνες μεταφορές». Το είδος αυτών των μεταφορών αφορά στα αυτόνομα οχήματα (το Ντουμπάϊ στοχεύει έως το 2030 σε ποσοστό 25% αυτόνομες μετακινήσεις. Επίσης σημαντικό ρόλο αναλαμβάνει η Τεχνητή Νοημοσύνη και τα «ιπτάμενα ταξί». Η Τεχνητή Νοημοσύνη </w:t>
      </w:r>
      <w:r w:rsidRPr="00347B79">
        <w:rPr>
          <w:rFonts w:ascii="Arial Narrow" w:hAnsi="Arial Narrow" w:cs="Times New Roman"/>
          <w:sz w:val="24"/>
          <w:szCs w:val="24"/>
        </w:rPr>
        <w:t>(</w:t>
      </w:r>
      <w:r>
        <w:rPr>
          <w:rFonts w:ascii="Arial Narrow" w:hAnsi="Arial Narrow" w:cs="Times New Roman"/>
          <w:sz w:val="24"/>
          <w:szCs w:val="24"/>
          <w:lang w:val="en-US"/>
        </w:rPr>
        <w:t>AI</w:t>
      </w:r>
      <w:r w:rsidRPr="00347B79">
        <w:rPr>
          <w:rFonts w:ascii="Arial Narrow" w:hAnsi="Arial Narrow" w:cs="Times New Roman"/>
          <w:sz w:val="24"/>
          <w:szCs w:val="24"/>
        </w:rPr>
        <w:t xml:space="preserve">) </w:t>
      </w:r>
      <w:r>
        <w:rPr>
          <w:rFonts w:ascii="Arial Narrow" w:hAnsi="Arial Narrow" w:cs="Times New Roman"/>
          <w:sz w:val="24"/>
          <w:szCs w:val="24"/>
        </w:rPr>
        <w:t xml:space="preserve">είναι χρήσιμη για τη διαχείριση της κυκλοφορίας, </w:t>
      </w:r>
      <w:r w:rsidR="00AD70E2">
        <w:rPr>
          <w:rFonts w:ascii="Arial Narrow" w:hAnsi="Arial Narrow" w:cs="Times New Roman"/>
          <w:sz w:val="24"/>
          <w:szCs w:val="24"/>
          <w:lang w:val="en-US"/>
        </w:rPr>
        <w:t>smart</w:t>
      </w:r>
      <w:r w:rsidR="00AD70E2" w:rsidRPr="00AD70E2">
        <w:rPr>
          <w:rFonts w:ascii="Arial Narrow" w:hAnsi="Arial Narrow" w:cs="Times New Roman"/>
          <w:sz w:val="24"/>
          <w:szCs w:val="24"/>
        </w:rPr>
        <w:t xml:space="preserve"> </w:t>
      </w:r>
      <w:r w:rsidR="00AD70E2">
        <w:rPr>
          <w:rFonts w:ascii="Arial Narrow" w:hAnsi="Arial Narrow" w:cs="Times New Roman"/>
          <w:sz w:val="24"/>
          <w:szCs w:val="24"/>
          <w:lang w:val="en-US"/>
        </w:rPr>
        <w:t>parking</w:t>
      </w:r>
      <w:r w:rsidR="00AD70E2" w:rsidRPr="00AD70E2">
        <w:rPr>
          <w:rFonts w:ascii="Arial Narrow" w:hAnsi="Arial Narrow" w:cs="Times New Roman"/>
          <w:sz w:val="24"/>
          <w:szCs w:val="24"/>
        </w:rPr>
        <w:t xml:space="preserve">, </w:t>
      </w:r>
      <w:r w:rsidR="00AD70E2">
        <w:rPr>
          <w:rFonts w:ascii="Arial Narrow" w:hAnsi="Arial Narrow" w:cs="Times New Roman"/>
          <w:sz w:val="24"/>
          <w:szCs w:val="24"/>
          <w:lang w:val="en-US"/>
        </w:rPr>
        <w:t>predictive</w:t>
      </w:r>
      <w:r w:rsidR="00AD70E2" w:rsidRPr="00AD70E2">
        <w:rPr>
          <w:rFonts w:ascii="Arial Narrow" w:hAnsi="Arial Narrow" w:cs="Times New Roman"/>
          <w:sz w:val="24"/>
          <w:szCs w:val="24"/>
        </w:rPr>
        <w:t xml:space="preserve"> </w:t>
      </w:r>
      <w:r w:rsidR="00AD70E2">
        <w:rPr>
          <w:rFonts w:ascii="Arial Narrow" w:hAnsi="Arial Narrow" w:cs="Times New Roman"/>
          <w:sz w:val="24"/>
          <w:szCs w:val="24"/>
          <w:lang w:val="en-US"/>
        </w:rPr>
        <w:t>maintenance</w:t>
      </w:r>
      <w:r w:rsidR="00AD70E2" w:rsidRPr="00AD70E2">
        <w:rPr>
          <w:rFonts w:ascii="Arial Narrow" w:hAnsi="Arial Narrow" w:cs="Times New Roman"/>
          <w:sz w:val="24"/>
          <w:szCs w:val="24"/>
        </w:rPr>
        <w:t xml:space="preserve"> &amp; </w:t>
      </w:r>
      <w:r w:rsidR="00AD70E2">
        <w:rPr>
          <w:rFonts w:ascii="Arial Narrow" w:hAnsi="Arial Narrow" w:cs="Times New Roman"/>
          <w:sz w:val="24"/>
          <w:szCs w:val="24"/>
          <w:lang w:val="en-US"/>
        </w:rPr>
        <w:t>logistics</w:t>
      </w:r>
      <w:r w:rsidR="00AD70E2" w:rsidRPr="00AD70E2">
        <w:rPr>
          <w:rFonts w:ascii="Arial Narrow" w:hAnsi="Arial Narrow" w:cs="Times New Roman"/>
          <w:sz w:val="24"/>
          <w:szCs w:val="24"/>
        </w:rPr>
        <w:t xml:space="preserve"> </w:t>
      </w:r>
      <w:r w:rsidR="00AD70E2">
        <w:rPr>
          <w:rFonts w:ascii="Arial Narrow" w:hAnsi="Arial Narrow" w:cs="Times New Roman"/>
          <w:sz w:val="24"/>
          <w:szCs w:val="24"/>
          <w:lang w:val="en-US"/>
        </w:rPr>
        <w:t>optimization</w:t>
      </w:r>
      <w:r w:rsidR="00AD70E2" w:rsidRPr="00AD70E2">
        <w:rPr>
          <w:rFonts w:ascii="Arial Narrow" w:hAnsi="Arial Narrow" w:cs="Times New Roman"/>
          <w:sz w:val="24"/>
          <w:szCs w:val="24"/>
        </w:rPr>
        <w:t xml:space="preserve">. </w:t>
      </w:r>
      <w:r w:rsidR="00AD70E2">
        <w:rPr>
          <w:rFonts w:ascii="Arial Narrow" w:hAnsi="Arial Narrow" w:cs="Times New Roman"/>
          <w:sz w:val="24"/>
          <w:szCs w:val="24"/>
        </w:rPr>
        <w:t xml:space="preserve">Συνεργασίες επίσης προβλέπονται με διεθνείς εταιρείες για ανάπτυξη </w:t>
      </w:r>
      <w:r w:rsidR="00AD70E2">
        <w:rPr>
          <w:rFonts w:ascii="Arial Narrow" w:hAnsi="Arial Narrow" w:cs="Times New Roman"/>
          <w:sz w:val="24"/>
          <w:szCs w:val="24"/>
          <w:lang w:val="en-US"/>
        </w:rPr>
        <w:t>Urban</w:t>
      </w:r>
      <w:r w:rsidR="00AD70E2" w:rsidRPr="00AD70E2">
        <w:rPr>
          <w:rFonts w:ascii="Arial Narrow" w:hAnsi="Arial Narrow" w:cs="Times New Roman"/>
          <w:sz w:val="24"/>
          <w:szCs w:val="24"/>
        </w:rPr>
        <w:t xml:space="preserve"> </w:t>
      </w:r>
      <w:r w:rsidR="00AD70E2">
        <w:rPr>
          <w:rFonts w:ascii="Arial Narrow" w:hAnsi="Arial Narrow" w:cs="Times New Roman"/>
          <w:sz w:val="24"/>
          <w:szCs w:val="24"/>
          <w:lang w:val="en-US"/>
        </w:rPr>
        <w:t>Air</w:t>
      </w:r>
      <w:r w:rsidR="00AD70E2" w:rsidRPr="00AD70E2">
        <w:rPr>
          <w:rFonts w:ascii="Arial Narrow" w:hAnsi="Arial Narrow" w:cs="Times New Roman"/>
          <w:sz w:val="24"/>
          <w:szCs w:val="24"/>
        </w:rPr>
        <w:t xml:space="preserve"> </w:t>
      </w:r>
      <w:r w:rsidR="00AD70E2">
        <w:rPr>
          <w:rFonts w:ascii="Arial Narrow" w:hAnsi="Arial Narrow" w:cs="Times New Roman"/>
          <w:sz w:val="24"/>
          <w:szCs w:val="24"/>
          <w:lang w:val="en-US"/>
        </w:rPr>
        <w:t>Mobility</w:t>
      </w:r>
      <w:r w:rsidR="00AD70E2" w:rsidRPr="00AD70E2">
        <w:rPr>
          <w:rFonts w:ascii="Arial Narrow" w:hAnsi="Arial Narrow" w:cs="Times New Roman"/>
          <w:sz w:val="24"/>
          <w:szCs w:val="24"/>
        </w:rPr>
        <w:t>.</w:t>
      </w:r>
    </w:p>
    <w:p w14:paraId="22046743" w14:textId="2D6537CC" w:rsidR="00AD70E2" w:rsidRPr="00331C65" w:rsidRDefault="00D75893" w:rsidP="002C4D8A">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25.10. </w:t>
      </w:r>
      <w:r w:rsidR="003C6738" w:rsidRPr="00331C65">
        <w:rPr>
          <w:rFonts w:ascii="Arial Narrow" w:hAnsi="Arial Narrow" w:cs="Times New Roman"/>
          <w:b/>
          <w:color w:val="4F81BD" w:themeColor="accent1"/>
          <w:sz w:val="24"/>
          <w:szCs w:val="24"/>
        </w:rPr>
        <w:t>Πράσινες Μεταφορές</w:t>
      </w:r>
    </w:p>
    <w:p w14:paraId="0C54D460" w14:textId="61437C99" w:rsidR="003C6738" w:rsidRDefault="003C6738" w:rsidP="002C4D8A">
      <w:pPr>
        <w:jc w:val="both"/>
        <w:rPr>
          <w:rFonts w:ascii="Arial Narrow" w:hAnsi="Arial Narrow" w:cs="Times New Roman"/>
          <w:sz w:val="24"/>
          <w:szCs w:val="24"/>
        </w:rPr>
      </w:pPr>
      <w:r>
        <w:rPr>
          <w:rFonts w:ascii="Arial Narrow" w:hAnsi="Arial Narrow" w:cs="Times New Roman"/>
          <w:sz w:val="24"/>
          <w:szCs w:val="24"/>
        </w:rPr>
        <w:t xml:space="preserve">Οι πράσινες μεταφορές βρίσκονται στο επίκεντρο της στρατηγικής </w:t>
      </w:r>
      <w:r w:rsidR="00C45DEF">
        <w:rPr>
          <w:rFonts w:ascii="Arial Narrow" w:hAnsi="Arial Narrow" w:cs="Times New Roman"/>
          <w:sz w:val="24"/>
          <w:szCs w:val="24"/>
          <w:lang w:val="en-US"/>
        </w:rPr>
        <w:t>Net</w:t>
      </w:r>
      <w:r w:rsidR="00C45DEF" w:rsidRPr="00C45DEF">
        <w:rPr>
          <w:rFonts w:ascii="Arial Narrow" w:hAnsi="Arial Narrow" w:cs="Times New Roman"/>
          <w:sz w:val="24"/>
          <w:szCs w:val="24"/>
        </w:rPr>
        <w:t xml:space="preserve"> </w:t>
      </w:r>
      <w:r w:rsidR="00C45DEF">
        <w:rPr>
          <w:rFonts w:ascii="Arial Narrow" w:hAnsi="Arial Narrow" w:cs="Times New Roman"/>
          <w:sz w:val="24"/>
          <w:szCs w:val="24"/>
          <w:lang w:val="en-US"/>
        </w:rPr>
        <w:t>Zero</w:t>
      </w:r>
      <w:r w:rsidR="00C45DEF" w:rsidRPr="00C45DEF">
        <w:rPr>
          <w:rFonts w:ascii="Arial Narrow" w:hAnsi="Arial Narrow" w:cs="Times New Roman"/>
          <w:sz w:val="24"/>
          <w:szCs w:val="24"/>
        </w:rPr>
        <w:t xml:space="preserve"> 2050. </w:t>
      </w:r>
      <w:r w:rsidR="00C45DEF">
        <w:rPr>
          <w:rFonts w:ascii="Arial Narrow" w:hAnsi="Arial Narrow" w:cs="Times New Roman"/>
          <w:sz w:val="24"/>
          <w:szCs w:val="24"/>
        </w:rPr>
        <w:t xml:space="preserve">Βασικές πρωτοβουλίες είναι τα ηλεκτρικά λεωφορεία, οι σταθμοί φόρτισης </w:t>
      </w:r>
      <w:r w:rsidR="00C45DEF">
        <w:rPr>
          <w:rFonts w:ascii="Arial Narrow" w:hAnsi="Arial Narrow" w:cs="Times New Roman"/>
          <w:sz w:val="24"/>
          <w:szCs w:val="24"/>
          <w:lang w:val="en-US"/>
        </w:rPr>
        <w:t>EV</w:t>
      </w:r>
      <w:r w:rsidR="00C45DEF" w:rsidRPr="00C45DEF">
        <w:rPr>
          <w:rFonts w:ascii="Arial Narrow" w:hAnsi="Arial Narrow" w:cs="Times New Roman"/>
          <w:sz w:val="24"/>
          <w:szCs w:val="24"/>
        </w:rPr>
        <w:t xml:space="preserve">, </w:t>
      </w:r>
      <w:r w:rsidR="00C45DEF">
        <w:rPr>
          <w:rFonts w:ascii="Arial Narrow" w:hAnsi="Arial Narrow" w:cs="Times New Roman"/>
          <w:sz w:val="24"/>
          <w:szCs w:val="24"/>
        </w:rPr>
        <w:t>υδρογονοκίνητα αυτοκίνητα, τα βιώσιμα αεροπορικά καύσιμα (</w:t>
      </w:r>
      <w:r w:rsidR="00C45DEF">
        <w:rPr>
          <w:rFonts w:ascii="Arial Narrow" w:hAnsi="Arial Narrow" w:cs="Times New Roman"/>
          <w:sz w:val="24"/>
          <w:szCs w:val="24"/>
          <w:lang w:val="en-US"/>
        </w:rPr>
        <w:t>SAF</w:t>
      </w:r>
      <w:r w:rsidR="00C45DEF" w:rsidRPr="00C45DEF">
        <w:rPr>
          <w:rFonts w:ascii="Arial Narrow" w:hAnsi="Arial Narrow" w:cs="Times New Roman"/>
          <w:sz w:val="24"/>
          <w:szCs w:val="24"/>
        </w:rPr>
        <w:t xml:space="preserve">) </w:t>
      </w:r>
      <w:r w:rsidR="00C45DEF">
        <w:rPr>
          <w:rFonts w:ascii="Arial Narrow" w:hAnsi="Arial Narrow" w:cs="Times New Roman"/>
          <w:sz w:val="24"/>
          <w:szCs w:val="24"/>
        </w:rPr>
        <w:t>&amp; τα πράσινα λιμάνια.</w:t>
      </w:r>
    </w:p>
    <w:p w14:paraId="03038774" w14:textId="49C5C49F" w:rsidR="00C45DEF" w:rsidRPr="00331C65" w:rsidRDefault="00D75893" w:rsidP="002C4D8A">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25.11. </w:t>
      </w:r>
      <w:r w:rsidR="00C45DEF" w:rsidRPr="00331C65">
        <w:rPr>
          <w:rFonts w:ascii="Arial Narrow" w:hAnsi="Arial Narrow" w:cs="Times New Roman"/>
          <w:b/>
          <w:color w:val="4F81BD" w:themeColor="accent1"/>
          <w:sz w:val="24"/>
          <w:szCs w:val="24"/>
        </w:rPr>
        <w:t>Επενδύσεις και Μελλοντικά Έργα</w:t>
      </w:r>
    </w:p>
    <w:p w14:paraId="3A562DCB" w14:textId="38DC2285" w:rsidR="00C45DEF" w:rsidRDefault="00C45DEF" w:rsidP="002C4D8A">
      <w:pPr>
        <w:jc w:val="both"/>
        <w:rPr>
          <w:rFonts w:ascii="Arial Narrow" w:hAnsi="Arial Narrow" w:cs="Times New Roman"/>
          <w:sz w:val="24"/>
          <w:szCs w:val="24"/>
        </w:rPr>
      </w:pPr>
      <w:r w:rsidRPr="00C45DEF">
        <w:rPr>
          <w:rFonts w:ascii="Arial Narrow" w:hAnsi="Arial Narrow" w:cs="Times New Roman"/>
          <w:sz w:val="24"/>
          <w:szCs w:val="24"/>
        </w:rPr>
        <w:t xml:space="preserve">Οι μεγάλες επενδύσεις εστιάζουν </w:t>
      </w:r>
      <w:r>
        <w:rPr>
          <w:rFonts w:ascii="Arial Narrow" w:hAnsi="Arial Narrow" w:cs="Times New Roman"/>
          <w:sz w:val="24"/>
          <w:szCs w:val="24"/>
        </w:rPr>
        <w:t xml:space="preserve">σε μεγάλα και εμβληματικά έργα υποδομών, όπως η αποπεράτωση των κατασκευών </w:t>
      </w:r>
      <w:r w:rsidR="006E559C">
        <w:rPr>
          <w:rFonts w:ascii="Arial Narrow" w:hAnsi="Arial Narrow" w:cs="Times New Roman"/>
          <w:sz w:val="24"/>
          <w:szCs w:val="24"/>
        </w:rPr>
        <w:t>του νέου διεθνούς αεροδρομίου του Ντουμπάϊ,</w:t>
      </w:r>
      <w:r w:rsidR="006E559C" w:rsidRPr="006E559C">
        <w:rPr>
          <w:rFonts w:ascii="Arial Narrow" w:hAnsi="Arial Narrow" w:cs="Times New Roman"/>
          <w:sz w:val="24"/>
          <w:szCs w:val="24"/>
        </w:rPr>
        <w:t xml:space="preserve"> </w:t>
      </w:r>
      <w:r w:rsidR="006E559C">
        <w:rPr>
          <w:rFonts w:ascii="Arial Narrow" w:hAnsi="Arial Narrow" w:cs="Times New Roman"/>
          <w:sz w:val="24"/>
          <w:szCs w:val="24"/>
          <w:lang w:val="en-US"/>
        </w:rPr>
        <w:t>AL</w:t>
      </w:r>
      <w:r w:rsidR="006E559C" w:rsidRPr="006E559C">
        <w:rPr>
          <w:rFonts w:ascii="Arial Narrow" w:hAnsi="Arial Narrow" w:cs="Times New Roman"/>
          <w:sz w:val="24"/>
          <w:szCs w:val="24"/>
        </w:rPr>
        <w:t xml:space="preserve"> </w:t>
      </w:r>
      <w:r w:rsidR="006E559C">
        <w:rPr>
          <w:rFonts w:ascii="Arial Narrow" w:hAnsi="Arial Narrow" w:cs="Times New Roman"/>
          <w:sz w:val="24"/>
          <w:szCs w:val="24"/>
          <w:lang w:val="en-US"/>
        </w:rPr>
        <w:t>MAKTOUM</w:t>
      </w:r>
      <w:r w:rsidR="006E559C" w:rsidRPr="006E559C">
        <w:rPr>
          <w:rFonts w:ascii="Arial Narrow" w:hAnsi="Arial Narrow" w:cs="Times New Roman"/>
          <w:sz w:val="24"/>
          <w:szCs w:val="24"/>
        </w:rPr>
        <w:t xml:space="preserve"> </w:t>
      </w:r>
      <w:r w:rsidR="006E559C">
        <w:rPr>
          <w:rFonts w:ascii="Arial Narrow" w:hAnsi="Arial Narrow" w:cs="Times New Roman"/>
          <w:sz w:val="24"/>
          <w:szCs w:val="24"/>
          <w:lang w:val="en-US"/>
        </w:rPr>
        <w:t>AIRPORT</w:t>
      </w:r>
      <w:r w:rsidR="006E559C" w:rsidRPr="006E559C">
        <w:rPr>
          <w:rFonts w:ascii="Arial Narrow" w:hAnsi="Arial Narrow" w:cs="Times New Roman"/>
          <w:sz w:val="24"/>
          <w:szCs w:val="24"/>
        </w:rPr>
        <w:t xml:space="preserve"> </w:t>
      </w:r>
      <w:r w:rsidR="006E559C">
        <w:rPr>
          <w:rFonts w:ascii="Arial Narrow" w:hAnsi="Arial Narrow" w:cs="Times New Roman"/>
          <w:sz w:val="24"/>
          <w:szCs w:val="24"/>
          <w:lang w:val="en-US"/>
        </w:rPr>
        <w:t>EXPANSION</w:t>
      </w:r>
      <w:r w:rsidR="006E559C" w:rsidRPr="006E559C">
        <w:rPr>
          <w:rFonts w:ascii="Arial Narrow" w:hAnsi="Arial Narrow" w:cs="Times New Roman"/>
          <w:sz w:val="24"/>
          <w:szCs w:val="24"/>
        </w:rPr>
        <w:t xml:space="preserve"> </w:t>
      </w:r>
      <w:r w:rsidR="006E559C">
        <w:rPr>
          <w:rFonts w:ascii="Arial Narrow" w:hAnsi="Arial Narrow" w:cs="Times New Roman"/>
          <w:sz w:val="24"/>
          <w:szCs w:val="24"/>
        </w:rPr>
        <w:t>με εκτιμώμενη αξία &gt;</w:t>
      </w:r>
      <w:r w:rsidR="006E559C">
        <w:rPr>
          <w:rFonts w:ascii="Arial Narrow" w:hAnsi="Arial Narrow" w:cs="Times New Roman"/>
          <w:sz w:val="24"/>
          <w:szCs w:val="24"/>
          <w:lang w:val="en-US"/>
        </w:rPr>
        <w:t>AED</w:t>
      </w:r>
      <w:r w:rsidR="006E559C" w:rsidRPr="006E559C">
        <w:rPr>
          <w:rFonts w:ascii="Arial Narrow" w:hAnsi="Arial Narrow" w:cs="Times New Roman"/>
          <w:sz w:val="24"/>
          <w:szCs w:val="24"/>
        </w:rPr>
        <w:t xml:space="preserve"> 120 </w:t>
      </w:r>
      <w:r w:rsidR="006E559C">
        <w:rPr>
          <w:rFonts w:ascii="Arial Narrow" w:hAnsi="Arial Narrow" w:cs="Times New Roman"/>
          <w:sz w:val="24"/>
          <w:szCs w:val="24"/>
        </w:rPr>
        <w:t xml:space="preserve">δις (Ντίρχαμ), η νέα σιδηροδρομική γραμμή </w:t>
      </w:r>
      <w:r w:rsidR="006E559C">
        <w:rPr>
          <w:rFonts w:ascii="Arial Narrow" w:hAnsi="Arial Narrow" w:cs="Times New Roman"/>
          <w:sz w:val="24"/>
          <w:szCs w:val="24"/>
          <w:lang w:val="en-US"/>
        </w:rPr>
        <w:t>ETIHAD</w:t>
      </w:r>
      <w:r w:rsidR="006E559C" w:rsidRPr="006E559C">
        <w:rPr>
          <w:rFonts w:ascii="Arial Narrow" w:hAnsi="Arial Narrow" w:cs="Times New Roman"/>
          <w:sz w:val="24"/>
          <w:szCs w:val="24"/>
        </w:rPr>
        <w:t xml:space="preserve"> </w:t>
      </w:r>
      <w:r w:rsidR="006E559C">
        <w:rPr>
          <w:rFonts w:ascii="Arial Narrow" w:hAnsi="Arial Narrow" w:cs="Times New Roman"/>
          <w:sz w:val="24"/>
          <w:szCs w:val="24"/>
          <w:lang w:val="en-US"/>
        </w:rPr>
        <w:t>RAIL</w:t>
      </w:r>
      <w:r w:rsidR="006E559C" w:rsidRPr="006E559C">
        <w:rPr>
          <w:rFonts w:ascii="Arial Narrow" w:hAnsi="Arial Narrow" w:cs="Times New Roman"/>
          <w:sz w:val="24"/>
          <w:szCs w:val="24"/>
        </w:rPr>
        <w:t xml:space="preserve">, </w:t>
      </w:r>
      <w:r w:rsidR="006E559C">
        <w:rPr>
          <w:rFonts w:ascii="Arial Narrow" w:hAnsi="Arial Narrow" w:cs="Times New Roman"/>
          <w:sz w:val="24"/>
          <w:szCs w:val="24"/>
        </w:rPr>
        <w:t>συνολικής αξίας &gt;</w:t>
      </w:r>
      <w:r w:rsidR="006E559C">
        <w:rPr>
          <w:rFonts w:ascii="Arial Narrow" w:hAnsi="Arial Narrow" w:cs="Times New Roman"/>
          <w:sz w:val="24"/>
          <w:szCs w:val="24"/>
          <w:lang w:val="en-US"/>
        </w:rPr>
        <w:t>AED</w:t>
      </w:r>
      <w:r w:rsidR="006E559C" w:rsidRPr="006E559C">
        <w:rPr>
          <w:rFonts w:ascii="Arial Narrow" w:hAnsi="Arial Narrow" w:cs="Times New Roman"/>
          <w:sz w:val="24"/>
          <w:szCs w:val="24"/>
        </w:rPr>
        <w:t xml:space="preserve"> </w:t>
      </w:r>
      <w:r w:rsidR="006E559C">
        <w:rPr>
          <w:rFonts w:ascii="Arial Narrow" w:hAnsi="Arial Narrow" w:cs="Times New Roman"/>
          <w:sz w:val="24"/>
          <w:szCs w:val="24"/>
        </w:rPr>
        <w:t>50 δις (</w:t>
      </w:r>
      <w:r w:rsidR="006E559C">
        <w:rPr>
          <w:rFonts w:ascii="Arial Narrow" w:hAnsi="Arial Narrow" w:cs="Times New Roman"/>
          <w:sz w:val="24"/>
          <w:szCs w:val="24"/>
          <w:lang w:val="en-US"/>
        </w:rPr>
        <w:t>N</w:t>
      </w:r>
      <w:r w:rsidR="006E559C">
        <w:rPr>
          <w:rFonts w:ascii="Arial Narrow" w:hAnsi="Arial Narrow" w:cs="Times New Roman"/>
          <w:sz w:val="24"/>
          <w:szCs w:val="24"/>
        </w:rPr>
        <w:t xml:space="preserve">τίρχαμ), </w:t>
      </w:r>
      <w:r w:rsidR="006E559C">
        <w:rPr>
          <w:rFonts w:ascii="Arial Narrow" w:hAnsi="Arial Narrow" w:cs="Times New Roman"/>
          <w:sz w:val="24"/>
          <w:szCs w:val="24"/>
          <w:lang w:val="en-US"/>
        </w:rPr>
        <w:t>SMART</w:t>
      </w:r>
      <w:r w:rsidR="006E559C" w:rsidRPr="006E559C">
        <w:rPr>
          <w:rFonts w:ascii="Arial Narrow" w:hAnsi="Arial Narrow" w:cs="Times New Roman"/>
          <w:sz w:val="24"/>
          <w:szCs w:val="24"/>
        </w:rPr>
        <w:t xml:space="preserve"> </w:t>
      </w:r>
      <w:r w:rsidR="006E559C">
        <w:rPr>
          <w:rFonts w:ascii="Arial Narrow" w:hAnsi="Arial Narrow" w:cs="Times New Roman"/>
          <w:sz w:val="24"/>
          <w:szCs w:val="24"/>
          <w:lang w:val="en-US"/>
        </w:rPr>
        <w:t>MOBILITY</w:t>
      </w:r>
      <w:r w:rsidR="006E559C" w:rsidRPr="006E559C">
        <w:rPr>
          <w:rFonts w:ascii="Arial Narrow" w:hAnsi="Arial Narrow" w:cs="Times New Roman"/>
          <w:sz w:val="24"/>
          <w:szCs w:val="24"/>
        </w:rPr>
        <w:t xml:space="preserve"> </w:t>
      </w:r>
      <w:r w:rsidR="006E559C">
        <w:rPr>
          <w:rFonts w:ascii="Arial Narrow" w:hAnsi="Arial Narrow" w:cs="Times New Roman"/>
          <w:sz w:val="24"/>
          <w:szCs w:val="24"/>
          <w:lang w:val="en-US"/>
        </w:rPr>
        <w:t>PROJECTS</w:t>
      </w:r>
      <w:r w:rsidR="006E559C" w:rsidRPr="006E559C">
        <w:rPr>
          <w:rFonts w:ascii="Arial Narrow" w:hAnsi="Arial Narrow" w:cs="Times New Roman"/>
          <w:sz w:val="24"/>
          <w:szCs w:val="24"/>
        </w:rPr>
        <w:t>,</w:t>
      </w:r>
      <w:r w:rsidR="006E559C">
        <w:rPr>
          <w:rFonts w:ascii="Arial Narrow" w:hAnsi="Arial Narrow" w:cs="Times New Roman"/>
          <w:sz w:val="24"/>
          <w:szCs w:val="24"/>
        </w:rPr>
        <w:t xml:space="preserve"> συνολικής αξίας &gt;50 δις </w:t>
      </w:r>
      <w:r w:rsidR="006E559C">
        <w:rPr>
          <w:rFonts w:ascii="Arial Narrow" w:hAnsi="Arial Narrow" w:cs="Times New Roman"/>
          <w:sz w:val="24"/>
          <w:szCs w:val="24"/>
          <w:lang w:val="en-US"/>
        </w:rPr>
        <w:t>AED</w:t>
      </w:r>
      <w:r w:rsidR="006E559C" w:rsidRPr="006E559C">
        <w:rPr>
          <w:rFonts w:ascii="Arial Narrow" w:hAnsi="Arial Narrow" w:cs="Times New Roman"/>
          <w:sz w:val="24"/>
          <w:szCs w:val="24"/>
        </w:rPr>
        <w:t xml:space="preserve"> (</w:t>
      </w:r>
      <w:r w:rsidR="006E559C">
        <w:rPr>
          <w:rFonts w:ascii="Arial Narrow" w:hAnsi="Arial Narrow" w:cs="Times New Roman"/>
          <w:sz w:val="24"/>
          <w:szCs w:val="24"/>
        </w:rPr>
        <w:t xml:space="preserve">Ντίρχαμ) </w:t>
      </w:r>
      <w:r w:rsidR="006E559C" w:rsidRPr="006E559C">
        <w:rPr>
          <w:rFonts w:ascii="Arial Narrow" w:hAnsi="Arial Narrow" w:cs="Times New Roman"/>
          <w:sz w:val="24"/>
          <w:szCs w:val="24"/>
        </w:rPr>
        <w:t xml:space="preserve">&amp; </w:t>
      </w:r>
      <w:r w:rsidR="002D7BF4">
        <w:rPr>
          <w:rFonts w:ascii="Arial Narrow" w:hAnsi="Arial Narrow" w:cs="Times New Roman"/>
          <w:sz w:val="24"/>
          <w:szCs w:val="24"/>
          <w:lang w:val="en-US"/>
        </w:rPr>
        <w:t>Port</w:t>
      </w:r>
      <w:r w:rsidR="002D7BF4" w:rsidRPr="002D7BF4">
        <w:rPr>
          <w:rFonts w:ascii="Arial Narrow" w:hAnsi="Arial Narrow" w:cs="Times New Roman"/>
          <w:sz w:val="24"/>
          <w:szCs w:val="24"/>
        </w:rPr>
        <w:t xml:space="preserve"> </w:t>
      </w:r>
      <w:r w:rsidR="002D7BF4">
        <w:rPr>
          <w:rFonts w:ascii="Arial Narrow" w:hAnsi="Arial Narrow" w:cs="Times New Roman"/>
          <w:sz w:val="24"/>
          <w:szCs w:val="24"/>
          <w:lang w:val="en-US"/>
        </w:rPr>
        <w:t>Expansions</w:t>
      </w:r>
      <w:r w:rsidR="002D7BF4" w:rsidRPr="002D7BF4">
        <w:rPr>
          <w:rFonts w:ascii="Arial Narrow" w:hAnsi="Arial Narrow" w:cs="Times New Roman"/>
          <w:sz w:val="24"/>
          <w:szCs w:val="24"/>
        </w:rPr>
        <w:t xml:space="preserve">, </w:t>
      </w:r>
      <w:r w:rsidR="002D7BF4">
        <w:rPr>
          <w:rFonts w:ascii="Arial Narrow" w:hAnsi="Arial Narrow" w:cs="Times New Roman"/>
          <w:sz w:val="24"/>
          <w:szCs w:val="24"/>
        </w:rPr>
        <w:t xml:space="preserve">συνολικής αξίας </w:t>
      </w:r>
      <w:r w:rsidR="002D7BF4" w:rsidRPr="002D7BF4">
        <w:rPr>
          <w:rFonts w:ascii="Arial Narrow" w:hAnsi="Arial Narrow" w:cs="Times New Roman"/>
          <w:sz w:val="24"/>
          <w:szCs w:val="24"/>
        </w:rPr>
        <w:t xml:space="preserve">&gt;25 </w:t>
      </w:r>
      <w:r w:rsidR="002D7BF4">
        <w:rPr>
          <w:rFonts w:ascii="Arial Narrow" w:hAnsi="Arial Narrow" w:cs="Times New Roman"/>
          <w:sz w:val="24"/>
          <w:szCs w:val="24"/>
        </w:rPr>
        <w:t>δις</w:t>
      </w:r>
      <w:r w:rsidR="002D7BF4" w:rsidRPr="002D7BF4">
        <w:rPr>
          <w:rFonts w:ascii="Arial Narrow" w:hAnsi="Arial Narrow" w:cs="Times New Roman"/>
          <w:sz w:val="24"/>
          <w:szCs w:val="24"/>
        </w:rPr>
        <w:t xml:space="preserve"> </w:t>
      </w:r>
      <w:r w:rsidR="002D7BF4">
        <w:rPr>
          <w:rFonts w:ascii="Arial Narrow" w:hAnsi="Arial Narrow" w:cs="Times New Roman"/>
          <w:sz w:val="24"/>
          <w:szCs w:val="24"/>
          <w:lang w:val="en-US"/>
        </w:rPr>
        <w:t>AED</w:t>
      </w:r>
      <w:r w:rsidR="002D7BF4" w:rsidRPr="002D7BF4">
        <w:rPr>
          <w:rFonts w:ascii="Arial Narrow" w:hAnsi="Arial Narrow" w:cs="Times New Roman"/>
          <w:sz w:val="24"/>
          <w:szCs w:val="24"/>
        </w:rPr>
        <w:t xml:space="preserve"> (</w:t>
      </w:r>
      <w:r w:rsidR="003C70AA">
        <w:rPr>
          <w:rFonts w:ascii="Arial Narrow" w:hAnsi="Arial Narrow" w:cs="Times New Roman"/>
          <w:sz w:val="24"/>
          <w:szCs w:val="24"/>
        </w:rPr>
        <w:t>Ντίρχαμ).</w:t>
      </w:r>
    </w:p>
    <w:p w14:paraId="70250C46" w14:textId="695ED336" w:rsidR="003C70AA" w:rsidRPr="00331C65" w:rsidRDefault="00D75893" w:rsidP="002C4D8A">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25.12. </w:t>
      </w:r>
      <w:r w:rsidR="003C70AA" w:rsidRPr="00331C65">
        <w:rPr>
          <w:rFonts w:ascii="Arial Narrow" w:hAnsi="Arial Narrow" w:cs="Times New Roman"/>
          <w:b/>
          <w:color w:val="4F81BD" w:themeColor="accent1"/>
          <w:sz w:val="24"/>
          <w:szCs w:val="24"/>
        </w:rPr>
        <w:t>Προοπτικές έως το 2035</w:t>
      </w:r>
    </w:p>
    <w:p w14:paraId="498EED04" w14:textId="089B8080" w:rsidR="003C70AA" w:rsidRDefault="003C70AA" w:rsidP="002C4D8A">
      <w:pPr>
        <w:jc w:val="both"/>
        <w:rPr>
          <w:rFonts w:ascii="Arial Narrow" w:hAnsi="Arial Narrow" w:cs="Times New Roman"/>
          <w:sz w:val="24"/>
          <w:szCs w:val="24"/>
        </w:rPr>
      </w:pPr>
      <w:r>
        <w:rPr>
          <w:rFonts w:ascii="Arial Narrow" w:hAnsi="Arial Narrow" w:cs="Times New Roman"/>
          <w:sz w:val="24"/>
          <w:szCs w:val="24"/>
        </w:rPr>
        <w:t xml:space="preserve">Οι εξελίξεις και προοπτικές για τον στρατηγικό τομέα των μεταφορών συνοψίζονται στα εξής: </w:t>
      </w:r>
    </w:p>
    <w:p w14:paraId="509D6F2A" w14:textId="29210870" w:rsidR="003C70AA" w:rsidRPr="00F167B6" w:rsidRDefault="003C70AA" w:rsidP="002C4D8A">
      <w:pPr>
        <w:jc w:val="both"/>
        <w:rPr>
          <w:rFonts w:ascii="Arial Narrow" w:hAnsi="Arial Narrow" w:cs="Times New Roman"/>
          <w:sz w:val="24"/>
          <w:szCs w:val="24"/>
        </w:rPr>
      </w:pPr>
      <w:r>
        <w:rPr>
          <w:rFonts w:ascii="Arial Narrow" w:hAnsi="Arial Narrow" w:cs="Times New Roman"/>
          <w:sz w:val="24"/>
          <w:szCs w:val="24"/>
        </w:rPr>
        <w:t xml:space="preserve">1. Περαιτέρω ενίσχυση της θέσης των ΗΑΕ ως παγκόσμιου κόμβου </w:t>
      </w:r>
      <w:r>
        <w:rPr>
          <w:rFonts w:ascii="Arial Narrow" w:hAnsi="Arial Narrow" w:cs="Times New Roman"/>
          <w:sz w:val="24"/>
          <w:szCs w:val="24"/>
          <w:lang w:val="en-US"/>
        </w:rPr>
        <w:t>Logistics</w:t>
      </w:r>
    </w:p>
    <w:p w14:paraId="734D74F2" w14:textId="52F439B6" w:rsidR="003C70AA" w:rsidRDefault="003C70AA" w:rsidP="002C4D8A">
      <w:pPr>
        <w:jc w:val="both"/>
        <w:rPr>
          <w:rFonts w:ascii="Arial Narrow" w:hAnsi="Arial Narrow" w:cs="Times New Roman"/>
          <w:sz w:val="24"/>
          <w:szCs w:val="24"/>
        </w:rPr>
      </w:pPr>
      <w:r w:rsidRPr="00450219">
        <w:rPr>
          <w:rFonts w:ascii="Arial Narrow" w:hAnsi="Arial Narrow" w:cs="Times New Roman"/>
          <w:sz w:val="24"/>
          <w:szCs w:val="24"/>
        </w:rPr>
        <w:t xml:space="preserve">2. </w:t>
      </w:r>
      <w:r w:rsidR="00450219">
        <w:rPr>
          <w:rFonts w:ascii="Arial Narrow" w:hAnsi="Arial Narrow" w:cs="Times New Roman"/>
          <w:sz w:val="24"/>
          <w:szCs w:val="24"/>
          <w:lang w:val="en-US"/>
        </w:rPr>
        <w:t>O</w:t>
      </w:r>
      <w:r w:rsidR="00450219">
        <w:rPr>
          <w:rFonts w:ascii="Arial Narrow" w:hAnsi="Arial Narrow" w:cs="Times New Roman"/>
          <w:sz w:val="24"/>
          <w:szCs w:val="24"/>
        </w:rPr>
        <w:t xml:space="preserve">λοκλήρωση του εθνικού σιδηροδρομικού δικτύου. Ήδη προ ολίγων ημερών ξεκίνησε η λειτουργία της νέας σιδηροδρομικής γραμμής </w:t>
      </w:r>
      <w:r w:rsidR="00450219">
        <w:rPr>
          <w:rFonts w:ascii="Arial Narrow" w:hAnsi="Arial Narrow" w:cs="Times New Roman"/>
          <w:sz w:val="24"/>
          <w:szCs w:val="24"/>
          <w:lang w:val="en-US"/>
        </w:rPr>
        <w:t>Etihad</w:t>
      </w:r>
      <w:r w:rsidR="00450219" w:rsidRPr="00450219">
        <w:rPr>
          <w:rFonts w:ascii="Arial Narrow" w:hAnsi="Arial Narrow" w:cs="Times New Roman"/>
          <w:sz w:val="24"/>
          <w:szCs w:val="24"/>
        </w:rPr>
        <w:t xml:space="preserve"> </w:t>
      </w:r>
      <w:r w:rsidR="00450219">
        <w:rPr>
          <w:rFonts w:ascii="Arial Narrow" w:hAnsi="Arial Narrow" w:cs="Times New Roman"/>
          <w:sz w:val="24"/>
          <w:szCs w:val="24"/>
          <w:lang w:val="en-US"/>
        </w:rPr>
        <w:t>Rail</w:t>
      </w:r>
      <w:r w:rsidR="00202812">
        <w:rPr>
          <w:rFonts w:ascii="Arial Narrow" w:hAnsi="Arial Narrow" w:cs="Times New Roman"/>
          <w:sz w:val="24"/>
          <w:szCs w:val="24"/>
        </w:rPr>
        <w:t xml:space="preserve">, η οποία συνδέει όλη την επικράτεια των ΗΑΕ, από βορρά ως νότο. </w:t>
      </w:r>
    </w:p>
    <w:p w14:paraId="4C522AAB" w14:textId="1795B5D6" w:rsidR="00202812" w:rsidRDefault="00202812" w:rsidP="002C4D8A">
      <w:pPr>
        <w:jc w:val="both"/>
        <w:rPr>
          <w:rFonts w:ascii="Arial Narrow" w:hAnsi="Arial Narrow" w:cs="Times New Roman"/>
          <w:sz w:val="24"/>
          <w:szCs w:val="24"/>
        </w:rPr>
      </w:pPr>
      <w:r>
        <w:rPr>
          <w:rFonts w:ascii="Arial Narrow" w:hAnsi="Arial Narrow" w:cs="Times New Roman"/>
          <w:sz w:val="24"/>
          <w:szCs w:val="24"/>
        </w:rPr>
        <w:t>3. Ανάπτυξη αυτόνομων μεταφορών</w:t>
      </w:r>
    </w:p>
    <w:p w14:paraId="656DA323" w14:textId="1F82BF60" w:rsidR="00202812" w:rsidRDefault="00202812" w:rsidP="002C4D8A">
      <w:pPr>
        <w:jc w:val="both"/>
        <w:rPr>
          <w:rFonts w:ascii="Arial Narrow" w:hAnsi="Arial Narrow" w:cs="Times New Roman"/>
          <w:sz w:val="24"/>
          <w:szCs w:val="24"/>
        </w:rPr>
      </w:pPr>
      <w:r>
        <w:rPr>
          <w:rFonts w:ascii="Arial Narrow" w:hAnsi="Arial Narrow" w:cs="Times New Roman"/>
          <w:sz w:val="24"/>
          <w:szCs w:val="24"/>
        </w:rPr>
        <w:t>4. Επέκταση αεροδρομίων και λιμανιών</w:t>
      </w:r>
    </w:p>
    <w:p w14:paraId="208EBACB" w14:textId="13FAFAC4" w:rsidR="00202812" w:rsidRDefault="00202812" w:rsidP="002C4D8A">
      <w:pPr>
        <w:jc w:val="both"/>
        <w:rPr>
          <w:rFonts w:ascii="Arial Narrow" w:hAnsi="Arial Narrow" w:cs="Times New Roman"/>
          <w:sz w:val="24"/>
          <w:szCs w:val="24"/>
        </w:rPr>
      </w:pPr>
      <w:r>
        <w:rPr>
          <w:rFonts w:ascii="Arial Narrow" w:hAnsi="Arial Narrow" w:cs="Times New Roman"/>
          <w:sz w:val="24"/>
          <w:szCs w:val="24"/>
        </w:rPr>
        <w:t>5. Μεγαλύτερη χρήση της Τεχνητής Νοημοσύνης (</w:t>
      </w:r>
      <w:r>
        <w:rPr>
          <w:rFonts w:ascii="Arial Narrow" w:hAnsi="Arial Narrow" w:cs="Times New Roman"/>
          <w:sz w:val="24"/>
          <w:szCs w:val="24"/>
          <w:lang w:val="en-US"/>
        </w:rPr>
        <w:t>AI</w:t>
      </w:r>
      <w:r w:rsidRPr="00202812">
        <w:rPr>
          <w:rFonts w:ascii="Arial Narrow" w:hAnsi="Arial Narrow" w:cs="Times New Roman"/>
          <w:sz w:val="24"/>
          <w:szCs w:val="24"/>
        </w:rPr>
        <w:t>)</w:t>
      </w:r>
    </w:p>
    <w:p w14:paraId="1E72EF3F" w14:textId="20B6C839" w:rsidR="00202812" w:rsidRDefault="00202812" w:rsidP="002C4D8A">
      <w:pPr>
        <w:jc w:val="both"/>
        <w:rPr>
          <w:rFonts w:ascii="Arial Narrow" w:hAnsi="Arial Narrow" w:cs="Times New Roman"/>
          <w:sz w:val="24"/>
          <w:szCs w:val="24"/>
        </w:rPr>
      </w:pPr>
      <w:r>
        <w:rPr>
          <w:rFonts w:ascii="Arial Narrow" w:hAnsi="Arial Narrow" w:cs="Times New Roman"/>
          <w:sz w:val="24"/>
          <w:szCs w:val="24"/>
        </w:rPr>
        <w:t>6. Ενίσχυση συνδέσεων με Ασία, Αφρική &amp; Ευρώπη</w:t>
      </w:r>
    </w:p>
    <w:p w14:paraId="1F2BE523" w14:textId="64646191" w:rsidR="00202812" w:rsidRDefault="00202812" w:rsidP="002C4D8A">
      <w:pPr>
        <w:jc w:val="both"/>
        <w:rPr>
          <w:rFonts w:ascii="Arial Narrow" w:hAnsi="Arial Narrow" w:cs="Times New Roman"/>
          <w:sz w:val="24"/>
          <w:szCs w:val="24"/>
        </w:rPr>
      </w:pPr>
      <w:r>
        <w:rPr>
          <w:rFonts w:ascii="Arial Narrow" w:hAnsi="Arial Narrow" w:cs="Times New Roman"/>
          <w:sz w:val="24"/>
          <w:szCs w:val="24"/>
        </w:rPr>
        <w:t>7. Ανάδειξη των ΗΑΕ σε κορυφαίο περιφερειακό κέντρο «</w:t>
      </w:r>
      <w:r w:rsidR="003725D4">
        <w:rPr>
          <w:rFonts w:ascii="Arial Narrow" w:hAnsi="Arial Narrow" w:cs="Times New Roman"/>
          <w:sz w:val="24"/>
          <w:szCs w:val="24"/>
          <w:lang w:val="en-US"/>
        </w:rPr>
        <w:t>multimodal</w:t>
      </w:r>
      <w:r w:rsidR="003725D4" w:rsidRPr="003725D4">
        <w:rPr>
          <w:rFonts w:ascii="Arial Narrow" w:hAnsi="Arial Narrow" w:cs="Times New Roman"/>
          <w:sz w:val="24"/>
          <w:szCs w:val="24"/>
        </w:rPr>
        <w:t xml:space="preserve"> </w:t>
      </w:r>
      <w:r w:rsidR="003725D4">
        <w:rPr>
          <w:rFonts w:ascii="Arial Narrow" w:hAnsi="Arial Narrow" w:cs="Times New Roman"/>
          <w:sz w:val="24"/>
          <w:szCs w:val="24"/>
          <w:lang w:val="en-US"/>
        </w:rPr>
        <w:t>logistics</w:t>
      </w:r>
      <w:r w:rsidR="003725D4">
        <w:rPr>
          <w:rFonts w:ascii="Arial Narrow" w:hAnsi="Arial Narrow" w:cs="Times New Roman"/>
          <w:sz w:val="24"/>
          <w:szCs w:val="24"/>
        </w:rPr>
        <w:t>».</w:t>
      </w:r>
    </w:p>
    <w:p w14:paraId="56F4B4DA" w14:textId="4ABCBA08" w:rsidR="003725D4" w:rsidRPr="00EA5161" w:rsidRDefault="003725D4" w:rsidP="002C4D8A">
      <w:pPr>
        <w:jc w:val="both"/>
        <w:rPr>
          <w:rFonts w:ascii="Arial Narrow" w:hAnsi="Arial Narrow" w:cs="Times New Roman"/>
          <w:b/>
          <w:sz w:val="24"/>
          <w:szCs w:val="24"/>
        </w:rPr>
      </w:pPr>
      <w:r>
        <w:rPr>
          <w:rFonts w:ascii="Arial Narrow" w:hAnsi="Arial Narrow" w:cs="Times New Roman"/>
          <w:b/>
          <w:sz w:val="24"/>
          <w:szCs w:val="24"/>
        </w:rPr>
        <w:t>Συμπερασματικά επισημαίνεται ότι ο τομέας των μεταφορών στα ΗΑΕ συγκαταλέγεται μεταξύ των πλέον ανεπτυγμένων παγκοσμίως και αποτελεί βασικό μοχλό της οικονομικής διαφοροποίησης της χώρας. Με επενδύσεις εκατοντάδων δις Ντίρχαμ σε αεροδρόμια, λιμάνια, σιδηροδρομικά δίκτυα και έξυπνες μεταφορές τα ΗΑΕ ενισχύουν διαρκώς τη θέση τους ως το σημαντικότερο κέντρο μεταφορών</w:t>
      </w:r>
      <w:r w:rsidR="00EA5161" w:rsidRPr="00EA5161">
        <w:rPr>
          <w:rFonts w:ascii="Arial Narrow" w:hAnsi="Arial Narrow" w:cs="Times New Roman"/>
          <w:b/>
          <w:sz w:val="24"/>
          <w:szCs w:val="24"/>
        </w:rPr>
        <w:t xml:space="preserve">, </w:t>
      </w:r>
      <w:r w:rsidR="00EA5161">
        <w:rPr>
          <w:rFonts w:ascii="Arial Narrow" w:hAnsi="Arial Narrow" w:cs="Times New Roman"/>
          <w:b/>
          <w:sz w:val="24"/>
          <w:szCs w:val="24"/>
          <w:lang w:val="en-US"/>
        </w:rPr>
        <w:t>logistics</w:t>
      </w:r>
      <w:r w:rsidR="00EA5161" w:rsidRPr="00EA5161">
        <w:rPr>
          <w:rFonts w:ascii="Arial Narrow" w:hAnsi="Arial Narrow" w:cs="Times New Roman"/>
          <w:b/>
          <w:sz w:val="24"/>
          <w:szCs w:val="24"/>
        </w:rPr>
        <w:t xml:space="preserve"> </w:t>
      </w:r>
      <w:r w:rsidR="00EA5161">
        <w:rPr>
          <w:rFonts w:ascii="Arial Narrow" w:hAnsi="Arial Narrow" w:cs="Times New Roman"/>
          <w:b/>
          <w:sz w:val="24"/>
          <w:szCs w:val="24"/>
        </w:rPr>
        <w:t>και διεθνούς εμπορίου της Μέσης Ανατολής και ένα από τα σημαντικότερα παγκοσμίως.</w:t>
      </w:r>
    </w:p>
    <w:p w14:paraId="6D605376" w14:textId="067B2032" w:rsidR="00E84FCF" w:rsidRPr="00D75893" w:rsidRDefault="00D75893" w:rsidP="00D75893">
      <w:pPr>
        <w:jc w:val="center"/>
        <w:rPr>
          <w:rFonts w:ascii="Arial Narrow" w:hAnsi="Arial Narrow" w:cs="Times New Roman"/>
          <w:b/>
          <w:color w:val="4F81BD" w:themeColor="accent1"/>
          <w:sz w:val="28"/>
          <w:szCs w:val="28"/>
        </w:rPr>
      </w:pPr>
      <w:r w:rsidRPr="00D75893">
        <w:rPr>
          <w:rFonts w:ascii="Arial Narrow" w:hAnsi="Arial Narrow" w:cs="Times New Roman"/>
          <w:b/>
          <w:color w:val="4F81BD" w:themeColor="accent1"/>
          <w:sz w:val="28"/>
          <w:szCs w:val="28"/>
        </w:rPr>
        <w:t xml:space="preserve">26. </w:t>
      </w:r>
      <w:r w:rsidR="003825A0" w:rsidRPr="00D75893">
        <w:rPr>
          <w:rFonts w:ascii="Arial Narrow" w:hAnsi="Arial Narrow" w:cs="Times New Roman"/>
          <w:b/>
          <w:color w:val="4F81BD" w:themeColor="accent1"/>
          <w:sz w:val="28"/>
          <w:szCs w:val="28"/>
        </w:rPr>
        <w:t>Ο ΧΡΗΜΑΤΟΟΙΚΟΝΟΜΙΚΟΣ ΤΟΜΕΑΣ ΣΤΑ ΗΑΕ</w:t>
      </w:r>
    </w:p>
    <w:p w14:paraId="7E3B0FC8" w14:textId="1F99D958" w:rsidR="00D17B4A" w:rsidRPr="00331C65" w:rsidRDefault="00D75893" w:rsidP="003825A0">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26.1. </w:t>
      </w:r>
      <w:r w:rsidR="00D17B4A" w:rsidRPr="00331C65">
        <w:rPr>
          <w:rFonts w:ascii="Arial Narrow" w:hAnsi="Arial Narrow" w:cs="Times New Roman"/>
          <w:b/>
          <w:color w:val="4F81BD" w:themeColor="accent1"/>
          <w:sz w:val="24"/>
          <w:szCs w:val="24"/>
        </w:rPr>
        <w:t>Γενική Επισκόπηση</w:t>
      </w:r>
    </w:p>
    <w:p w14:paraId="5CF1EACF" w14:textId="47AB1778" w:rsidR="00D17B4A" w:rsidRDefault="00D17B4A" w:rsidP="003825A0">
      <w:pPr>
        <w:jc w:val="both"/>
        <w:rPr>
          <w:rFonts w:ascii="Arial Narrow" w:hAnsi="Arial Narrow" w:cs="Times New Roman"/>
          <w:sz w:val="24"/>
          <w:szCs w:val="24"/>
        </w:rPr>
      </w:pPr>
      <w:r>
        <w:rPr>
          <w:rFonts w:ascii="Arial Narrow" w:hAnsi="Arial Narrow" w:cs="Times New Roman"/>
          <w:sz w:val="24"/>
          <w:szCs w:val="24"/>
        </w:rPr>
        <w:t>Τα ΗΑΕ έχουν εξελιχθεί σε κορυφαίο χρηματοοικονομικό κέντρο της Μέσης Ανατολής, Βόρειας Αφρικής και Νότιας Ασίας (</w:t>
      </w:r>
      <w:r>
        <w:rPr>
          <w:rFonts w:ascii="Arial Narrow" w:hAnsi="Arial Narrow" w:cs="Times New Roman"/>
          <w:sz w:val="24"/>
          <w:szCs w:val="24"/>
          <w:lang w:val="en-US"/>
        </w:rPr>
        <w:t>MENASA</w:t>
      </w:r>
      <w:r w:rsidRPr="00D17B4A">
        <w:rPr>
          <w:rFonts w:ascii="Arial Narrow" w:hAnsi="Arial Narrow" w:cs="Times New Roman"/>
          <w:sz w:val="24"/>
          <w:szCs w:val="24"/>
        </w:rPr>
        <w:t xml:space="preserve">), </w:t>
      </w:r>
      <w:r>
        <w:rPr>
          <w:rFonts w:ascii="Arial Narrow" w:hAnsi="Arial Narrow" w:cs="Times New Roman"/>
          <w:sz w:val="24"/>
          <w:szCs w:val="24"/>
        </w:rPr>
        <w:t xml:space="preserve">ανταγωνιζόμενα διεθνή κέντρα όπως εκείνα της Σιγκαπούρης του Χόνγκ-Κόνγκ και του Λονδίνου. Οι βασικοί πυλώνες του χρηματοοικονομικού συστήματος περιλαβμάνουν το τραπεζικό σύστημα, την Ισλαμική τραπεζική, τον Ασφαλιστικά Κλάδο, τις χρηματιστηριακές αγορές, τη διαχείριση περιουσίας &amp; </w:t>
      </w:r>
      <w:r w:rsidR="00870B13">
        <w:rPr>
          <w:rFonts w:ascii="Arial Narrow" w:hAnsi="Arial Narrow" w:cs="Times New Roman"/>
          <w:sz w:val="24"/>
          <w:szCs w:val="24"/>
          <w:lang w:val="en-US"/>
        </w:rPr>
        <w:t>private</w:t>
      </w:r>
      <w:r w:rsidR="00870B13" w:rsidRPr="00870B13">
        <w:rPr>
          <w:rFonts w:ascii="Arial Narrow" w:hAnsi="Arial Narrow" w:cs="Times New Roman"/>
          <w:sz w:val="24"/>
          <w:szCs w:val="24"/>
        </w:rPr>
        <w:t xml:space="preserve"> </w:t>
      </w:r>
      <w:r w:rsidR="00870B13">
        <w:rPr>
          <w:rFonts w:ascii="Arial Narrow" w:hAnsi="Arial Narrow" w:cs="Times New Roman"/>
          <w:sz w:val="24"/>
          <w:szCs w:val="24"/>
          <w:lang w:val="en-US"/>
        </w:rPr>
        <w:t>banking</w:t>
      </w:r>
      <w:r w:rsidR="00870B13" w:rsidRPr="00870B13">
        <w:rPr>
          <w:rFonts w:ascii="Arial Narrow" w:hAnsi="Arial Narrow" w:cs="Times New Roman"/>
          <w:sz w:val="24"/>
          <w:szCs w:val="24"/>
        </w:rPr>
        <w:t xml:space="preserve">, </w:t>
      </w:r>
      <w:r w:rsidR="00870B13">
        <w:rPr>
          <w:rFonts w:ascii="Arial Narrow" w:hAnsi="Arial Narrow" w:cs="Times New Roman"/>
          <w:sz w:val="24"/>
          <w:szCs w:val="24"/>
          <w:lang w:val="en-US"/>
        </w:rPr>
        <w:t>FinTech</w:t>
      </w:r>
      <w:r w:rsidR="00870B13" w:rsidRPr="00870B13">
        <w:rPr>
          <w:rFonts w:ascii="Arial Narrow" w:hAnsi="Arial Narrow" w:cs="Times New Roman"/>
          <w:sz w:val="24"/>
          <w:szCs w:val="24"/>
        </w:rPr>
        <w:t xml:space="preserve"> </w:t>
      </w:r>
      <w:r w:rsidR="00870B13">
        <w:rPr>
          <w:rFonts w:ascii="Arial Narrow" w:hAnsi="Arial Narrow" w:cs="Times New Roman"/>
          <w:sz w:val="24"/>
          <w:szCs w:val="24"/>
        </w:rPr>
        <w:t xml:space="preserve">και ψηφιακές χρηματοοικονομικές υπηρεσίες &amp; Επενδυτικά ταμεία και </w:t>
      </w:r>
      <w:r w:rsidR="00870B13">
        <w:rPr>
          <w:rFonts w:ascii="Arial Narrow" w:hAnsi="Arial Narrow" w:cs="Times New Roman"/>
          <w:sz w:val="24"/>
          <w:szCs w:val="24"/>
          <w:lang w:val="en-US"/>
        </w:rPr>
        <w:t>sovereign</w:t>
      </w:r>
      <w:r w:rsidR="00870B13" w:rsidRPr="00870B13">
        <w:rPr>
          <w:rFonts w:ascii="Arial Narrow" w:hAnsi="Arial Narrow" w:cs="Times New Roman"/>
          <w:sz w:val="24"/>
          <w:szCs w:val="24"/>
        </w:rPr>
        <w:t xml:space="preserve"> </w:t>
      </w:r>
      <w:r w:rsidR="007D185A">
        <w:rPr>
          <w:rFonts w:ascii="Arial Narrow" w:hAnsi="Arial Narrow" w:cs="Times New Roman"/>
          <w:sz w:val="24"/>
          <w:szCs w:val="24"/>
          <w:lang w:val="en-US"/>
        </w:rPr>
        <w:t>wealth</w:t>
      </w:r>
      <w:r w:rsidR="007D185A" w:rsidRPr="007D185A">
        <w:rPr>
          <w:rFonts w:ascii="Arial Narrow" w:hAnsi="Arial Narrow" w:cs="Times New Roman"/>
          <w:sz w:val="24"/>
          <w:szCs w:val="24"/>
        </w:rPr>
        <w:t xml:space="preserve"> </w:t>
      </w:r>
      <w:r w:rsidR="007D185A">
        <w:rPr>
          <w:rFonts w:ascii="Arial Narrow" w:hAnsi="Arial Narrow" w:cs="Times New Roman"/>
          <w:sz w:val="24"/>
          <w:szCs w:val="24"/>
          <w:lang w:val="en-US"/>
        </w:rPr>
        <w:t>funds</w:t>
      </w:r>
      <w:r w:rsidR="007D185A" w:rsidRPr="007D185A">
        <w:rPr>
          <w:rFonts w:ascii="Arial Narrow" w:hAnsi="Arial Narrow" w:cs="Times New Roman"/>
          <w:sz w:val="24"/>
          <w:szCs w:val="24"/>
        </w:rPr>
        <w:t>.</w:t>
      </w:r>
    </w:p>
    <w:p w14:paraId="611AB83A" w14:textId="512AF891" w:rsidR="00ED77C6" w:rsidRPr="00331C65" w:rsidRDefault="00D75893" w:rsidP="003825A0">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26.2. </w:t>
      </w:r>
      <w:r w:rsidR="007D185A" w:rsidRPr="00331C65">
        <w:rPr>
          <w:rFonts w:ascii="Arial Narrow" w:hAnsi="Arial Narrow" w:cs="Times New Roman"/>
          <w:b/>
          <w:color w:val="4F81BD" w:themeColor="accent1"/>
          <w:sz w:val="24"/>
          <w:szCs w:val="24"/>
          <w:lang w:val="en-US"/>
        </w:rPr>
        <w:t>M</w:t>
      </w:r>
      <w:r w:rsidR="00ED77C6" w:rsidRPr="00331C65">
        <w:rPr>
          <w:rFonts w:ascii="Arial Narrow" w:hAnsi="Arial Narrow" w:cs="Times New Roman"/>
          <w:b/>
          <w:color w:val="4F81BD" w:themeColor="accent1"/>
          <w:sz w:val="24"/>
          <w:szCs w:val="24"/>
        </w:rPr>
        <w:t>έγεθος και Συμβολή στην Οικονομία</w:t>
      </w:r>
    </w:p>
    <w:p w14:paraId="07757520" w14:textId="027D96BF" w:rsidR="00ED77C6" w:rsidRDefault="00ED77C6" w:rsidP="003825A0">
      <w:pPr>
        <w:jc w:val="both"/>
        <w:rPr>
          <w:rFonts w:ascii="Arial Narrow" w:hAnsi="Arial Narrow" w:cs="Times New Roman"/>
          <w:sz w:val="24"/>
          <w:szCs w:val="24"/>
        </w:rPr>
      </w:pPr>
      <w:r>
        <w:rPr>
          <w:rFonts w:ascii="Arial Narrow" w:hAnsi="Arial Narrow" w:cs="Times New Roman"/>
          <w:sz w:val="24"/>
          <w:szCs w:val="24"/>
        </w:rPr>
        <w:t>Ο χρηματοοικονομικός και ασφαλιστικός τομέας αντιπροσωπεύουν περίπου το 10% έως 12% του μη πετρελαϊκού ΑΕΠ των ΗΑΕ και συγκαταλέγονται στους μεγαλύτερους τομείς υπηρεσιών της χώρας. Η συνολική αξία ενεργητικού του τραπεζικού συστήματος ξεπέρασε τα 5,34 τρις</w:t>
      </w:r>
      <w:r w:rsidRPr="00ED77C6">
        <w:rPr>
          <w:rFonts w:ascii="Arial Narrow" w:hAnsi="Arial Narrow" w:cs="Times New Roman"/>
          <w:sz w:val="24"/>
          <w:szCs w:val="24"/>
        </w:rPr>
        <w:t xml:space="preserve"> </w:t>
      </w:r>
      <w:r>
        <w:rPr>
          <w:rFonts w:ascii="Arial Narrow" w:hAnsi="Arial Narrow" w:cs="Times New Roman"/>
          <w:sz w:val="24"/>
          <w:szCs w:val="24"/>
          <w:lang w:val="en-US"/>
        </w:rPr>
        <w:t>AED</w:t>
      </w:r>
      <w:r w:rsidRPr="00ED77C6">
        <w:rPr>
          <w:rFonts w:ascii="Arial Narrow" w:hAnsi="Arial Narrow" w:cs="Times New Roman"/>
          <w:sz w:val="24"/>
          <w:szCs w:val="24"/>
        </w:rPr>
        <w:t xml:space="preserve"> (</w:t>
      </w:r>
      <w:r>
        <w:rPr>
          <w:rFonts w:ascii="Arial Narrow" w:hAnsi="Arial Narrow" w:cs="Times New Roman"/>
          <w:sz w:val="24"/>
          <w:szCs w:val="24"/>
        </w:rPr>
        <w:t>Ντίρχαμ – περίπου 1,45 τρις $</w:t>
      </w:r>
      <w:r w:rsidR="000A71D0">
        <w:rPr>
          <w:rFonts w:ascii="Arial Narrow" w:hAnsi="Arial Narrow" w:cs="Times New Roman"/>
          <w:sz w:val="24"/>
          <w:szCs w:val="24"/>
        </w:rPr>
        <w:t>) στο τέλος του 2025, σημειώνοντας ετήσια αύξηση περίπου 17%. Βασικά  μεγέθη για το 2025:</w:t>
      </w:r>
    </w:p>
    <w:p w14:paraId="270CD7AF" w14:textId="59FF7E26" w:rsidR="000A71D0" w:rsidRDefault="000A71D0" w:rsidP="000A71D0">
      <w:pPr>
        <w:pStyle w:val="ListParagraph"/>
        <w:numPr>
          <w:ilvl w:val="0"/>
          <w:numId w:val="29"/>
        </w:numPr>
        <w:jc w:val="both"/>
        <w:rPr>
          <w:rFonts w:ascii="Arial Narrow" w:hAnsi="Arial Narrow" w:cs="Times New Roman"/>
          <w:sz w:val="24"/>
          <w:szCs w:val="24"/>
        </w:rPr>
      </w:pPr>
      <w:r>
        <w:rPr>
          <w:rFonts w:ascii="Arial Narrow" w:hAnsi="Arial Narrow" w:cs="Times New Roman"/>
          <w:sz w:val="24"/>
          <w:szCs w:val="24"/>
        </w:rPr>
        <w:t xml:space="preserve">Συνολικά τραπεζικά ενεργητικά – μέγεθος έως 5,34 τρις </w:t>
      </w:r>
      <w:r>
        <w:rPr>
          <w:rFonts w:ascii="Arial Narrow" w:hAnsi="Arial Narrow" w:cs="Times New Roman"/>
          <w:sz w:val="24"/>
          <w:szCs w:val="24"/>
          <w:lang w:val="en-US"/>
        </w:rPr>
        <w:t>AED</w:t>
      </w:r>
      <w:r w:rsidRPr="000A71D0">
        <w:rPr>
          <w:rFonts w:ascii="Arial Narrow" w:hAnsi="Arial Narrow" w:cs="Times New Roman"/>
          <w:sz w:val="24"/>
          <w:szCs w:val="24"/>
        </w:rPr>
        <w:t xml:space="preserve"> (</w:t>
      </w:r>
      <w:r>
        <w:rPr>
          <w:rFonts w:ascii="Arial Narrow" w:hAnsi="Arial Narrow" w:cs="Times New Roman"/>
          <w:sz w:val="24"/>
          <w:szCs w:val="24"/>
        </w:rPr>
        <w:t>Ντίρχαμ)</w:t>
      </w:r>
    </w:p>
    <w:p w14:paraId="39974CC6" w14:textId="59090BB3" w:rsidR="000A71D0" w:rsidRDefault="000A71D0" w:rsidP="000A71D0">
      <w:pPr>
        <w:pStyle w:val="ListParagraph"/>
        <w:numPr>
          <w:ilvl w:val="0"/>
          <w:numId w:val="29"/>
        </w:numPr>
        <w:jc w:val="both"/>
        <w:rPr>
          <w:rFonts w:ascii="Arial Narrow" w:hAnsi="Arial Narrow" w:cs="Times New Roman"/>
          <w:sz w:val="24"/>
          <w:szCs w:val="24"/>
        </w:rPr>
      </w:pPr>
      <w:r>
        <w:rPr>
          <w:rFonts w:ascii="Arial Narrow" w:hAnsi="Arial Narrow" w:cs="Times New Roman"/>
          <w:sz w:val="24"/>
          <w:szCs w:val="24"/>
        </w:rPr>
        <w:t xml:space="preserve">Συνολικές καταθέσεις – μέγεθος 3,3 τρις </w:t>
      </w:r>
      <w:r>
        <w:rPr>
          <w:rFonts w:ascii="Arial Narrow" w:hAnsi="Arial Narrow" w:cs="Times New Roman"/>
          <w:sz w:val="24"/>
          <w:szCs w:val="24"/>
          <w:lang w:val="en-US"/>
        </w:rPr>
        <w:t>AED</w:t>
      </w:r>
      <w:r w:rsidRPr="000A71D0">
        <w:rPr>
          <w:rFonts w:ascii="Arial Narrow" w:hAnsi="Arial Narrow" w:cs="Times New Roman"/>
          <w:sz w:val="24"/>
          <w:szCs w:val="24"/>
        </w:rPr>
        <w:t xml:space="preserve"> (</w:t>
      </w:r>
      <w:r>
        <w:rPr>
          <w:rFonts w:ascii="Arial Narrow" w:hAnsi="Arial Narrow" w:cs="Times New Roman"/>
          <w:sz w:val="24"/>
          <w:szCs w:val="24"/>
        </w:rPr>
        <w:t>Ντίρχαμ)</w:t>
      </w:r>
    </w:p>
    <w:p w14:paraId="4B12A4F9" w14:textId="5096466F" w:rsidR="000A71D0" w:rsidRDefault="000A71D0" w:rsidP="000A71D0">
      <w:pPr>
        <w:pStyle w:val="ListParagraph"/>
        <w:numPr>
          <w:ilvl w:val="0"/>
          <w:numId w:val="29"/>
        </w:numPr>
        <w:jc w:val="both"/>
        <w:rPr>
          <w:rFonts w:ascii="Arial Narrow" w:hAnsi="Arial Narrow" w:cs="Times New Roman"/>
          <w:sz w:val="24"/>
          <w:szCs w:val="24"/>
        </w:rPr>
      </w:pPr>
      <w:r>
        <w:rPr>
          <w:rFonts w:ascii="Arial Narrow" w:hAnsi="Arial Narrow" w:cs="Times New Roman"/>
          <w:sz w:val="24"/>
          <w:szCs w:val="24"/>
        </w:rPr>
        <w:t xml:space="preserve">Συνολικά Δάνεια – μέγεθος 2,57 τρις </w:t>
      </w:r>
      <w:r>
        <w:rPr>
          <w:rFonts w:ascii="Arial Narrow" w:hAnsi="Arial Narrow" w:cs="Times New Roman"/>
          <w:sz w:val="24"/>
          <w:szCs w:val="24"/>
          <w:lang w:val="en-US"/>
        </w:rPr>
        <w:t>AED</w:t>
      </w:r>
      <w:r w:rsidRPr="000A71D0">
        <w:rPr>
          <w:rFonts w:ascii="Arial Narrow" w:hAnsi="Arial Narrow" w:cs="Times New Roman"/>
          <w:sz w:val="24"/>
          <w:szCs w:val="24"/>
        </w:rPr>
        <w:t xml:space="preserve"> (</w:t>
      </w:r>
      <w:r w:rsidR="003F08BD">
        <w:rPr>
          <w:rFonts w:ascii="Arial Narrow" w:hAnsi="Arial Narrow" w:cs="Times New Roman"/>
          <w:sz w:val="24"/>
          <w:szCs w:val="24"/>
        </w:rPr>
        <w:t>Ντίρχαμ)</w:t>
      </w:r>
    </w:p>
    <w:p w14:paraId="3018F51B" w14:textId="366D1CA4" w:rsidR="003F08BD" w:rsidRDefault="003F08BD" w:rsidP="000A71D0">
      <w:pPr>
        <w:pStyle w:val="ListParagraph"/>
        <w:numPr>
          <w:ilvl w:val="0"/>
          <w:numId w:val="29"/>
        </w:numPr>
        <w:jc w:val="both"/>
        <w:rPr>
          <w:rFonts w:ascii="Arial Narrow" w:hAnsi="Arial Narrow" w:cs="Times New Roman"/>
          <w:sz w:val="24"/>
          <w:szCs w:val="24"/>
        </w:rPr>
      </w:pPr>
      <w:r>
        <w:rPr>
          <w:rFonts w:ascii="Arial Narrow" w:hAnsi="Arial Narrow" w:cs="Times New Roman"/>
          <w:sz w:val="24"/>
          <w:szCs w:val="24"/>
        </w:rPr>
        <w:t>Ετήσια Αύξηση Ενεργητικού – μέγεθος 17,1%</w:t>
      </w:r>
    </w:p>
    <w:p w14:paraId="12F08C3C" w14:textId="4A10E84C" w:rsidR="003F08BD" w:rsidRDefault="003F08BD" w:rsidP="000A71D0">
      <w:pPr>
        <w:pStyle w:val="ListParagraph"/>
        <w:numPr>
          <w:ilvl w:val="0"/>
          <w:numId w:val="29"/>
        </w:numPr>
        <w:jc w:val="both"/>
        <w:rPr>
          <w:rFonts w:ascii="Arial Narrow" w:hAnsi="Arial Narrow" w:cs="Times New Roman"/>
          <w:sz w:val="24"/>
          <w:szCs w:val="24"/>
        </w:rPr>
      </w:pPr>
      <w:r>
        <w:rPr>
          <w:rFonts w:ascii="Arial Narrow" w:hAnsi="Arial Narrow" w:cs="Times New Roman"/>
          <w:sz w:val="24"/>
          <w:szCs w:val="24"/>
        </w:rPr>
        <w:t>Ετήσια Αύξηση Πιστώσεων – μέγεθος 17,9%</w:t>
      </w:r>
    </w:p>
    <w:p w14:paraId="6AD097BF" w14:textId="0122D1E0" w:rsidR="007119CA" w:rsidRPr="00331C65" w:rsidRDefault="00D75893" w:rsidP="003F08BD">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26.3. </w:t>
      </w:r>
      <w:r w:rsidR="003F08BD" w:rsidRPr="00331C65">
        <w:rPr>
          <w:rFonts w:ascii="Arial Narrow" w:hAnsi="Arial Narrow" w:cs="Times New Roman"/>
          <w:b/>
          <w:color w:val="4F81BD" w:themeColor="accent1"/>
          <w:sz w:val="24"/>
          <w:szCs w:val="24"/>
        </w:rPr>
        <w:t>Τραπεζικό Σύστημα</w:t>
      </w:r>
    </w:p>
    <w:p w14:paraId="5F929FF0" w14:textId="77777777" w:rsidR="007119CA" w:rsidRDefault="007119CA" w:rsidP="003F08BD">
      <w:pPr>
        <w:jc w:val="both"/>
        <w:rPr>
          <w:rFonts w:ascii="Arial Narrow" w:hAnsi="Arial Narrow" w:cs="Times New Roman"/>
          <w:sz w:val="24"/>
          <w:szCs w:val="24"/>
        </w:rPr>
      </w:pPr>
      <w:r>
        <w:rPr>
          <w:rFonts w:ascii="Arial Narrow" w:hAnsi="Arial Narrow" w:cs="Times New Roman"/>
          <w:sz w:val="24"/>
          <w:szCs w:val="24"/>
        </w:rPr>
        <w:t>Τα ΗΑΕ διαθέτουν ένα από τα ισχυρότερα τραπεζικά συστήματα. Η εποπτεία ασκείται από τη Κεντρική Τράπεζα τωη ΗΑΕ (</w:t>
      </w:r>
      <w:r>
        <w:rPr>
          <w:rFonts w:ascii="Arial Narrow" w:hAnsi="Arial Narrow" w:cs="Times New Roman"/>
          <w:sz w:val="24"/>
          <w:szCs w:val="24"/>
          <w:lang w:val="en-US"/>
        </w:rPr>
        <w:t>CENTRAL</w:t>
      </w:r>
      <w:r w:rsidRPr="007119CA">
        <w:rPr>
          <w:rFonts w:ascii="Arial Narrow" w:hAnsi="Arial Narrow" w:cs="Times New Roman"/>
          <w:sz w:val="24"/>
          <w:szCs w:val="24"/>
        </w:rPr>
        <w:t xml:space="preserve"> </w:t>
      </w:r>
      <w:r>
        <w:rPr>
          <w:rFonts w:ascii="Arial Narrow" w:hAnsi="Arial Narrow" w:cs="Times New Roman"/>
          <w:sz w:val="24"/>
          <w:szCs w:val="24"/>
          <w:lang w:val="en-US"/>
        </w:rPr>
        <w:t>BANK</w:t>
      </w:r>
      <w:r w:rsidRPr="007119CA">
        <w:rPr>
          <w:rFonts w:ascii="Arial Narrow" w:hAnsi="Arial Narrow" w:cs="Times New Roman"/>
          <w:sz w:val="24"/>
          <w:szCs w:val="24"/>
        </w:rPr>
        <w:t xml:space="preserve"> </w:t>
      </w:r>
      <w:r>
        <w:rPr>
          <w:rFonts w:ascii="Arial Narrow" w:hAnsi="Arial Narrow" w:cs="Times New Roman"/>
          <w:sz w:val="24"/>
          <w:szCs w:val="24"/>
          <w:lang w:val="en-US"/>
        </w:rPr>
        <w:t>OF</w:t>
      </w:r>
      <w:r w:rsidRPr="007119CA">
        <w:rPr>
          <w:rFonts w:ascii="Arial Narrow" w:hAnsi="Arial Narrow" w:cs="Times New Roman"/>
          <w:sz w:val="24"/>
          <w:szCs w:val="24"/>
        </w:rPr>
        <w:t xml:space="preserve"> </w:t>
      </w:r>
      <w:r>
        <w:rPr>
          <w:rFonts w:ascii="Arial Narrow" w:hAnsi="Arial Narrow" w:cs="Times New Roman"/>
          <w:sz w:val="24"/>
          <w:szCs w:val="24"/>
          <w:lang w:val="en-US"/>
        </w:rPr>
        <w:t>THE</w:t>
      </w:r>
      <w:r w:rsidRPr="007119CA">
        <w:rPr>
          <w:rFonts w:ascii="Arial Narrow" w:hAnsi="Arial Narrow" w:cs="Times New Roman"/>
          <w:sz w:val="24"/>
          <w:szCs w:val="24"/>
        </w:rPr>
        <w:t xml:space="preserve"> </w:t>
      </w:r>
      <w:r>
        <w:rPr>
          <w:rFonts w:ascii="Arial Narrow" w:hAnsi="Arial Narrow" w:cs="Times New Roman"/>
          <w:sz w:val="24"/>
          <w:szCs w:val="24"/>
          <w:lang w:val="en-US"/>
        </w:rPr>
        <w:t>UNITED</w:t>
      </w:r>
      <w:r w:rsidRPr="007119CA">
        <w:rPr>
          <w:rFonts w:ascii="Arial Narrow" w:hAnsi="Arial Narrow" w:cs="Times New Roman"/>
          <w:sz w:val="24"/>
          <w:szCs w:val="24"/>
        </w:rPr>
        <w:t xml:space="preserve"> </w:t>
      </w:r>
      <w:r>
        <w:rPr>
          <w:rFonts w:ascii="Arial Narrow" w:hAnsi="Arial Narrow" w:cs="Times New Roman"/>
          <w:sz w:val="24"/>
          <w:szCs w:val="24"/>
          <w:lang w:val="en-US"/>
        </w:rPr>
        <w:t>ARAB</w:t>
      </w:r>
      <w:r w:rsidRPr="007119CA">
        <w:rPr>
          <w:rFonts w:ascii="Arial Narrow" w:hAnsi="Arial Narrow" w:cs="Times New Roman"/>
          <w:sz w:val="24"/>
          <w:szCs w:val="24"/>
        </w:rPr>
        <w:t xml:space="preserve"> </w:t>
      </w:r>
      <w:r>
        <w:rPr>
          <w:rFonts w:ascii="Arial Narrow" w:hAnsi="Arial Narrow" w:cs="Times New Roman"/>
          <w:sz w:val="24"/>
          <w:szCs w:val="24"/>
          <w:lang w:val="en-US"/>
        </w:rPr>
        <w:t>EMIRATES</w:t>
      </w:r>
      <w:r w:rsidRPr="007119CA">
        <w:rPr>
          <w:rFonts w:ascii="Arial Narrow" w:hAnsi="Arial Narrow" w:cs="Times New Roman"/>
          <w:sz w:val="24"/>
          <w:szCs w:val="24"/>
        </w:rPr>
        <w:t xml:space="preserve">). </w:t>
      </w:r>
      <w:r>
        <w:rPr>
          <w:rFonts w:ascii="Arial Narrow" w:hAnsi="Arial Narrow" w:cs="Times New Roman"/>
          <w:sz w:val="24"/>
          <w:szCs w:val="24"/>
        </w:rPr>
        <w:t>Η Κεντρική Τράπεζα εφαρμόζει πλήρως:</w:t>
      </w:r>
    </w:p>
    <w:p w14:paraId="05AC8D18" w14:textId="04954C67" w:rsidR="003F08BD" w:rsidRPr="009B07B1" w:rsidRDefault="009B07B1" w:rsidP="007119CA">
      <w:pPr>
        <w:pStyle w:val="ListParagraph"/>
        <w:numPr>
          <w:ilvl w:val="0"/>
          <w:numId w:val="30"/>
        </w:numPr>
        <w:jc w:val="both"/>
        <w:rPr>
          <w:rFonts w:ascii="Arial Narrow" w:hAnsi="Arial Narrow" w:cs="Times New Roman"/>
          <w:sz w:val="24"/>
          <w:szCs w:val="24"/>
        </w:rPr>
      </w:pPr>
      <w:r w:rsidRPr="009B07B1">
        <w:rPr>
          <w:rFonts w:ascii="Arial Narrow" w:hAnsi="Arial Narrow" w:cs="Times New Roman"/>
          <w:sz w:val="24"/>
          <w:szCs w:val="24"/>
          <w:lang w:val="en-US"/>
        </w:rPr>
        <w:t>Basel III</w:t>
      </w:r>
    </w:p>
    <w:p w14:paraId="6EA0BDB1" w14:textId="75A0A21F" w:rsidR="009B07B1" w:rsidRPr="009B07B1" w:rsidRDefault="009B07B1" w:rsidP="007119CA">
      <w:pPr>
        <w:pStyle w:val="ListParagraph"/>
        <w:numPr>
          <w:ilvl w:val="0"/>
          <w:numId w:val="30"/>
        </w:numPr>
        <w:jc w:val="both"/>
        <w:rPr>
          <w:rFonts w:ascii="Arial Narrow" w:hAnsi="Arial Narrow" w:cs="Times New Roman"/>
          <w:sz w:val="24"/>
          <w:szCs w:val="24"/>
        </w:rPr>
      </w:pPr>
      <w:r w:rsidRPr="009B07B1">
        <w:rPr>
          <w:rFonts w:ascii="Arial Narrow" w:hAnsi="Arial Narrow" w:cs="Times New Roman"/>
          <w:sz w:val="24"/>
          <w:szCs w:val="24"/>
          <w:lang w:val="en-US"/>
        </w:rPr>
        <w:t>IFRS</w:t>
      </w:r>
    </w:p>
    <w:p w14:paraId="2E787E31" w14:textId="7488A8CA" w:rsidR="009B07B1" w:rsidRPr="009B07B1" w:rsidRDefault="009B07B1" w:rsidP="007119CA">
      <w:pPr>
        <w:pStyle w:val="ListParagraph"/>
        <w:numPr>
          <w:ilvl w:val="0"/>
          <w:numId w:val="30"/>
        </w:numPr>
        <w:jc w:val="both"/>
        <w:rPr>
          <w:rFonts w:ascii="Arial Narrow" w:hAnsi="Arial Narrow" w:cs="Times New Roman"/>
          <w:sz w:val="24"/>
          <w:szCs w:val="24"/>
        </w:rPr>
      </w:pPr>
      <w:r>
        <w:rPr>
          <w:rFonts w:ascii="Arial Narrow" w:hAnsi="Arial Narrow" w:cs="Times New Roman"/>
          <w:sz w:val="24"/>
          <w:szCs w:val="24"/>
          <w:lang w:val="en-US"/>
        </w:rPr>
        <w:t>FATF Standards</w:t>
      </w:r>
    </w:p>
    <w:p w14:paraId="39C042DF" w14:textId="1DF6BA4D" w:rsidR="009B07B1" w:rsidRPr="009B07B1" w:rsidRDefault="009B07B1" w:rsidP="007119CA">
      <w:pPr>
        <w:pStyle w:val="ListParagraph"/>
        <w:numPr>
          <w:ilvl w:val="0"/>
          <w:numId w:val="30"/>
        </w:numPr>
        <w:jc w:val="both"/>
        <w:rPr>
          <w:rFonts w:ascii="Arial Narrow" w:hAnsi="Arial Narrow" w:cs="Times New Roman"/>
          <w:sz w:val="24"/>
          <w:szCs w:val="24"/>
        </w:rPr>
      </w:pPr>
      <w:r>
        <w:rPr>
          <w:rFonts w:ascii="Arial Narrow" w:hAnsi="Arial Narrow" w:cs="Times New Roman"/>
          <w:sz w:val="24"/>
          <w:szCs w:val="24"/>
          <w:lang w:val="en-US"/>
        </w:rPr>
        <w:t>AML/CFT Frameworks</w:t>
      </w:r>
    </w:p>
    <w:p w14:paraId="1D55E734" w14:textId="318A0C52" w:rsidR="009B07B1" w:rsidRDefault="00A51660" w:rsidP="007119CA">
      <w:pPr>
        <w:pStyle w:val="ListParagraph"/>
        <w:numPr>
          <w:ilvl w:val="0"/>
          <w:numId w:val="30"/>
        </w:numPr>
        <w:jc w:val="both"/>
        <w:rPr>
          <w:rFonts w:ascii="Arial Narrow" w:hAnsi="Arial Narrow" w:cs="Times New Roman"/>
          <w:sz w:val="24"/>
          <w:szCs w:val="24"/>
        </w:rPr>
      </w:pPr>
      <w:r>
        <w:rPr>
          <w:rFonts w:ascii="Arial Narrow" w:hAnsi="Arial Narrow" w:cs="Times New Roman"/>
          <w:sz w:val="24"/>
          <w:szCs w:val="24"/>
        </w:rPr>
        <w:t>Μεγαλύτερες</w:t>
      </w:r>
      <w:r w:rsidRPr="00A51660">
        <w:rPr>
          <w:rFonts w:ascii="Arial Narrow" w:hAnsi="Arial Narrow" w:cs="Times New Roman"/>
          <w:sz w:val="24"/>
          <w:szCs w:val="24"/>
          <w:lang w:val="en-AE"/>
        </w:rPr>
        <w:t xml:space="preserve"> </w:t>
      </w:r>
      <w:r>
        <w:rPr>
          <w:rFonts w:ascii="Arial Narrow" w:hAnsi="Arial Narrow" w:cs="Times New Roman"/>
          <w:sz w:val="24"/>
          <w:szCs w:val="24"/>
        </w:rPr>
        <w:t>τράπεζες</w:t>
      </w:r>
      <w:r w:rsidRPr="00A51660">
        <w:rPr>
          <w:rFonts w:ascii="Arial Narrow" w:hAnsi="Arial Narrow" w:cs="Times New Roman"/>
          <w:sz w:val="24"/>
          <w:szCs w:val="24"/>
          <w:lang w:val="en-AE"/>
        </w:rPr>
        <w:t xml:space="preserve">: </w:t>
      </w:r>
      <w:r>
        <w:rPr>
          <w:rFonts w:ascii="Arial Narrow" w:hAnsi="Arial Narrow" w:cs="Times New Roman"/>
          <w:sz w:val="24"/>
          <w:szCs w:val="24"/>
          <w:lang w:val="en-US"/>
        </w:rPr>
        <w:t>FIRST</w:t>
      </w:r>
      <w:r w:rsidRPr="00A51660">
        <w:rPr>
          <w:rFonts w:ascii="Arial Narrow" w:hAnsi="Arial Narrow" w:cs="Times New Roman"/>
          <w:sz w:val="24"/>
          <w:szCs w:val="24"/>
          <w:lang w:val="en-AE"/>
        </w:rPr>
        <w:t xml:space="preserve"> </w:t>
      </w:r>
      <w:r>
        <w:rPr>
          <w:rFonts w:ascii="Arial Narrow" w:hAnsi="Arial Narrow" w:cs="Times New Roman"/>
          <w:sz w:val="24"/>
          <w:szCs w:val="24"/>
          <w:lang w:val="en-US"/>
        </w:rPr>
        <w:t>ABU</w:t>
      </w:r>
      <w:r w:rsidRPr="00A51660">
        <w:rPr>
          <w:rFonts w:ascii="Arial Narrow" w:hAnsi="Arial Narrow" w:cs="Times New Roman"/>
          <w:sz w:val="24"/>
          <w:szCs w:val="24"/>
          <w:lang w:val="en-AE"/>
        </w:rPr>
        <w:t xml:space="preserve"> </w:t>
      </w:r>
      <w:r>
        <w:rPr>
          <w:rFonts w:ascii="Arial Narrow" w:hAnsi="Arial Narrow" w:cs="Times New Roman"/>
          <w:sz w:val="24"/>
          <w:szCs w:val="24"/>
          <w:lang w:val="en-US"/>
        </w:rPr>
        <w:t>DHABI</w:t>
      </w:r>
      <w:r w:rsidRPr="00A51660">
        <w:rPr>
          <w:rFonts w:ascii="Arial Narrow" w:hAnsi="Arial Narrow" w:cs="Times New Roman"/>
          <w:sz w:val="24"/>
          <w:szCs w:val="24"/>
          <w:lang w:val="en-AE"/>
        </w:rPr>
        <w:t xml:space="preserve"> </w:t>
      </w:r>
      <w:r>
        <w:rPr>
          <w:rFonts w:ascii="Arial Narrow" w:hAnsi="Arial Narrow" w:cs="Times New Roman"/>
          <w:sz w:val="24"/>
          <w:szCs w:val="24"/>
          <w:lang w:val="en-US"/>
        </w:rPr>
        <w:t>BANK</w:t>
      </w:r>
      <w:r w:rsidRPr="00A51660">
        <w:rPr>
          <w:rFonts w:ascii="Arial Narrow" w:hAnsi="Arial Narrow" w:cs="Times New Roman"/>
          <w:sz w:val="24"/>
          <w:szCs w:val="24"/>
          <w:lang w:val="en-AE"/>
        </w:rPr>
        <w:t xml:space="preserve">, </w:t>
      </w:r>
      <w:r>
        <w:rPr>
          <w:rFonts w:ascii="Arial Narrow" w:hAnsi="Arial Narrow" w:cs="Times New Roman"/>
          <w:sz w:val="24"/>
          <w:szCs w:val="24"/>
          <w:lang w:val="en-US"/>
        </w:rPr>
        <w:t>EMIRATES</w:t>
      </w:r>
      <w:r w:rsidRPr="00A51660">
        <w:rPr>
          <w:rFonts w:ascii="Arial Narrow" w:hAnsi="Arial Narrow" w:cs="Times New Roman"/>
          <w:sz w:val="24"/>
          <w:szCs w:val="24"/>
          <w:lang w:val="en-AE"/>
        </w:rPr>
        <w:t xml:space="preserve"> </w:t>
      </w:r>
      <w:r>
        <w:rPr>
          <w:rFonts w:ascii="Arial Narrow" w:hAnsi="Arial Narrow" w:cs="Times New Roman"/>
          <w:sz w:val="24"/>
          <w:szCs w:val="24"/>
          <w:lang w:val="en-US"/>
        </w:rPr>
        <w:t>NBD</w:t>
      </w:r>
      <w:r w:rsidRPr="00A51660">
        <w:rPr>
          <w:rFonts w:ascii="Arial Narrow" w:hAnsi="Arial Narrow" w:cs="Times New Roman"/>
          <w:sz w:val="24"/>
          <w:szCs w:val="24"/>
          <w:lang w:val="en-AE"/>
        </w:rPr>
        <w:t xml:space="preserve">, </w:t>
      </w:r>
      <w:r>
        <w:rPr>
          <w:rFonts w:ascii="Arial Narrow" w:hAnsi="Arial Narrow" w:cs="Times New Roman"/>
          <w:sz w:val="24"/>
          <w:szCs w:val="24"/>
          <w:lang w:val="en-US"/>
        </w:rPr>
        <w:t>ABU</w:t>
      </w:r>
      <w:r w:rsidRPr="00A51660">
        <w:rPr>
          <w:rFonts w:ascii="Arial Narrow" w:hAnsi="Arial Narrow" w:cs="Times New Roman"/>
          <w:sz w:val="24"/>
          <w:szCs w:val="24"/>
          <w:lang w:val="en-AE"/>
        </w:rPr>
        <w:t xml:space="preserve"> </w:t>
      </w:r>
      <w:r>
        <w:rPr>
          <w:rFonts w:ascii="Arial Narrow" w:hAnsi="Arial Narrow" w:cs="Times New Roman"/>
          <w:sz w:val="24"/>
          <w:szCs w:val="24"/>
          <w:lang w:val="en-US"/>
        </w:rPr>
        <w:t>DHABI</w:t>
      </w:r>
      <w:r w:rsidRPr="00A51660">
        <w:rPr>
          <w:rFonts w:ascii="Arial Narrow" w:hAnsi="Arial Narrow" w:cs="Times New Roman"/>
          <w:sz w:val="24"/>
          <w:szCs w:val="24"/>
          <w:lang w:val="en-AE"/>
        </w:rPr>
        <w:t xml:space="preserve"> </w:t>
      </w:r>
      <w:r>
        <w:rPr>
          <w:rFonts w:ascii="Arial Narrow" w:hAnsi="Arial Narrow" w:cs="Times New Roman"/>
          <w:sz w:val="24"/>
          <w:szCs w:val="24"/>
          <w:lang w:val="en-US"/>
        </w:rPr>
        <w:t xml:space="preserve">COMMERCIAL BANK, DUBAI ISLAMIC BANK &amp; ABU DHABI ISLAMIC BANK. </w:t>
      </w:r>
      <w:r>
        <w:rPr>
          <w:rFonts w:ascii="Arial Narrow" w:hAnsi="Arial Narrow" w:cs="Times New Roman"/>
          <w:sz w:val="24"/>
          <w:szCs w:val="24"/>
        </w:rPr>
        <w:t>Οι πέντε αυτές μεγαλύτερες τράπεζες κατέχουν περισσότερο από το 60% των συνολικών τραπεζικών στοιχείων ενεργητικού της χώρας</w:t>
      </w:r>
    </w:p>
    <w:p w14:paraId="79AA4B7D" w14:textId="5D9B0276" w:rsidR="00A51660" w:rsidRPr="00331C65" w:rsidRDefault="00D75893" w:rsidP="00A51660">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26.4. </w:t>
      </w:r>
      <w:r w:rsidR="00A51660" w:rsidRPr="00331C65">
        <w:rPr>
          <w:rFonts w:ascii="Arial Narrow" w:hAnsi="Arial Narrow" w:cs="Times New Roman"/>
          <w:b/>
          <w:color w:val="4F81BD" w:themeColor="accent1"/>
          <w:sz w:val="24"/>
          <w:szCs w:val="24"/>
        </w:rPr>
        <w:t xml:space="preserve"> Ισλαμική Τραπεζική</w:t>
      </w:r>
    </w:p>
    <w:p w14:paraId="48E3A4AF" w14:textId="77777777" w:rsidR="00E81F99" w:rsidRDefault="00A51660" w:rsidP="00A51660">
      <w:pPr>
        <w:jc w:val="both"/>
        <w:rPr>
          <w:rFonts w:ascii="Arial Narrow" w:hAnsi="Arial Narrow" w:cs="Times New Roman"/>
          <w:sz w:val="24"/>
          <w:szCs w:val="24"/>
        </w:rPr>
      </w:pPr>
      <w:r>
        <w:rPr>
          <w:rFonts w:ascii="Arial Narrow" w:hAnsi="Arial Narrow" w:cs="Times New Roman"/>
          <w:sz w:val="24"/>
          <w:szCs w:val="24"/>
        </w:rPr>
        <w:t>Τα ΗΑΕ είναι παγκόσμιος ηγέτης στην Ισλαμική Χρηματοδότηση. Κύρια χαρακτηριστικά είναι η χρηματοδότηση χωρίς τόκο (</w:t>
      </w:r>
      <w:r w:rsidR="005872EE">
        <w:rPr>
          <w:rFonts w:ascii="Arial Narrow" w:hAnsi="Arial Narrow" w:cs="Times New Roman"/>
          <w:sz w:val="24"/>
          <w:szCs w:val="24"/>
          <w:lang w:val="en-US"/>
        </w:rPr>
        <w:t>Riba</w:t>
      </w:r>
      <w:r w:rsidR="005872EE" w:rsidRPr="005872EE">
        <w:rPr>
          <w:rFonts w:ascii="Arial Narrow" w:hAnsi="Arial Narrow" w:cs="Times New Roman"/>
          <w:sz w:val="24"/>
          <w:szCs w:val="24"/>
        </w:rPr>
        <w:t xml:space="preserve">), </w:t>
      </w:r>
      <w:r w:rsidR="005872EE">
        <w:rPr>
          <w:rFonts w:ascii="Arial Narrow" w:hAnsi="Arial Narrow" w:cs="Times New Roman"/>
          <w:sz w:val="24"/>
          <w:szCs w:val="24"/>
        </w:rPr>
        <w:t xml:space="preserve">η συμμετοχή σε κέρδη και ζημίες, οι συμβάσεις </w:t>
      </w:r>
      <w:r w:rsidR="005872EE">
        <w:rPr>
          <w:rFonts w:ascii="Arial Narrow" w:hAnsi="Arial Narrow" w:cs="Times New Roman"/>
          <w:sz w:val="24"/>
          <w:szCs w:val="24"/>
          <w:lang w:val="en-US"/>
        </w:rPr>
        <w:t>Murabacha</w:t>
      </w:r>
      <w:r w:rsidR="005872EE" w:rsidRPr="005872EE">
        <w:rPr>
          <w:rFonts w:ascii="Arial Narrow" w:hAnsi="Arial Narrow" w:cs="Times New Roman"/>
          <w:sz w:val="24"/>
          <w:szCs w:val="24"/>
        </w:rPr>
        <w:t xml:space="preserve"> &amp; </w:t>
      </w:r>
      <w:r w:rsidR="005872EE">
        <w:rPr>
          <w:rFonts w:ascii="Arial Narrow" w:hAnsi="Arial Narrow" w:cs="Times New Roman"/>
          <w:sz w:val="24"/>
          <w:szCs w:val="24"/>
        </w:rPr>
        <w:t xml:space="preserve">τα ισλαμικά ομόλογα </w:t>
      </w:r>
      <w:r w:rsidR="005872EE">
        <w:rPr>
          <w:rFonts w:ascii="Arial Narrow" w:hAnsi="Arial Narrow" w:cs="Times New Roman"/>
          <w:sz w:val="24"/>
          <w:szCs w:val="24"/>
          <w:lang w:val="en-US"/>
        </w:rPr>
        <w:t>Sukuk</w:t>
      </w:r>
      <w:r w:rsidR="005872EE" w:rsidRPr="005872EE">
        <w:rPr>
          <w:rFonts w:ascii="Arial Narrow" w:hAnsi="Arial Narrow" w:cs="Times New Roman"/>
          <w:sz w:val="24"/>
          <w:szCs w:val="24"/>
        </w:rPr>
        <w:t xml:space="preserve">. </w:t>
      </w:r>
      <w:r w:rsidR="005872EE">
        <w:rPr>
          <w:rFonts w:ascii="Arial Narrow" w:hAnsi="Arial Narrow" w:cs="Times New Roman"/>
          <w:sz w:val="24"/>
          <w:szCs w:val="24"/>
        </w:rPr>
        <w:t xml:space="preserve">Οι ισλαμικές τράπεζες διαχειρίζονται περίπου το 20% έως 25% των τραπεζικών περιουσιακών στοιχείων της χώρας. Κορυφαίοι οργανισμοί είναι </w:t>
      </w:r>
      <w:r w:rsidR="005872EE">
        <w:rPr>
          <w:rFonts w:ascii="Arial Narrow" w:hAnsi="Arial Narrow" w:cs="Times New Roman"/>
          <w:sz w:val="24"/>
          <w:szCs w:val="24"/>
          <w:lang w:val="en-US"/>
        </w:rPr>
        <w:t>DUBAI</w:t>
      </w:r>
      <w:r w:rsidR="005872EE" w:rsidRPr="005872EE">
        <w:rPr>
          <w:rFonts w:ascii="Arial Narrow" w:hAnsi="Arial Narrow" w:cs="Times New Roman"/>
          <w:sz w:val="24"/>
          <w:szCs w:val="24"/>
        </w:rPr>
        <w:t xml:space="preserve"> </w:t>
      </w:r>
      <w:r w:rsidR="005872EE">
        <w:rPr>
          <w:rFonts w:ascii="Arial Narrow" w:hAnsi="Arial Narrow" w:cs="Times New Roman"/>
          <w:sz w:val="24"/>
          <w:szCs w:val="24"/>
          <w:lang w:val="en-US"/>
        </w:rPr>
        <w:t>ISLAMIC</w:t>
      </w:r>
      <w:r w:rsidR="005872EE" w:rsidRPr="005872EE">
        <w:rPr>
          <w:rFonts w:ascii="Arial Narrow" w:hAnsi="Arial Narrow" w:cs="Times New Roman"/>
          <w:sz w:val="24"/>
          <w:szCs w:val="24"/>
        </w:rPr>
        <w:t xml:space="preserve"> </w:t>
      </w:r>
      <w:r w:rsidR="005872EE">
        <w:rPr>
          <w:rFonts w:ascii="Arial Narrow" w:hAnsi="Arial Narrow" w:cs="Times New Roman"/>
          <w:sz w:val="24"/>
          <w:szCs w:val="24"/>
          <w:lang w:val="en-US"/>
        </w:rPr>
        <w:t>BANK</w:t>
      </w:r>
      <w:r w:rsidR="005872EE" w:rsidRPr="005872EE">
        <w:rPr>
          <w:rFonts w:ascii="Arial Narrow" w:hAnsi="Arial Narrow" w:cs="Times New Roman"/>
          <w:sz w:val="24"/>
          <w:szCs w:val="24"/>
        </w:rPr>
        <w:t xml:space="preserve">, </w:t>
      </w:r>
      <w:r w:rsidR="005872EE">
        <w:rPr>
          <w:rFonts w:ascii="Arial Narrow" w:hAnsi="Arial Narrow" w:cs="Times New Roman"/>
          <w:sz w:val="24"/>
          <w:szCs w:val="24"/>
          <w:lang w:val="en-US"/>
        </w:rPr>
        <w:t>ABU</w:t>
      </w:r>
      <w:r w:rsidR="005872EE" w:rsidRPr="005872EE">
        <w:rPr>
          <w:rFonts w:ascii="Arial Narrow" w:hAnsi="Arial Narrow" w:cs="Times New Roman"/>
          <w:sz w:val="24"/>
          <w:szCs w:val="24"/>
        </w:rPr>
        <w:t xml:space="preserve"> </w:t>
      </w:r>
      <w:r w:rsidR="005872EE">
        <w:rPr>
          <w:rFonts w:ascii="Arial Narrow" w:hAnsi="Arial Narrow" w:cs="Times New Roman"/>
          <w:sz w:val="24"/>
          <w:szCs w:val="24"/>
          <w:lang w:val="en-US"/>
        </w:rPr>
        <w:t>DHABI</w:t>
      </w:r>
      <w:r w:rsidR="005872EE" w:rsidRPr="005872EE">
        <w:rPr>
          <w:rFonts w:ascii="Arial Narrow" w:hAnsi="Arial Narrow" w:cs="Times New Roman"/>
          <w:sz w:val="24"/>
          <w:szCs w:val="24"/>
        </w:rPr>
        <w:t xml:space="preserve"> </w:t>
      </w:r>
      <w:r w:rsidR="005872EE">
        <w:rPr>
          <w:rFonts w:ascii="Arial Narrow" w:hAnsi="Arial Narrow" w:cs="Times New Roman"/>
          <w:sz w:val="24"/>
          <w:szCs w:val="24"/>
          <w:lang w:val="en-US"/>
        </w:rPr>
        <w:t>ISLAMIC</w:t>
      </w:r>
      <w:r w:rsidR="005872EE" w:rsidRPr="005872EE">
        <w:rPr>
          <w:rFonts w:ascii="Arial Narrow" w:hAnsi="Arial Narrow" w:cs="Times New Roman"/>
          <w:sz w:val="24"/>
          <w:szCs w:val="24"/>
        </w:rPr>
        <w:t xml:space="preserve"> </w:t>
      </w:r>
      <w:r w:rsidR="005872EE">
        <w:rPr>
          <w:rFonts w:ascii="Arial Narrow" w:hAnsi="Arial Narrow" w:cs="Times New Roman"/>
          <w:sz w:val="24"/>
          <w:szCs w:val="24"/>
          <w:lang w:val="en-US"/>
        </w:rPr>
        <w:t>BANK</w:t>
      </w:r>
      <w:r w:rsidR="005872EE" w:rsidRPr="005872EE">
        <w:rPr>
          <w:rFonts w:ascii="Arial Narrow" w:hAnsi="Arial Narrow" w:cs="Times New Roman"/>
          <w:sz w:val="24"/>
          <w:szCs w:val="24"/>
        </w:rPr>
        <w:t xml:space="preserve"> &amp; </w:t>
      </w:r>
      <w:r w:rsidR="005872EE">
        <w:rPr>
          <w:rFonts w:ascii="Arial Narrow" w:hAnsi="Arial Narrow" w:cs="Times New Roman"/>
          <w:sz w:val="24"/>
          <w:szCs w:val="24"/>
          <w:lang w:val="en-US"/>
        </w:rPr>
        <w:t>SHARJA</w:t>
      </w:r>
      <w:r w:rsidR="005872EE" w:rsidRPr="005872EE">
        <w:rPr>
          <w:rFonts w:ascii="Arial Narrow" w:hAnsi="Arial Narrow" w:cs="Times New Roman"/>
          <w:sz w:val="24"/>
          <w:szCs w:val="24"/>
        </w:rPr>
        <w:t xml:space="preserve"> </w:t>
      </w:r>
      <w:r w:rsidR="005872EE">
        <w:rPr>
          <w:rFonts w:ascii="Arial Narrow" w:hAnsi="Arial Narrow" w:cs="Times New Roman"/>
          <w:sz w:val="24"/>
          <w:szCs w:val="24"/>
          <w:lang w:val="en-US"/>
        </w:rPr>
        <w:t>ISLAMIC</w:t>
      </w:r>
      <w:r w:rsidR="005872EE" w:rsidRPr="005872EE">
        <w:rPr>
          <w:rFonts w:ascii="Arial Narrow" w:hAnsi="Arial Narrow" w:cs="Times New Roman"/>
          <w:sz w:val="24"/>
          <w:szCs w:val="24"/>
        </w:rPr>
        <w:t xml:space="preserve"> </w:t>
      </w:r>
      <w:r w:rsidR="005872EE">
        <w:rPr>
          <w:rFonts w:ascii="Arial Narrow" w:hAnsi="Arial Narrow" w:cs="Times New Roman"/>
          <w:sz w:val="24"/>
          <w:szCs w:val="24"/>
          <w:lang w:val="en-US"/>
        </w:rPr>
        <w:t>BANK</w:t>
      </w:r>
      <w:r w:rsidR="00E81F99" w:rsidRPr="00E81F99">
        <w:rPr>
          <w:rFonts w:ascii="Arial Narrow" w:hAnsi="Arial Narrow" w:cs="Times New Roman"/>
          <w:sz w:val="24"/>
          <w:szCs w:val="24"/>
        </w:rPr>
        <w:t>.</w:t>
      </w:r>
    </w:p>
    <w:p w14:paraId="50112243" w14:textId="6B63D64C" w:rsidR="000568F7" w:rsidRPr="00331C65" w:rsidRDefault="00D75893" w:rsidP="00A51660">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26.5. </w:t>
      </w:r>
      <w:r w:rsidR="000568F7" w:rsidRPr="00331C65">
        <w:rPr>
          <w:rFonts w:ascii="Arial Narrow" w:hAnsi="Arial Narrow" w:cs="Times New Roman"/>
          <w:b/>
          <w:color w:val="4F81BD" w:themeColor="accent1"/>
          <w:sz w:val="24"/>
          <w:szCs w:val="24"/>
        </w:rPr>
        <w:t>Διεθνή Χρηματοοικονομικά Κέντρα</w:t>
      </w:r>
    </w:p>
    <w:p w14:paraId="04F7B9B1" w14:textId="77777777" w:rsidR="000568F7" w:rsidRDefault="000568F7" w:rsidP="00A51660">
      <w:pPr>
        <w:jc w:val="both"/>
        <w:rPr>
          <w:rFonts w:ascii="Arial Narrow" w:hAnsi="Arial Narrow" w:cs="Times New Roman"/>
          <w:sz w:val="24"/>
          <w:szCs w:val="24"/>
        </w:rPr>
      </w:pPr>
      <w:r w:rsidRPr="00331C65">
        <w:rPr>
          <w:rFonts w:ascii="Arial Narrow" w:hAnsi="Arial Narrow" w:cs="Times New Roman"/>
          <w:color w:val="4F81BD" w:themeColor="accent1"/>
          <w:sz w:val="24"/>
          <w:szCs w:val="24"/>
          <w:lang w:val="en-US"/>
        </w:rPr>
        <w:t>DUBAI</w:t>
      </w:r>
      <w:r w:rsidRPr="00331C65">
        <w:rPr>
          <w:rFonts w:ascii="Arial Narrow" w:hAnsi="Arial Narrow" w:cs="Times New Roman"/>
          <w:color w:val="4F81BD" w:themeColor="accent1"/>
          <w:sz w:val="24"/>
          <w:szCs w:val="24"/>
        </w:rPr>
        <w:t xml:space="preserve"> </w:t>
      </w:r>
      <w:r w:rsidRPr="00331C65">
        <w:rPr>
          <w:rFonts w:ascii="Arial Narrow" w:hAnsi="Arial Narrow" w:cs="Times New Roman"/>
          <w:color w:val="4F81BD" w:themeColor="accent1"/>
          <w:sz w:val="24"/>
          <w:szCs w:val="24"/>
          <w:lang w:val="en-US"/>
        </w:rPr>
        <w:t>INTERNATIONAL</w:t>
      </w:r>
      <w:r w:rsidRPr="00331C65">
        <w:rPr>
          <w:rFonts w:ascii="Arial Narrow" w:hAnsi="Arial Narrow" w:cs="Times New Roman"/>
          <w:color w:val="4F81BD" w:themeColor="accent1"/>
          <w:sz w:val="24"/>
          <w:szCs w:val="24"/>
        </w:rPr>
        <w:t xml:space="preserve"> </w:t>
      </w:r>
      <w:r w:rsidRPr="00331C65">
        <w:rPr>
          <w:rFonts w:ascii="Arial Narrow" w:hAnsi="Arial Narrow" w:cs="Times New Roman"/>
          <w:color w:val="4F81BD" w:themeColor="accent1"/>
          <w:sz w:val="24"/>
          <w:szCs w:val="24"/>
          <w:lang w:val="en-US"/>
        </w:rPr>
        <w:t>FINANCIAL</w:t>
      </w:r>
      <w:r w:rsidRPr="00331C65">
        <w:rPr>
          <w:rFonts w:ascii="Arial Narrow" w:hAnsi="Arial Narrow" w:cs="Times New Roman"/>
          <w:color w:val="4F81BD" w:themeColor="accent1"/>
          <w:sz w:val="24"/>
          <w:szCs w:val="24"/>
        </w:rPr>
        <w:t xml:space="preserve"> </w:t>
      </w:r>
      <w:r w:rsidRPr="00331C65">
        <w:rPr>
          <w:rFonts w:ascii="Arial Narrow" w:hAnsi="Arial Narrow" w:cs="Times New Roman"/>
          <w:color w:val="4F81BD" w:themeColor="accent1"/>
          <w:sz w:val="24"/>
          <w:szCs w:val="24"/>
          <w:lang w:val="en-US"/>
        </w:rPr>
        <w:t>CENTRE</w:t>
      </w:r>
      <w:r w:rsidRPr="00331C65">
        <w:rPr>
          <w:rFonts w:ascii="Arial Narrow" w:hAnsi="Arial Narrow" w:cs="Times New Roman"/>
          <w:color w:val="4F81BD" w:themeColor="accent1"/>
          <w:sz w:val="24"/>
          <w:szCs w:val="24"/>
        </w:rPr>
        <w:t xml:space="preserve"> (</w:t>
      </w:r>
      <w:r w:rsidRPr="00331C65">
        <w:rPr>
          <w:rFonts w:ascii="Arial Narrow" w:hAnsi="Arial Narrow" w:cs="Times New Roman"/>
          <w:color w:val="4F81BD" w:themeColor="accent1"/>
          <w:sz w:val="24"/>
          <w:szCs w:val="24"/>
          <w:lang w:val="en-US"/>
        </w:rPr>
        <w:t>DIFC</w:t>
      </w:r>
      <w:r w:rsidRPr="00331C65">
        <w:rPr>
          <w:rFonts w:ascii="Arial Narrow" w:hAnsi="Arial Narrow" w:cs="Times New Roman"/>
          <w:color w:val="4F81BD" w:themeColor="accent1"/>
          <w:sz w:val="24"/>
          <w:szCs w:val="24"/>
        </w:rPr>
        <w:t xml:space="preserve">): </w:t>
      </w:r>
      <w:r>
        <w:rPr>
          <w:rFonts w:ascii="Arial Narrow" w:hAnsi="Arial Narrow" w:cs="Times New Roman"/>
          <w:sz w:val="24"/>
          <w:szCs w:val="24"/>
        </w:rPr>
        <w:t>αποτελεί</w:t>
      </w:r>
      <w:r w:rsidRPr="000568F7">
        <w:rPr>
          <w:rFonts w:ascii="Arial Narrow" w:hAnsi="Arial Narrow" w:cs="Times New Roman"/>
          <w:sz w:val="24"/>
          <w:szCs w:val="24"/>
        </w:rPr>
        <w:t xml:space="preserve"> </w:t>
      </w:r>
      <w:r>
        <w:rPr>
          <w:rFonts w:ascii="Arial Narrow" w:hAnsi="Arial Narrow" w:cs="Times New Roman"/>
          <w:sz w:val="24"/>
          <w:szCs w:val="24"/>
        </w:rPr>
        <w:t>το</w:t>
      </w:r>
      <w:r w:rsidRPr="000568F7">
        <w:rPr>
          <w:rFonts w:ascii="Arial Narrow" w:hAnsi="Arial Narrow" w:cs="Times New Roman"/>
          <w:sz w:val="24"/>
          <w:szCs w:val="24"/>
        </w:rPr>
        <w:t xml:space="preserve"> </w:t>
      </w:r>
      <w:r>
        <w:rPr>
          <w:rFonts w:ascii="Arial Narrow" w:hAnsi="Arial Narrow" w:cs="Times New Roman"/>
          <w:sz w:val="24"/>
          <w:szCs w:val="24"/>
        </w:rPr>
        <w:t>σημαντικότερο</w:t>
      </w:r>
      <w:r w:rsidRPr="000568F7">
        <w:rPr>
          <w:rFonts w:ascii="Arial Narrow" w:hAnsi="Arial Narrow" w:cs="Times New Roman"/>
          <w:sz w:val="24"/>
          <w:szCs w:val="24"/>
        </w:rPr>
        <w:t xml:space="preserve"> </w:t>
      </w:r>
      <w:r>
        <w:rPr>
          <w:rFonts w:ascii="Arial Narrow" w:hAnsi="Arial Narrow" w:cs="Times New Roman"/>
          <w:sz w:val="24"/>
          <w:szCs w:val="24"/>
        </w:rPr>
        <w:t>διεθνές χρηματοοικονομικό κέντρο της Μέσης Ανατολής και φιλοξενεί περισσότερες από 7.000 επιχειρήσεις, παγκόσμιες τράπεζες, ασφαλιστικές εταιρείες, επενδυτικά κεφάλαια και εταιρείες</w:t>
      </w:r>
      <w:r w:rsidRPr="000568F7">
        <w:rPr>
          <w:rFonts w:ascii="Arial Narrow" w:hAnsi="Arial Narrow" w:cs="Times New Roman"/>
          <w:sz w:val="24"/>
          <w:szCs w:val="24"/>
        </w:rPr>
        <w:t xml:space="preserve"> </w:t>
      </w:r>
      <w:r>
        <w:rPr>
          <w:rFonts w:ascii="Arial Narrow" w:hAnsi="Arial Narrow" w:cs="Times New Roman"/>
          <w:sz w:val="24"/>
          <w:szCs w:val="24"/>
          <w:lang w:val="en-US"/>
        </w:rPr>
        <w:t>FinTech</w:t>
      </w:r>
      <w:r w:rsidRPr="000568F7">
        <w:rPr>
          <w:rFonts w:ascii="Arial Narrow" w:hAnsi="Arial Narrow" w:cs="Times New Roman"/>
          <w:sz w:val="24"/>
          <w:szCs w:val="24"/>
        </w:rPr>
        <w:t xml:space="preserve">. </w:t>
      </w:r>
    </w:p>
    <w:p w14:paraId="01047095" w14:textId="77777777" w:rsidR="000568F7" w:rsidRDefault="000568F7" w:rsidP="00A51660">
      <w:pPr>
        <w:jc w:val="both"/>
        <w:rPr>
          <w:rFonts w:ascii="Arial Narrow" w:hAnsi="Arial Narrow" w:cs="Times New Roman"/>
          <w:sz w:val="24"/>
          <w:szCs w:val="24"/>
          <w:lang w:val="en-US"/>
        </w:rPr>
      </w:pPr>
      <w:r>
        <w:rPr>
          <w:rFonts w:ascii="Arial Narrow" w:hAnsi="Arial Narrow" w:cs="Times New Roman"/>
          <w:color w:val="1F497D" w:themeColor="text2"/>
          <w:sz w:val="24"/>
          <w:szCs w:val="24"/>
          <w:lang w:val="en-US"/>
        </w:rPr>
        <w:t>ABU</w:t>
      </w:r>
      <w:r w:rsidRPr="000568F7">
        <w:rPr>
          <w:rFonts w:ascii="Arial Narrow" w:hAnsi="Arial Narrow" w:cs="Times New Roman"/>
          <w:color w:val="1F497D" w:themeColor="text2"/>
          <w:sz w:val="24"/>
          <w:szCs w:val="24"/>
          <w:lang w:val="en-AE"/>
        </w:rPr>
        <w:t xml:space="preserve"> </w:t>
      </w:r>
      <w:r>
        <w:rPr>
          <w:rFonts w:ascii="Arial Narrow" w:hAnsi="Arial Narrow" w:cs="Times New Roman"/>
          <w:color w:val="1F497D" w:themeColor="text2"/>
          <w:sz w:val="24"/>
          <w:szCs w:val="24"/>
          <w:lang w:val="en-US"/>
        </w:rPr>
        <w:t>DHABI</w:t>
      </w:r>
      <w:r w:rsidRPr="000568F7">
        <w:rPr>
          <w:rFonts w:ascii="Arial Narrow" w:hAnsi="Arial Narrow" w:cs="Times New Roman"/>
          <w:color w:val="1F497D" w:themeColor="text2"/>
          <w:sz w:val="24"/>
          <w:szCs w:val="24"/>
          <w:lang w:val="en-AE"/>
        </w:rPr>
        <w:t xml:space="preserve"> </w:t>
      </w:r>
      <w:r>
        <w:rPr>
          <w:rFonts w:ascii="Arial Narrow" w:hAnsi="Arial Narrow" w:cs="Times New Roman"/>
          <w:color w:val="1F497D" w:themeColor="text2"/>
          <w:sz w:val="24"/>
          <w:szCs w:val="24"/>
          <w:lang w:val="en-US"/>
        </w:rPr>
        <w:t>GLOBAL</w:t>
      </w:r>
      <w:r w:rsidRPr="000568F7">
        <w:rPr>
          <w:rFonts w:ascii="Arial Narrow" w:hAnsi="Arial Narrow" w:cs="Times New Roman"/>
          <w:color w:val="1F497D" w:themeColor="text2"/>
          <w:sz w:val="24"/>
          <w:szCs w:val="24"/>
          <w:lang w:val="en-AE"/>
        </w:rPr>
        <w:t xml:space="preserve"> </w:t>
      </w:r>
      <w:r>
        <w:rPr>
          <w:rFonts w:ascii="Arial Narrow" w:hAnsi="Arial Narrow" w:cs="Times New Roman"/>
          <w:color w:val="1F497D" w:themeColor="text2"/>
          <w:sz w:val="24"/>
          <w:szCs w:val="24"/>
          <w:lang w:val="en-US"/>
        </w:rPr>
        <w:t>MARKET</w:t>
      </w:r>
      <w:r w:rsidRPr="000568F7">
        <w:rPr>
          <w:rFonts w:ascii="Arial Narrow" w:hAnsi="Arial Narrow" w:cs="Times New Roman"/>
          <w:color w:val="1F497D" w:themeColor="text2"/>
          <w:sz w:val="24"/>
          <w:szCs w:val="24"/>
          <w:lang w:val="en-AE"/>
        </w:rPr>
        <w:t xml:space="preserve">: </w:t>
      </w:r>
      <w:r>
        <w:rPr>
          <w:rFonts w:ascii="Arial Narrow" w:hAnsi="Arial Narrow" w:cs="Times New Roman"/>
          <w:sz w:val="24"/>
          <w:szCs w:val="24"/>
          <w:lang w:val="en-US"/>
        </w:rPr>
        <w:t>To</w:t>
      </w:r>
      <w:r w:rsidRPr="000568F7">
        <w:rPr>
          <w:rFonts w:ascii="Arial Narrow" w:hAnsi="Arial Narrow" w:cs="Times New Roman"/>
          <w:sz w:val="24"/>
          <w:szCs w:val="24"/>
          <w:lang w:val="en-AE"/>
        </w:rPr>
        <w:t xml:space="preserve"> </w:t>
      </w:r>
      <w:r>
        <w:rPr>
          <w:rFonts w:ascii="Arial Narrow" w:hAnsi="Arial Narrow" w:cs="Times New Roman"/>
          <w:sz w:val="24"/>
          <w:szCs w:val="24"/>
          <w:lang w:val="en-US"/>
        </w:rPr>
        <w:t>ABU</w:t>
      </w:r>
      <w:r w:rsidRPr="000568F7">
        <w:rPr>
          <w:rFonts w:ascii="Arial Narrow" w:hAnsi="Arial Narrow" w:cs="Times New Roman"/>
          <w:sz w:val="24"/>
          <w:szCs w:val="24"/>
          <w:lang w:val="en-AE"/>
        </w:rPr>
        <w:t xml:space="preserve"> </w:t>
      </w:r>
      <w:r>
        <w:rPr>
          <w:rFonts w:ascii="Arial Narrow" w:hAnsi="Arial Narrow" w:cs="Times New Roman"/>
          <w:sz w:val="24"/>
          <w:szCs w:val="24"/>
          <w:lang w:val="en-US"/>
        </w:rPr>
        <w:t>DHABI</w:t>
      </w:r>
      <w:r w:rsidRPr="000568F7">
        <w:rPr>
          <w:rFonts w:ascii="Arial Narrow" w:hAnsi="Arial Narrow" w:cs="Times New Roman"/>
          <w:sz w:val="24"/>
          <w:szCs w:val="24"/>
          <w:lang w:val="en-AE"/>
        </w:rPr>
        <w:t xml:space="preserve"> </w:t>
      </w:r>
      <w:r>
        <w:rPr>
          <w:rFonts w:ascii="Arial Narrow" w:hAnsi="Arial Narrow" w:cs="Times New Roman"/>
          <w:sz w:val="24"/>
          <w:szCs w:val="24"/>
          <w:lang w:val="en-US"/>
        </w:rPr>
        <w:t>GLOBAL</w:t>
      </w:r>
      <w:r w:rsidRPr="000568F7">
        <w:rPr>
          <w:rFonts w:ascii="Arial Narrow" w:hAnsi="Arial Narrow" w:cs="Times New Roman"/>
          <w:sz w:val="24"/>
          <w:szCs w:val="24"/>
          <w:lang w:val="en-AE"/>
        </w:rPr>
        <w:t xml:space="preserve"> </w:t>
      </w:r>
      <w:r>
        <w:rPr>
          <w:rFonts w:ascii="Arial Narrow" w:hAnsi="Arial Narrow" w:cs="Times New Roman"/>
          <w:sz w:val="24"/>
          <w:szCs w:val="24"/>
          <w:lang w:val="en-US"/>
        </w:rPr>
        <w:t>MARKET</w:t>
      </w:r>
      <w:r w:rsidRPr="000568F7">
        <w:rPr>
          <w:rFonts w:ascii="Arial Narrow" w:hAnsi="Arial Narrow" w:cs="Times New Roman"/>
          <w:sz w:val="24"/>
          <w:szCs w:val="24"/>
          <w:lang w:val="en-AE"/>
        </w:rPr>
        <w:t xml:space="preserve"> </w:t>
      </w:r>
      <w:r>
        <w:rPr>
          <w:rFonts w:ascii="Arial Narrow" w:hAnsi="Arial Narrow" w:cs="Times New Roman"/>
          <w:sz w:val="24"/>
          <w:szCs w:val="24"/>
        </w:rPr>
        <w:t>έχει</w:t>
      </w:r>
      <w:r w:rsidRPr="000568F7">
        <w:rPr>
          <w:rFonts w:ascii="Arial Narrow" w:hAnsi="Arial Narrow" w:cs="Times New Roman"/>
          <w:sz w:val="24"/>
          <w:szCs w:val="24"/>
          <w:lang w:val="en-AE"/>
        </w:rPr>
        <w:t xml:space="preserve"> </w:t>
      </w:r>
      <w:r>
        <w:rPr>
          <w:rFonts w:ascii="Arial Narrow" w:hAnsi="Arial Narrow" w:cs="Times New Roman"/>
          <w:sz w:val="24"/>
          <w:szCs w:val="24"/>
        </w:rPr>
        <w:t>εξελιχθεί</w:t>
      </w:r>
      <w:r w:rsidRPr="000568F7">
        <w:rPr>
          <w:rFonts w:ascii="Arial Narrow" w:hAnsi="Arial Narrow" w:cs="Times New Roman"/>
          <w:sz w:val="24"/>
          <w:szCs w:val="24"/>
          <w:lang w:val="en-AE"/>
        </w:rPr>
        <w:t xml:space="preserve"> </w:t>
      </w:r>
      <w:r>
        <w:rPr>
          <w:rFonts w:ascii="Arial Narrow" w:hAnsi="Arial Narrow" w:cs="Times New Roman"/>
          <w:sz w:val="24"/>
          <w:szCs w:val="24"/>
        </w:rPr>
        <w:t>σε</w:t>
      </w:r>
      <w:r w:rsidRPr="000568F7">
        <w:rPr>
          <w:rFonts w:ascii="Arial Narrow" w:hAnsi="Arial Narrow" w:cs="Times New Roman"/>
          <w:sz w:val="24"/>
          <w:szCs w:val="24"/>
          <w:lang w:val="en-AE"/>
        </w:rPr>
        <w:t xml:space="preserve"> </w:t>
      </w:r>
      <w:r>
        <w:rPr>
          <w:rFonts w:ascii="Arial Narrow" w:hAnsi="Arial Narrow" w:cs="Times New Roman"/>
          <w:sz w:val="24"/>
          <w:szCs w:val="24"/>
        </w:rPr>
        <w:t>κορυφαίο</w:t>
      </w:r>
      <w:r w:rsidRPr="000568F7">
        <w:rPr>
          <w:rFonts w:ascii="Arial Narrow" w:hAnsi="Arial Narrow" w:cs="Times New Roman"/>
          <w:sz w:val="24"/>
          <w:szCs w:val="24"/>
          <w:lang w:val="en-AE"/>
        </w:rPr>
        <w:t xml:space="preserve"> </w:t>
      </w:r>
      <w:r>
        <w:rPr>
          <w:rFonts w:ascii="Arial Narrow" w:hAnsi="Arial Narrow" w:cs="Times New Roman"/>
          <w:sz w:val="24"/>
          <w:szCs w:val="24"/>
        </w:rPr>
        <w:t>κέντρο</w:t>
      </w:r>
      <w:r w:rsidRPr="000568F7">
        <w:rPr>
          <w:rFonts w:ascii="Arial Narrow" w:hAnsi="Arial Narrow" w:cs="Times New Roman"/>
          <w:sz w:val="24"/>
          <w:szCs w:val="24"/>
          <w:lang w:val="en-AE"/>
        </w:rPr>
        <w:t xml:space="preserve"> </w:t>
      </w:r>
      <w:r>
        <w:rPr>
          <w:rFonts w:ascii="Arial Narrow" w:hAnsi="Arial Narrow" w:cs="Times New Roman"/>
          <w:sz w:val="24"/>
          <w:szCs w:val="24"/>
        </w:rPr>
        <w:t>σε</w:t>
      </w:r>
      <w:r w:rsidRPr="000568F7">
        <w:rPr>
          <w:rFonts w:ascii="Arial Narrow" w:hAnsi="Arial Narrow" w:cs="Times New Roman"/>
          <w:sz w:val="24"/>
          <w:szCs w:val="24"/>
          <w:lang w:val="en-AE"/>
        </w:rPr>
        <w:t xml:space="preserve"> </w:t>
      </w:r>
      <w:r>
        <w:rPr>
          <w:rFonts w:ascii="Arial Narrow" w:hAnsi="Arial Narrow" w:cs="Times New Roman"/>
          <w:sz w:val="24"/>
          <w:szCs w:val="24"/>
        </w:rPr>
        <w:t>τομείς</w:t>
      </w:r>
      <w:r w:rsidRPr="000568F7">
        <w:rPr>
          <w:rFonts w:ascii="Arial Narrow" w:hAnsi="Arial Narrow" w:cs="Times New Roman"/>
          <w:sz w:val="24"/>
          <w:szCs w:val="24"/>
          <w:lang w:val="en-AE"/>
        </w:rPr>
        <w:t xml:space="preserve"> </w:t>
      </w:r>
      <w:r>
        <w:rPr>
          <w:rFonts w:ascii="Arial Narrow" w:hAnsi="Arial Narrow" w:cs="Times New Roman"/>
          <w:sz w:val="24"/>
          <w:szCs w:val="24"/>
        </w:rPr>
        <w:t>όπως</w:t>
      </w:r>
      <w:r w:rsidRPr="000568F7">
        <w:rPr>
          <w:rFonts w:ascii="Arial Narrow" w:hAnsi="Arial Narrow" w:cs="Times New Roman"/>
          <w:sz w:val="24"/>
          <w:szCs w:val="24"/>
          <w:lang w:val="en-AE"/>
        </w:rPr>
        <w:t xml:space="preserve"> </w:t>
      </w:r>
      <w:r>
        <w:rPr>
          <w:rFonts w:ascii="Arial Narrow" w:hAnsi="Arial Narrow" w:cs="Times New Roman"/>
          <w:sz w:val="24"/>
          <w:szCs w:val="24"/>
          <w:lang w:val="en-US"/>
        </w:rPr>
        <w:t>Asset</w:t>
      </w:r>
      <w:r w:rsidRPr="000568F7">
        <w:rPr>
          <w:rFonts w:ascii="Arial Narrow" w:hAnsi="Arial Narrow" w:cs="Times New Roman"/>
          <w:sz w:val="24"/>
          <w:szCs w:val="24"/>
          <w:lang w:val="en-AE"/>
        </w:rPr>
        <w:t xml:space="preserve"> </w:t>
      </w:r>
      <w:r>
        <w:rPr>
          <w:rFonts w:ascii="Arial Narrow" w:hAnsi="Arial Narrow" w:cs="Times New Roman"/>
          <w:sz w:val="24"/>
          <w:szCs w:val="24"/>
          <w:lang w:val="en-US"/>
        </w:rPr>
        <w:t>Management</w:t>
      </w:r>
      <w:r w:rsidRPr="000568F7">
        <w:rPr>
          <w:rFonts w:ascii="Arial Narrow" w:hAnsi="Arial Narrow" w:cs="Times New Roman"/>
          <w:sz w:val="24"/>
          <w:szCs w:val="24"/>
          <w:lang w:val="en-AE"/>
        </w:rPr>
        <w:t xml:space="preserve">, </w:t>
      </w:r>
      <w:r>
        <w:rPr>
          <w:rFonts w:ascii="Arial Narrow" w:hAnsi="Arial Narrow" w:cs="Times New Roman"/>
          <w:sz w:val="24"/>
          <w:szCs w:val="24"/>
          <w:lang w:val="en-US"/>
        </w:rPr>
        <w:t>Venture Capital, Hedge Funds, FinTech &amp; Family Offices.</w:t>
      </w:r>
    </w:p>
    <w:p w14:paraId="22B1BAAE" w14:textId="4134DC94" w:rsidR="000568F7" w:rsidRPr="00331C65" w:rsidRDefault="00D75893" w:rsidP="00A51660">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26.6. </w:t>
      </w:r>
      <w:r w:rsidR="000568F7" w:rsidRPr="00331C65">
        <w:rPr>
          <w:rFonts w:ascii="Arial Narrow" w:hAnsi="Arial Narrow" w:cs="Times New Roman"/>
          <w:b/>
          <w:color w:val="4F81BD" w:themeColor="accent1"/>
          <w:sz w:val="24"/>
          <w:szCs w:val="24"/>
        </w:rPr>
        <w:t xml:space="preserve">Χρηματιστηριακές Αγορές </w:t>
      </w:r>
    </w:p>
    <w:p w14:paraId="16B75BAD" w14:textId="77777777" w:rsidR="006D0263" w:rsidRDefault="006D0263" w:rsidP="00A51660">
      <w:pPr>
        <w:jc w:val="both"/>
        <w:rPr>
          <w:rFonts w:ascii="Arial Narrow" w:hAnsi="Arial Narrow" w:cs="Times New Roman"/>
          <w:sz w:val="24"/>
          <w:szCs w:val="24"/>
        </w:rPr>
      </w:pPr>
      <w:r>
        <w:rPr>
          <w:rFonts w:ascii="Arial Narrow" w:hAnsi="Arial Narrow" w:cs="Times New Roman"/>
          <w:sz w:val="24"/>
          <w:szCs w:val="24"/>
          <w:lang w:val="en-US"/>
        </w:rPr>
        <w:t>ABU</w:t>
      </w:r>
      <w:r w:rsidRPr="006D0263">
        <w:rPr>
          <w:rFonts w:ascii="Arial Narrow" w:hAnsi="Arial Narrow" w:cs="Times New Roman"/>
          <w:sz w:val="24"/>
          <w:szCs w:val="24"/>
        </w:rPr>
        <w:t xml:space="preserve"> </w:t>
      </w:r>
      <w:r>
        <w:rPr>
          <w:rFonts w:ascii="Arial Narrow" w:hAnsi="Arial Narrow" w:cs="Times New Roman"/>
          <w:sz w:val="24"/>
          <w:szCs w:val="24"/>
          <w:lang w:val="en-US"/>
        </w:rPr>
        <w:t>DHABI</w:t>
      </w:r>
      <w:r w:rsidRPr="006D0263">
        <w:rPr>
          <w:rFonts w:ascii="Arial Narrow" w:hAnsi="Arial Narrow" w:cs="Times New Roman"/>
          <w:sz w:val="24"/>
          <w:szCs w:val="24"/>
        </w:rPr>
        <w:t xml:space="preserve"> </w:t>
      </w:r>
      <w:r>
        <w:rPr>
          <w:rFonts w:ascii="Arial Narrow" w:hAnsi="Arial Narrow" w:cs="Times New Roman"/>
          <w:sz w:val="24"/>
          <w:szCs w:val="24"/>
          <w:lang w:val="en-US"/>
        </w:rPr>
        <w:t>SECURITIES</w:t>
      </w:r>
      <w:r w:rsidRPr="006D0263">
        <w:rPr>
          <w:rFonts w:ascii="Arial Narrow" w:hAnsi="Arial Narrow" w:cs="Times New Roman"/>
          <w:sz w:val="24"/>
          <w:szCs w:val="24"/>
        </w:rPr>
        <w:t xml:space="preserve"> </w:t>
      </w:r>
      <w:r>
        <w:rPr>
          <w:rFonts w:ascii="Arial Narrow" w:hAnsi="Arial Narrow" w:cs="Times New Roman"/>
          <w:sz w:val="24"/>
          <w:szCs w:val="24"/>
          <w:lang w:val="en-US"/>
        </w:rPr>
        <w:t>EXCHANGE</w:t>
      </w:r>
      <w:r w:rsidRPr="006D0263">
        <w:rPr>
          <w:rFonts w:ascii="Arial Narrow" w:hAnsi="Arial Narrow" w:cs="Times New Roman"/>
          <w:sz w:val="24"/>
          <w:szCs w:val="24"/>
        </w:rPr>
        <w:t xml:space="preserve">: </w:t>
      </w:r>
      <w:r>
        <w:rPr>
          <w:rFonts w:ascii="Arial Narrow" w:hAnsi="Arial Narrow" w:cs="Times New Roman"/>
          <w:sz w:val="24"/>
          <w:szCs w:val="24"/>
        </w:rPr>
        <w:t xml:space="preserve">ένα από τα μεγαλύτερα χρηματιστήρια της Μέσης Ανατολής με κεφαλαιόπηση άνω των 3 τρις </w:t>
      </w:r>
      <w:r>
        <w:rPr>
          <w:rFonts w:ascii="Arial Narrow" w:hAnsi="Arial Narrow" w:cs="Times New Roman"/>
          <w:sz w:val="24"/>
          <w:szCs w:val="24"/>
          <w:lang w:val="en-US"/>
        </w:rPr>
        <w:t>AED</w:t>
      </w:r>
      <w:r w:rsidRPr="006D0263">
        <w:rPr>
          <w:rFonts w:ascii="Arial Narrow" w:hAnsi="Arial Narrow" w:cs="Times New Roman"/>
          <w:sz w:val="24"/>
          <w:szCs w:val="24"/>
        </w:rPr>
        <w:t xml:space="preserve"> (</w:t>
      </w:r>
      <w:r>
        <w:rPr>
          <w:rFonts w:ascii="Arial Narrow" w:hAnsi="Arial Narrow" w:cs="Times New Roman"/>
          <w:sz w:val="24"/>
          <w:szCs w:val="24"/>
        </w:rPr>
        <w:t xml:space="preserve">Ντίρχαμ) </w:t>
      </w:r>
    </w:p>
    <w:p w14:paraId="180771B2" w14:textId="4CC00C68" w:rsidR="00A51660" w:rsidRDefault="006D0263" w:rsidP="00A51660">
      <w:pPr>
        <w:jc w:val="both"/>
        <w:rPr>
          <w:rFonts w:ascii="Arial Narrow" w:hAnsi="Arial Narrow" w:cs="Times New Roman"/>
          <w:sz w:val="24"/>
          <w:szCs w:val="24"/>
        </w:rPr>
      </w:pPr>
      <w:r w:rsidRPr="006D0263">
        <w:rPr>
          <w:rFonts w:ascii="Arial Narrow" w:hAnsi="Arial Narrow" w:cs="Times New Roman"/>
          <w:sz w:val="24"/>
          <w:szCs w:val="24"/>
          <w:lang w:val="en-US"/>
        </w:rPr>
        <w:t>DUBAI</w:t>
      </w:r>
      <w:r w:rsidRPr="003E71A8">
        <w:rPr>
          <w:rFonts w:ascii="Arial Narrow" w:hAnsi="Arial Narrow" w:cs="Times New Roman"/>
          <w:sz w:val="24"/>
          <w:szCs w:val="24"/>
        </w:rPr>
        <w:t xml:space="preserve"> </w:t>
      </w:r>
      <w:r w:rsidRPr="006D0263">
        <w:rPr>
          <w:rFonts w:ascii="Arial Narrow" w:hAnsi="Arial Narrow" w:cs="Times New Roman"/>
          <w:sz w:val="24"/>
          <w:szCs w:val="24"/>
          <w:lang w:val="en-US"/>
        </w:rPr>
        <w:t>FINANCIAL</w:t>
      </w:r>
      <w:r w:rsidRPr="003E71A8">
        <w:rPr>
          <w:rFonts w:ascii="Arial Narrow" w:hAnsi="Arial Narrow" w:cs="Times New Roman"/>
          <w:sz w:val="24"/>
          <w:szCs w:val="24"/>
        </w:rPr>
        <w:t xml:space="preserve"> </w:t>
      </w:r>
      <w:r w:rsidRPr="006D0263">
        <w:rPr>
          <w:rFonts w:ascii="Arial Narrow" w:hAnsi="Arial Narrow" w:cs="Times New Roman"/>
          <w:sz w:val="24"/>
          <w:szCs w:val="24"/>
          <w:lang w:val="en-US"/>
        </w:rPr>
        <w:t>MARKET</w:t>
      </w:r>
      <w:r w:rsidRPr="003E71A8">
        <w:rPr>
          <w:rFonts w:ascii="Arial Narrow" w:hAnsi="Arial Narrow" w:cs="Times New Roman"/>
          <w:sz w:val="24"/>
          <w:szCs w:val="24"/>
        </w:rPr>
        <w:t xml:space="preserve">:  </w:t>
      </w:r>
      <w:r w:rsidR="003E71A8">
        <w:rPr>
          <w:rFonts w:ascii="Arial Narrow" w:hAnsi="Arial Narrow" w:cs="Times New Roman"/>
          <w:sz w:val="24"/>
          <w:szCs w:val="24"/>
        </w:rPr>
        <w:t>κύρια</w:t>
      </w:r>
      <w:r w:rsidR="003E71A8" w:rsidRPr="003E71A8">
        <w:rPr>
          <w:rFonts w:ascii="Arial Narrow" w:hAnsi="Arial Narrow" w:cs="Times New Roman"/>
          <w:sz w:val="24"/>
          <w:szCs w:val="24"/>
        </w:rPr>
        <w:t xml:space="preserve"> </w:t>
      </w:r>
      <w:r w:rsidR="003E71A8">
        <w:rPr>
          <w:rFonts w:ascii="Arial Narrow" w:hAnsi="Arial Narrow" w:cs="Times New Roman"/>
          <w:sz w:val="24"/>
          <w:szCs w:val="24"/>
        </w:rPr>
        <w:t>αγορά</w:t>
      </w:r>
      <w:r w:rsidR="003E71A8" w:rsidRPr="003E71A8">
        <w:rPr>
          <w:rFonts w:ascii="Arial Narrow" w:hAnsi="Arial Narrow" w:cs="Times New Roman"/>
          <w:sz w:val="24"/>
          <w:szCs w:val="24"/>
        </w:rPr>
        <w:t xml:space="preserve"> </w:t>
      </w:r>
      <w:r w:rsidR="003E71A8">
        <w:rPr>
          <w:rFonts w:ascii="Arial Narrow" w:hAnsi="Arial Narrow" w:cs="Times New Roman"/>
          <w:sz w:val="24"/>
          <w:szCs w:val="24"/>
        </w:rPr>
        <w:t>για</w:t>
      </w:r>
      <w:r w:rsidR="003E71A8" w:rsidRPr="003E71A8">
        <w:rPr>
          <w:rFonts w:ascii="Arial Narrow" w:hAnsi="Arial Narrow" w:cs="Times New Roman"/>
          <w:sz w:val="24"/>
          <w:szCs w:val="24"/>
        </w:rPr>
        <w:t xml:space="preserve"> </w:t>
      </w:r>
      <w:r w:rsidR="003E71A8">
        <w:rPr>
          <w:rFonts w:ascii="Arial Narrow" w:hAnsi="Arial Narrow" w:cs="Times New Roman"/>
          <w:sz w:val="24"/>
          <w:szCs w:val="24"/>
        </w:rPr>
        <w:t xml:space="preserve">τράπεζες, ακίνητα, κατασκευές και </w:t>
      </w:r>
      <w:r w:rsidR="003E71A8">
        <w:rPr>
          <w:rFonts w:ascii="Arial Narrow" w:hAnsi="Arial Narrow" w:cs="Times New Roman"/>
          <w:sz w:val="24"/>
          <w:szCs w:val="24"/>
          <w:lang w:val="en-US"/>
        </w:rPr>
        <w:t>logistics</w:t>
      </w:r>
      <w:r w:rsidR="003E71A8" w:rsidRPr="003E71A8">
        <w:rPr>
          <w:rFonts w:ascii="Arial Narrow" w:hAnsi="Arial Narrow" w:cs="Times New Roman"/>
          <w:sz w:val="24"/>
          <w:szCs w:val="24"/>
        </w:rPr>
        <w:t>.</w:t>
      </w:r>
    </w:p>
    <w:p w14:paraId="7EA8C40D" w14:textId="0C46E4DF" w:rsidR="003E71A8" w:rsidRDefault="003E71A8" w:rsidP="00A51660">
      <w:pPr>
        <w:jc w:val="both"/>
        <w:rPr>
          <w:rFonts w:ascii="Arial Narrow" w:hAnsi="Arial Narrow" w:cs="Times New Roman"/>
          <w:sz w:val="24"/>
          <w:szCs w:val="24"/>
        </w:rPr>
      </w:pPr>
      <w:r>
        <w:rPr>
          <w:rFonts w:ascii="Arial Narrow" w:hAnsi="Arial Narrow" w:cs="Times New Roman"/>
          <w:sz w:val="24"/>
          <w:szCs w:val="24"/>
          <w:lang w:val="en-US"/>
        </w:rPr>
        <w:t>NASDAQ</w:t>
      </w:r>
      <w:r w:rsidRPr="003E71A8">
        <w:rPr>
          <w:rFonts w:ascii="Arial Narrow" w:hAnsi="Arial Narrow" w:cs="Times New Roman"/>
          <w:sz w:val="24"/>
          <w:szCs w:val="24"/>
        </w:rPr>
        <w:t xml:space="preserve"> </w:t>
      </w:r>
      <w:r>
        <w:rPr>
          <w:rFonts w:ascii="Arial Narrow" w:hAnsi="Arial Narrow" w:cs="Times New Roman"/>
          <w:sz w:val="24"/>
          <w:szCs w:val="24"/>
          <w:lang w:val="en-US"/>
        </w:rPr>
        <w:t>DUBAI</w:t>
      </w:r>
      <w:r w:rsidRPr="003E71A8">
        <w:rPr>
          <w:rFonts w:ascii="Arial Narrow" w:hAnsi="Arial Narrow" w:cs="Times New Roman"/>
          <w:sz w:val="24"/>
          <w:szCs w:val="24"/>
        </w:rPr>
        <w:t xml:space="preserve">: </w:t>
      </w:r>
      <w:r>
        <w:rPr>
          <w:rFonts w:ascii="Arial Narrow" w:hAnsi="Arial Narrow" w:cs="Times New Roman"/>
          <w:sz w:val="24"/>
          <w:szCs w:val="24"/>
        </w:rPr>
        <w:t xml:space="preserve">εξειδίκευση σε </w:t>
      </w:r>
      <w:r>
        <w:rPr>
          <w:rFonts w:ascii="Arial Narrow" w:hAnsi="Arial Narrow" w:cs="Times New Roman"/>
          <w:sz w:val="24"/>
          <w:szCs w:val="24"/>
          <w:lang w:val="en-US"/>
        </w:rPr>
        <w:t>Sukuk</w:t>
      </w:r>
      <w:r w:rsidRPr="003E71A8">
        <w:rPr>
          <w:rFonts w:ascii="Arial Narrow" w:hAnsi="Arial Narrow" w:cs="Times New Roman"/>
          <w:sz w:val="24"/>
          <w:szCs w:val="24"/>
        </w:rPr>
        <w:t xml:space="preserve">, </w:t>
      </w:r>
      <w:r>
        <w:rPr>
          <w:rFonts w:ascii="Arial Narrow" w:hAnsi="Arial Narrow" w:cs="Times New Roman"/>
          <w:sz w:val="24"/>
          <w:szCs w:val="24"/>
        </w:rPr>
        <w:t>διεθνείς τίτλους και πράσινα ομόλογα</w:t>
      </w:r>
    </w:p>
    <w:p w14:paraId="21F94734" w14:textId="0335F252" w:rsidR="00545C29" w:rsidRDefault="00937EF2" w:rsidP="00A51660">
      <w:pPr>
        <w:jc w:val="both"/>
        <w:rPr>
          <w:rFonts w:ascii="Arial Narrow" w:hAnsi="Arial Narrow" w:cs="Times New Roman"/>
          <w:sz w:val="24"/>
          <w:szCs w:val="24"/>
        </w:rPr>
      </w:pPr>
      <w:r>
        <w:rPr>
          <w:rFonts w:ascii="Arial Narrow" w:hAnsi="Arial Narrow" w:cs="Times New Roman"/>
          <w:b/>
          <w:color w:val="4F81BD" w:themeColor="accent1"/>
          <w:sz w:val="24"/>
          <w:szCs w:val="24"/>
        </w:rPr>
        <w:t xml:space="preserve">26.7. </w:t>
      </w:r>
      <w:r w:rsidR="002E5D67" w:rsidRPr="00331C65">
        <w:rPr>
          <w:rFonts w:ascii="Arial Narrow" w:hAnsi="Arial Narrow" w:cs="Times New Roman"/>
          <w:b/>
          <w:color w:val="4F81BD" w:themeColor="accent1"/>
          <w:sz w:val="24"/>
          <w:szCs w:val="24"/>
          <w:lang w:val="en-US"/>
        </w:rPr>
        <w:t>Sovereign</w:t>
      </w:r>
      <w:r w:rsidR="002E5D67" w:rsidRPr="00331C65">
        <w:rPr>
          <w:rFonts w:ascii="Arial Narrow" w:hAnsi="Arial Narrow" w:cs="Times New Roman"/>
          <w:b/>
          <w:color w:val="4F81BD" w:themeColor="accent1"/>
          <w:sz w:val="24"/>
          <w:szCs w:val="24"/>
        </w:rPr>
        <w:t xml:space="preserve"> </w:t>
      </w:r>
      <w:r w:rsidR="002E5D67" w:rsidRPr="00331C65">
        <w:rPr>
          <w:rFonts w:ascii="Arial Narrow" w:hAnsi="Arial Narrow" w:cs="Times New Roman"/>
          <w:b/>
          <w:color w:val="4F81BD" w:themeColor="accent1"/>
          <w:sz w:val="24"/>
          <w:szCs w:val="24"/>
          <w:lang w:val="en-US"/>
        </w:rPr>
        <w:t>Wealth</w:t>
      </w:r>
      <w:r w:rsidR="002E5D67" w:rsidRPr="00331C65">
        <w:rPr>
          <w:rFonts w:ascii="Arial Narrow" w:hAnsi="Arial Narrow" w:cs="Times New Roman"/>
          <w:b/>
          <w:color w:val="4F81BD" w:themeColor="accent1"/>
          <w:sz w:val="24"/>
          <w:szCs w:val="24"/>
        </w:rPr>
        <w:t xml:space="preserve"> </w:t>
      </w:r>
      <w:r w:rsidR="002E5D67" w:rsidRPr="00331C65">
        <w:rPr>
          <w:rFonts w:ascii="Arial Narrow" w:hAnsi="Arial Narrow" w:cs="Times New Roman"/>
          <w:b/>
          <w:color w:val="4F81BD" w:themeColor="accent1"/>
          <w:sz w:val="24"/>
          <w:szCs w:val="24"/>
          <w:lang w:val="en-US"/>
        </w:rPr>
        <w:t>Funds</w:t>
      </w:r>
      <w:r w:rsidR="002E5D67" w:rsidRPr="00331C65">
        <w:rPr>
          <w:rFonts w:ascii="Arial Narrow" w:hAnsi="Arial Narrow" w:cs="Times New Roman"/>
          <w:b/>
          <w:color w:val="4F81BD" w:themeColor="accent1"/>
          <w:sz w:val="24"/>
          <w:szCs w:val="24"/>
        </w:rPr>
        <w:t>:</w:t>
      </w:r>
      <w:r w:rsidR="002E5D67" w:rsidRPr="00331C65">
        <w:rPr>
          <w:rFonts w:ascii="Arial Narrow" w:hAnsi="Arial Narrow" w:cs="Times New Roman"/>
          <w:color w:val="4F81BD" w:themeColor="accent1"/>
          <w:sz w:val="24"/>
          <w:szCs w:val="24"/>
        </w:rPr>
        <w:t xml:space="preserve"> </w:t>
      </w:r>
      <w:r w:rsidR="002E5D67">
        <w:rPr>
          <w:rFonts w:ascii="Arial Narrow" w:hAnsi="Arial Narrow" w:cs="Times New Roman"/>
          <w:sz w:val="24"/>
          <w:szCs w:val="24"/>
        </w:rPr>
        <w:t>Τα</w:t>
      </w:r>
      <w:r w:rsidR="002E5D67" w:rsidRPr="002E5D67">
        <w:rPr>
          <w:rFonts w:ascii="Arial Narrow" w:hAnsi="Arial Narrow" w:cs="Times New Roman"/>
          <w:sz w:val="24"/>
          <w:szCs w:val="24"/>
        </w:rPr>
        <w:t xml:space="preserve"> </w:t>
      </w:r>
      <w:r w:rsidR="002E5D67">
        <w:rPr>
          <w:rFonts w:ascii="Arial Narrow" w:hAnsi="Arial Narrow" w:cs="Times New Roman"/>
          <w:sz w:val="24"/>
          <w:szCs w:val="24"/>
        </w:rPr>
        <w:t>ΗΑΕ</w:t>
      </w:r>
      <w:r w:rsidR="002E5D67" w:rsidRPr="002E5D67">
        <w:rPr>
          <w:rFonts w:ascii="Arial Narrow" w:hAnsi="Arial Narrow" w:cs="Times New Roman"/>
          <w:sz w:val="24"/>
          <w:szCs w:val="24"/>
        </w:rPr>
        <w:t xml:space="preserve"> </w:t>
      </w:r>
      <w:r w:rsidR="002E5D67">
        <w:rPr>
          <w:rFonts w:ascii="Arial Narrow" w:hAnsi="Arial Narrow" w:cs="Times New Roman"/>
          <w:sz w:val="24"/>
          <w:szCs w:val="24"/>
        </w:rPr>
        <w:t>διαθέτουν</w:t>
      </w:r>
      <w:r w:rsidR="002E5D67" w:rsidRPr="002E5D67">
        <w:rPr>
          <w:rFonts w:ascii="Arial Narrow" w:hAnsi="Arial Narrow" w:cs="Times New Roman"/>
          <w:sz w:val="24"/>
          <w:szCs w:val="24"/>
        </w:rPr>
        <w:t xml:space="preserve"> </w:t>
      </w:r>
      <w:r w:rsidR="002E5D67">
        <w:rPr>
          <w:rFonts w:ascii="Arial Narrow" w:hAnsi="Arial Narrow" w:cs="Times New Roman"/>
          <w:sz w:val="24"/>
          <w:szCs w:val="24"/>
        </w:rPr>
        <w:t xml:space="preserve">τα μεγαλύτερα κρατικά επενδυτικά ταμεία παγκοσμίως, όπως το </w:t>
      </w:r>
      <w:r w:rsidR="002E5D67">
        <w:rPr>
          <w:rFonts w:ascii="Arial Narrow" w:hAnsi="Arial Narrow" w:cs="Times New Roman"/>
          <w:sz w:val="24"/>
          <w:szCs w:val="24"/>
          <w:lang w:val="en-US"/>
        </w:rPr>
        <w:t>ABU</w:t>
      </w:r>
      <w:r w:rsidR="002E5D67" w:rsidRPr="002E5D67">
        <w:rPr>
          <w:rFonts w:ascii="Arial Narrow" w:hAnsi="Arial Narrow" w:cs="Times New Roman"/>
          <w:sz w:val="24"/>
          <w:szCs w:val="24"/>
        </w:rPr>
        <w:t xml:space="preserve"> </w:t>
      </w:r>
      <w:r w:rsidR="002E5D67">
        <w:rPr>
          <w:rFonts w:ascii="Arial Narrow" w:hAnsi="Arial Narrow" w:cs="Times New Roman"/>
          <w:sz w:val="24"/>
          <w:szCs w:val="24"/>
          <w:lang w:val="en-US"/>
        </w:rPr>
        <w:t>DHABI</w:t>
      </w:r>
      <w:r w:rsidR="002E5D67" w:rsidRPr="002E5D67">
        <w:rPr>
          <w:rFonts w:ascii="Arial Narrow" w:hAnsi="Arial Narrow" w:cs="Times New Roman"/>
          <w:sz w:val="24"/>
          <w:szCs w:val="24"/>
        </w:rPr>
        <w:t xml:space="preserve"> </w:t>
      </w:r>
      <w:r w:rsidR="002E5D67">
        <w:rPr>
          <w:rFonts w:ascii="Arial Narrow" w:hAnsi="Arial Narrow" w:cs="Times New Roman"/>
          <w:sz w:val="24"/>
          <w:szCs w:val="24"/>
          <w:lang w:val="en-US"/>
        </w:rPr>
        <w:t>INVESTMENT</w:t>
      </w:r>
      <w:r w:rsidR="002E5D67" w:rsidRPr="002E5D67">
        <w:rPr>
          <w:rFonts w:ascii="Arial Narrow" w:hAnsi="Arial Narrow" w:cs="Times New Roman"/>
          <w:sz w:val="24"/>
          <w:szCs w:val="24"/>
        </w:rPr>
        <w:t xml:space="preserve"> </w:t>
      </w:r>
      <w:r w:rsidR="002E5D67">
        <w:rPr>
          <w:rFonts w:ascii="Arial Narrow" w:hAnsi="Arial Narrow" w:cs="Times New Roman"/>
          <w:sz w:val="24"/>
          <w:szCs w:val="24"/>
          <w:lang w:val="en-US"/>
        </w:rPr>
        <w:t>AUTHORITHY</w:t>
      </w:r>
      <w:r w:rsidR="002E5D67" w:rsidRPr="002E5D67">
        <w:rPr>
          <w:rFonts w:ascii="Arial Narrow" w:hAnsi="Arial Narrow" w:cs="Times New Roman"/>
          <w:sz w:val="24"/>
          <w:szCs w:val="24"/>
        </w:rPr>
        <w:t xml:space="preserve">, </w:t>
      </w:r>
      <w:r w:rsidR="002E5D67">
        <w:rPr>
          <w:rFonts w:ascii="Arial Narrow" w:hAnsi="Arial Narrow" w:cs="Times New Roman"/>
          <w:sz w:val="24"/>
          <w:szCs w:val="24"/>
        </w:rPr>
        <w:t>με διαχειριζόμενα κεφάλαια 1 τρις $</w:t>
      </w:r>
      <w:r w:rsidR="00545C29">
        <w:rPr>
          <w:rFonts w:ascii="Arial Narrow" w:hAnsi="Arial Narrow" w:cs="Times New Roman"/>
          <w:sz w:val="24"/>
          <w:szCs w:val="24"/>
        </w:rPr>
        <w:t xml:space="preserve"> περίπου.</w:t>
      </w:r>
    </w:p>
    <w:p w14:paraId="32D0D95E" w14:textId="402517D6" w:rsidR="00545C29" w:rsidRDefault="00545C29" w:rsidP="00A51660">
      <w:pPr>
        <w:jc w:val="both"/>
        <w:rPr>
          <w:rFonts w:ascii="Arial Narrow" w:hAnsi="Arial Narrow" w:cs="Times New Roman"/>
          <w:sz w:val="24"/>
          <w:szCs w:val="24"/>
        </w:rPr>
      </w:pPr>
      <w:r w:rsidRPr="00331C65">
        <w:rPr>
          <w:rFonts w:ascii="Arial Narrow" w:hAnsi="Arial Narrow" w:cs="Times New Roman"/>
          <w:b/>
          <w:color w:val="4F81BD" w:themeColor="accent1"/>
          <w:sz w:val="24"/>
          <w:szCs w:val="24"/>
          <w:lang w:val="en-US"/>
        </w:rPr>
        <w:t>MUBADALA</w:t>
      </w:r>
      <w:r w:rsidRPr="00331C65">
        <w:rPr>
          <w:rFonts w:ascii="Arial Narrow" w:hAnsi="Arial Narrow" w:cs="Times New Roman"/>
          <w:b/>
          <w:color w:val="4F81BD" w:themeColor="accent1"/>
          <w:sz w:val="24"/>
          <w:szCs w:val="24"/>
        </w:rPr>
        <w:t xml:space="preserve"> </w:t>
      </w:r>
      <w:r w:rsidRPr="00331C65">
        <w:rPr>
          <w:rFonts w:ascii="Arial Narrow" w:hAnsi="Arial Narrow" w:cs="Times New Roman"/>
          <w:b/>
          <w:color w:val="4F81BD" w:themeColor="accent1"/>
          <w:sz w:val="24"/>
          <w:szCs w:val="24"/>
          <w:lang w:val="en-US"/>
        </w:rPr>
        <w:t>INVESTMENT</w:t>
      </w:r>
      <w:r w:rsidRPr="00331C65">
        <w:rPr>
          <w:rFonts w:ascii="Arial Narrow" w:hAnsi="Arial Narrow" w:cs="Times New Roman"/>
          <w:b/>
          <w:color w:val="4F81BD" w:themeColor="accent1"/>
          <w:sz w:val="24"/>
          <w:szCs w:val="24"/>
        </w:rPr>
        <w:t xml:space="preserve"> </w:t>
      </w:r>
      <w:r w:rsidRPr="00331C65">
        <w:rPr>
          <w:rFonts w:ascii="Arial Narrow" w:hAnsi="Arial Narrow" w:cs="Times New Roman"/>
          <w:b/>
          <w:color w:val="4F81BD" w:themeColor="accent1"/>
          <w:sz w:val="24"/>
          <w:szCs w:val="24"/>
          <w:lang w:val="en-US"/>
        </w:rPr>
        <w:t>COMPANY</w:t>
      </w:r>
      <w:r w:rsidRPr="00545C29">
        <w:rPr>
          <w:rFonts w:ascii="Arial Narrow" w:hAnsi="Arial Narrow" w:cs="Times New Roman"/>
          <w:sz w:val="24"/>
          <w:szCs w:val="24"/>
        </w:rPr>
        <w:t xml:space="preserve">: </w:t>
      </w:r>
      <w:r>
        <w:rPr>
          <w:rFonts w:ascii="Arial Narrow" w:hAnsi="Arial Narrow" w:cs="Times New Roman"/>
          <w:sz w:val="24"/>
          <w:szCs w:val="24"/>
        </w:rPr>
        <w:t>επενδύσεις</w:t>
      </w:r>
      <w:r w:rsidRPr="00545C29">
        <w:rPr>
          <w:rFonts w:ascii="Arial Narrow" w:hAnsi="Arial Narrow" w:cs="Times New Roman"/>
          <w:sz w:val="24"/>
          <w:szCs w:val="24"/>
        </w:rPr>
        <w:t xml:space="preserve"> </w:t>
      </w:r>
      <w:r>
        <w:rPr>
          <w:rFonts w:ascii="Arial Narrow" w:hAnsi="Arial Narrow" w:cs="Times New Roman"/>
          <w:sz w:val="24"/>
          <w:szCs w:val="24"/>
        </w:rPr>
        <w:t>σε</w:t>
      </w:r>
      <w:r w:rsidRPr="00545C29">
        <w:rPr>
          <w:rFonts w:ascii="Arial Narrow" w:hAnsi="Arial Narrow" w:cs="Times New Roman"/>
          <w:sz w:val="24"/>
          <w:szCs w:val="24"/>
        </w:rPr>
        <w:t xml:space="preserve"> </w:t>
      </w:r>
      <w:r>
        <w:rPr>
          <w:rFonts w:ascii="Arial Narrow" w:hAnsi="Arial Narrow" w:cs="Times New Roman"/>
          <w:sz w:val="24"/>
          <w:szCs w:val="24"/>
        </w:rPr>
        <w:t>τεχνολογία, υγεία, ενέργεια &amp; βιομηχανία.</w:t>
      </w:r>
    </w:p>
    <w:p w14:paraId="7042E013" w14:textId="77777777" w:rsidR="00937EF2" w:rsidRDefault="00545C29" w:rsidP="00A51660">
      <w:pPr>
        <w:jc w:val="both"/>
        <w:rPr>
          <w:rFonts w:ascii="Arial Narrow" w:hAnsi="Arial Narrow" w:cs="Times New Roman"/>
          <w:sz w:val="24"/>
          <w:szCs w:val="24"/>
        </w:rPr>
      </w:pPr>
      <w:r>
        <w:rPr>
          <w:rFonts w:ascii="Arial Narrow" w:hAnsi="Arial Narrow" w:cs="Times New Roman"/>
          <w:sz w:val="24"/>
          <w:szCs w:val="24"/>
          <w:lang w:val="en-US"/>
        </w:rPr>
        <w:t>ADQ</w:t>
      </w:r>
      <w:r w:rsidRPr="00545C29">
        <w:rPr>
          <w:rFonts w:ascii="Arial Narrow" w:hAnsi="Arial Narrow" w:cs="Times New Roman"/>
          <w:sz w:val="24"/>
          <w:szCs w:val="24"/>
        </w:rPr>
        <w:t xml:space="preserve">: </w:t>
      </w:r>
      <w:r>
        <w:rPr>
          <w:rFonts w:ascii="Arial Narrow" w:hAnsi="Arial Narrow" w:cs="Times New Roman"/>
          <w:sz w:val="24"/>
          <w:szCs w:val="24"/>
        </w:rPr>
        <w:t xml:space="preserve">εστιάζει σε </w:t>
      </w:r>
      <w:r>
        <w:rPr>
          <w:rFonts w:ascii="Arial Narrow" w:hAnsi="Arial Narrow" w:cs="Times New Roman"/>
          <w:sz w:val="24"/>
          <w:szCs w:val="24"/>
          <w:lang w:val="en-US"/>
        </w:rPr>
        <w:t>logistics</w:t>
      </w:r>
      <w:r w:rsidRPr="00545C29">
        <w:rPr>
          <w:rFonts w:ascii="Arial Narrow" w:hAnsi="Arial Narrow" w:cs="Times New Roman"/>
          <w:sz w:val="24"/>
          <w:szCs w:val="24"/>
        </w:rPr>
        <w:t xml:space="preserve">, </w:t>
      </w:r>
      <w:r>
        <w:rPr>
          <w:rFonts w:ascii="Arial Narrow" w:hAnsi="Arial Narrow" w:cs="Times New Roman"/>
          <w:sz w:val="24"/>
          <w:szCs w:val="24"/>
        </w:rPr>
        <w:t>τρόφιμα, λιμάνια και μεταφορές.</w:t>
      </w:r>
    </w:p>
    <w:p w14:paraId="7612799D" w14:textId="5C0A1A73" w:rsidR="00545C29" w:rsidRPr="00937EF2" w:rsidRDefault="00937EF2" w:rsidP="00A51660">
      <w:pPr>
        <w:jc w:val="both"/>
        <w:rPr>
          <w:rFonts w:ascii="Arial Narrow" w:hAnsi="Arial Narrow" w:cs="Times New Roman"/>
          <w:sz w:val="24"/>
          <w:szCs w:val="24"/>
        </w:rPr>
      </w:pPr>
      <w:r>
        <w:rPr>
          <w:rFonts w:ascii="Arial Narrow" w:hAnsi="Arial Narrow" w:cs="Times New Roman"/>
          <w:b/>
          <w:color w:val="4F81BD" w:themeColor="accent1"/>
          <w:sz w:val="24"/>
          <w:szCs w:val="24"/>
        </w:rPr>
        <w:t>26.8.</w:t>
      </w:r>
      <w:r w:rsidR="00545C29" w:rsidRPr="00331C65">
        <w:rPr>
          <w:rFonts w:ascii="Arial Narrow" w:hAnsi="Arial Narrow" w:cs="Times New Roman"/>
          <w:b/>
          <w:color w:val="4F81BD" w:themeColor="accent1"/>
          <w:sz w:val="24"/>
          <w:szCs w:val="24"/>
        </w:rPr>
        <w:t xml:space="preserve"> Ασφαλιστικός Κλάδος </w:t>
      </w:r>
    </w:p>
    <w:p w14:paraId="4490BCA3" w14:textId="29654999" w:rsidR="00545C29" w:rsidRDefault="00545C29" w:rsidP="00A51660">
      <w:pPr>
        <w:jc w:val="both"/>
        <w:rPr>
          <w:rFonts w:ascii="Arial Narrow" w:hAnsi="Arial Narrow" w:cs="Times New Roman"/>
          <w:sz w:val="24"/>
          <w:szCs w:val="24"/>
        </w:rPr>
      </w:pPr>
      <w:r>
        <w:rPr>
          <w:rFonts w:ascii="Arial Narrow" w:hAnsi="Arial Narrow" w:cs="Times New Roman"/>
          <w:sz w:val="24"/>
          <w:szCs w:val="24"/>
        </w:rPr>
        <w:t xml:space="preserve">Ο ασφαλιστικός κλάδος παρουσιάζει ταχεία ανάπτυξη. Για το 2025 τα ασφάλιστρα αυξήθηκαν κατά 15,5%, ενώ τα συνολικά περιουσιακά στοιχεία έφτασαν τα 166,7 δις </w:t>
      </w:r>
      <w:r>
        <w:rPr>
          <w:rFonts w:ascii="Arial Narrow" w:hAnsi="Arial Narrow" w:cs="Times New Roman"/>
          <w:sz w:val="24"/>
          <w:szCs w:val="24"/>
          <w:lang w:val="en-US"/>
        </w:rPr>
        <w:t>AED</w:t>
      </w:r>
      <w:r w:rsidRPr="00545C29">
        <w:rPr>
          <w:rFonts w:ascii="Arial Narrow" w:hAnsi="Arial Narrow" w:cs="Times New Roman"/>
          <w:sz w:val="24"/>
          <w:szCs w:val="24"/>
        </w:rPr>
        <w:t xml:space="preserve"> (</w:t>
      </w:r>
      <w:r>
        <w:rPr>
          <w:rFonts w:ascii="Arial Narrow" w:hAnsi="Arial Narrow" w:cs="Times New Roman"/>
          <w:sz w:val="24"/>
          <w:szCs w:val="24"/>
        </w:rPr>
        <w:t>Ντίρχαμ) σε κύριους τομείς όπως υγεία, ζωή, περιουσία, ναυτιλία &amp; ενέργεια.</w:t>
      </w:r>
    </w:p>
    <w:p w14:paraId="2DC54D19" w14:textId="6BDEB3BE" w:rsidR="00545C29" w:rsidRPr="00331C65" w:rsidRDefault="00937EF2" w:rsidP="00A51660">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26.9. </w:t>
      </w:r>
      <w:r w:rsidR="00545C29" w:rsidRPr="00331C65">
        <w:rPr>
          <w:rFonts w:ascii="Arial Narrow" w:hAnsi="Arial Narrow" w:cs="Times New Roman"/>
          <w:b/>
          <w:color w:val="4F81BD" w:themeColor="accent1"/>
          <w:sz w:val="24"/>
          <w:szCs w:val="24"/>
          <w:lang w:val="en-US"/>
        </w:rPr>
        <w:t>FinTech</w:t>
      </w:r>
      <w:r w:rsidR="00545C29" w:rsidRPr="00331C65">
        <w:rPr>
          <w:rFonts w:ascii="Arial Narrow" w:hAnsi="Arial Narrow" w:cs="Times New Roman"/>
          <w:b/>
          <w:color w:val="4F81BD" w:themeColor="accent1"/>
          <w:sz w:val="24"/>
          <w:szCs w:val="24"/>
        </w:rPr>
        <w:t xml:space="preserve"> &amp; Ψηφιακή Χρηματοδότηση</w:t>
      </w:r>
    </w:p>
    <w:p w14:paraId="04E13FBC" w14:textId="7545EEDA" w:rsidR="00545C29" w:rsidRDefault="00545C29" w:rsidP="00A51660">
      <w:pPr>
        <w:jc w:val="both"/>
        <w:rPr>
          <w:rFonts w:ascii="Arial Narrow" w:hAnsi="Arial Narrow" w:cs="Times New Roman"/>
          <w:sz w:val="24"/>
          <w:szCs w:val="24"/>
        </w:rPr>
      </w:pPr>
      <w:r>
        <w:rPr>
          <w:rFonts w:ascii="Arial Narrow" w:hAnsi="Arial Narrow" w:cs="Times New Roman"/>
          <w:sz w:val="24"/>
          <w:szCs w:val="24"/>
        </w:rPr>
        <w:t xml:space="preserve">Τα ΗΑΕ αποτελούν το μεγαλύτερο </w:t>
      </w:r>
      <w:r>
        <w:rPr>
          <w:rFonts w:ascii="Arial Narrow" w:hAnsi="Arial Narrow" w:cs="Times New Roman"/>
          <w:sz w:val="24"/>
          <w:szCs w:val="24"/>
          <w:lang w:val="en-US"/>
        </w:rPr>
        <w:t>FinTech</w:t>
      </w:r>
      <w:r w:rsidRPr="00545C29">
        <w:rPr>
          <w:rFonts w:ascii="Arial Narrow" w:hAnsi="Arial Narrow" w:cs="Times New Roman"/>
          <w:sz w:val="24"/>
          <w:szCs w:val="24"/>
        </w:rPr>
        <w:t xml:space="preserve"> </w:t>
      </w:r>
      <w:r>
        <w:rPr>
          <w:rFonts w:ascii="Arial Narrow" w:hAnsi="Arial Narrow" w:cs="Times New Roman"/>
          <w:sz w:val="24"/>
          <w:szCs w:val="24"/>
          <w:lang w:val="en-US"/>
        </w:rPr>
        <w:t>Hub</w:t>
      </w:r>
      <w:r>
        <w:rPr>
          <w:rFonts w:ascii="Arial Narrow" w:hAnsi="Arial Narrow" w:cs="Times New Roman"/>
          <w:sz w:val="24"/>
          <w:szCs w:val="24"/>
        </w:rPr>
        <w:t xml:space="preserve"> στη Μέση Ανατολή σε τομείς όπως </w:t>
      </w:r>
      <w:r>
        <w:rPr>
          <w:rFonts w:ascii="Arial Narrow" w:hAnsi="Arial Narrow" w:cs="Times New Roman"/>
          <w:sz w:val="24"/>
          <w:szCs w:val="24"/>
          <w:lang w:val="en-US"/>
        </w:rPr>
        <w:t>Digital</w:t>
      </w:r>
      <w:r w:rsidRPr="00545C29">
        <w:rPr>
          <w:rFonts w:ascii="Arial Narrow" w:hAnsi="Arial Narrow" w:cs="Times New Roman"/>
          <w:sz w:val="24"/>
          <w:szCs w:val="24"/>
        </w:rPr>
        <w:t xml:space="preserve"> </w:t>
      </w:r>
      <w:r>
        <w:rPr>
          <w:rFonts w:ascii="Arial Narrow" w:hAnsi="Arial Narrow" w:cs="Times New Roman"/>
          <w:sz w:val="24"/>
          <w:szCs w:val="24"/>
          <w:lang w:val="en-US"/>
        </w:rPr>
        <w:t>Banking</w:t>
      </w:r>
      <w:r w:rsidRPr="00545C29">
        <w:rPr>
          <w:rFonts w:ascii="Arial Narrow" w:hAnsi="Arial Narrow" w:cs="Times New Roman"/>
          <w:sz w:val="24"/>
          <w:szCs w:val="24"/>
        </w:rPr>
        <w:t xml:space="preserve">, </w:t>
      </w:r>
      <w:r>
        <w:rPr>
          <w:rFonts w:ascii="Arial Narrow" w:hAnsi="Arial Narrow" w:cs="Times New Roman"/>
          <w:sz w:val="24"/>
          <w:szCs w:val="24"/>
          <w:lang w:val="en-US"/>
        </w:rPr>
        <w:t>Open</w:t>
      </w:r>
      <w:r w:rsidRPr="00545C29">
        <w:rPr>
          <w:rFonts w:ascii="Arial Narrow" w:hAnsi="Arial Narrow" w:cs="Times New Roman"/>
          <w:sz w:val="24"/>
          <w:szCs w:val="24"/>
        </w:rPr>
        <w:t xml:space="preserve"> </w:t>
      </w:r>
      <w:r>
        <w:rPr>
          <w:rFonts w:ascii="Arial Narrow" w:hAnsi="Arial Narrow" w:cs="Times New Roman"/>
          <w:sz w:val="24"/>
          <w:szCs w:val="24"/>
          <w:lang w:val="en-US"/>
        </w:rPr>
        <w:t>Finance</w:t>
      </w:r>
      <w:r w:rsidRPr="00545C29">
        <w:rPr>
          <w:rFonts w:ascii="Arial Narrow" w:hAnsi="Arial Narrow" w:cs="Times New Roman"/>
          <w:sz w:val="24"/>
          <w:szCs w:val="24"/>
        </w:rPr>
        <w:t xml:space="preserve">, </w:t>
      </w:r>
      <w:r w:rsidR="003D1723">
        <w:rPr>
          <w:rFonts w:ascii="Arial Narrow" w:hAnsi="Arial Narrow" w:cs="Times New Roman"/>
          <w:sz w:val="24"/>
          <w:szCs w:val="24"/>
          <w:lang w:val="en-US"/>
        </w:rPr>
        <w:t>Blockchain</w:t>
      </w:r>
      <w:r w:rsidR="003D1723" w:rsidRPr="003D1723">
        <w:rPr>
          <w:rFonts w:ascii="Arial Narrow" w:hAnsi="Arial Narrow" w:cs="Times New Roman"/>
          <w:sz w:val="24"/>
          <w:szCs w:val="24"/>
        </w:rPr>
        <w:t xml:space="preserve">, </w:t>
      </w:r>
      <w:r w:rsidR="003D1723">
        <w:rPr>
          <w:rFonts w:ascii="Arial Narrow" w:hAnsi="Arial Narrow" w:cs="Times New Roman"/>
          <w:sz w:val="24"/>
          <w:szCs w:val="24"/>
          <w:lang w:val="en-US"/>
        </w:rPr>
        <w:t>Digital</w:t>
      </w:r>
      <w:r w:rsidR="003D1723" w:rsidRPr="003D1723">
        <w:rPr>
          <w:rFonts w:ascii="Arial Narrow" w:hAnsi="Arial Narrow" w:cs="Times New Roman"/>
          <w:sz w:val="24"/>
          <w:szCs w:val="24"/>
        </w:rPr>
        <w:t xml:space="preserve"> </w:t>
      </w:r>
      <w:r w:rsidR="003D1723">
        <w:rPr>
          <w:rFonts w:ascii="Arial Narrow" w:hAnsi="Arial Narrow" w:cs="Times New Roman"/>
          <w:sz w:val="24"/>
          <w:szCs w:val="24"/>
          <w:lang w:val="en-US"/>
        </w:rPr>
        <w:t>Payments</w:t>
      </w:r>
      <w:r w:rsidR="003D1723" w:rsidRPr="003D1723">
        <w:rPr>
          <w:rFonts w:ascii="Arial Narrow" w:hAnsi="Arial Narrow" w:cs="Times New Roman"/>
          <w:sz w:val="24"/>
          <w:szCs w:val="24"/>
        </w:rPr>
        <w:t xml:space="preserve"> &amp; </w:t>
      </w:r>
      <w:r w:rsidR="003D1723">
        <w:rPr>
          <w:rFonts w:ascii="Arial Narrow" w:hAnsi="Arial Narrow" w:cs="Times New Roman"/>
          <w:sz w:val="24"/>
          <w:szCs w:val="24"/>
          <w:lang w:val="en-US"/>
        </w:rPr>
        <w:t>AI</w:t>
      </w:r>
      <w:r w:rsidR="003D1723" w:rsidRPr="003D1723">
        <w:rPr>
          <w:rFonts w:ascii="Arial Narrow" w:hAnsi="Arial Narrow" w:cs="Times New Roman"/>
          <w:sz w:val="24"/>
          <w:szCs w:val="24"/>
        </w:rPr>
        <w:t xml:space="preserve"> </w:t>
      </w:r>
      <w:r w:rsidR="003D1723">
        <w:rPr>
          <w:rFonts w:ascii="Arial Narrow" w:hAnsi="Arial Narrow" w:cs="Times New Roman"/>
          <w:sz w:val="24"/>
          <w:szCs w:val="24"/>
          <w:lang w:val="en-US"/>
        </w:rPr>
        <w:t>in</w:t>
      </w:r>
      <w:r w:rsidR="003D1723" w:rsidRPr="003D1723">
        <w:rPr>
          <w:rFonts w:ascii="Arial Narrow" w:hAnsi="Arial Narrow" w:cs="Times New Roman"/>
          <w:sz w:val="24"/>
          <w:szCs w:val="24"/>
        </w:rPr>
        <w:t xml:space="preserve"> </w:t>
      </w:r>
      <w:r w:rsidR="003D1723">
        <w:rPr>
          <w:rFonts w:ascii="Arial Narrow" w:hAnsi="Arial Narrow" w:cs="Times New Roman"/>
          <w:sz w:val="24"/>
          <w:szCs w:val="24"/>
          <w:lang w:val="en-US"/>
        </w:rPr>
        <w:t>Banking</w:t>
      </w:r>
      <w:r w:rsidR="003D1723" w:rsidRPr="003D1723">
        <w:rPr>
          <w:rFonts w:ascii="Arial Narrow" w:hAnsi="Arial Narrow" w:cs="Times New Roman"/>
          <w:sz w:val="24"/>
          <w:szCs w:val="24"/>
        </w:rPr>
        <w:t xml:space="preserve">. </w:t>
      </w:r>
      <w:r w:rsidR="003D1723">
        <w:rPr>
          <w:rFonts w:ascii="Arial Narrow" w:hAnsi="Arial Narrow" w:cs="Times New Roman"/>
          <w:sz w:val="24"/>
          <w:szCs w:val="24"/>
        </w:rPr>
        <w:t xml:space="preserve">Η Κεντρική Τράπεζα προωθεί ενεργά το </w:t>
      </w:r>
      <w:r w:rsidR="003D1723">
        <w:rPr>
          <w:rFonts w:ascii="Arial Narrow" w:hAnsi="Arial Narrow" w:cs="Times New Roman"/>
          <w:sz w:val="24"/>
          <w:szCs w:val="24"/>
          <w:lang w:val="en-US"/>
        </w:rPr>
        <w:t>Open</w:t>
      </w:r>
      <w:r w:rsidR="003D1723" w:rsidRPr="003D1723">
        <w:rPr>
          <w:rFonts w:ascii="Arial Narrow" w:hAnsi="Arial Narrow" w:cs="Times New Roman"/>
          <w:sz w:val="24"/>
          <w:szCs w:val="24"/>
        </w:rPr>
        <w:t xml:space="preserve"> </w:t>
      </w:r>
      <w:r w:rsidR="003D1723">
        <w:rPr>
          <w:rFonts w:ascii="Arial Narrow" w:hAnsi="Arial Narrow" w:cs="Times New Roman"/>
          <w:sz w:val="24"/>
          <w:szCs w:val="24"/>
          <w:lang w:val="en-US"/>
        </w:rPr>
        <w:t>Finance</w:t>
      </w:r>
      <w:r w:rsidR="003D1723" w:rsidRPr="003D1723">
        <w:rPr>
          <w:rFonts w:ascii="Arial Narrow" w:hAnsi="Arial Narrow" w:cs="Times New Roman"/>
          <w:sz w:val="24"/>
          <w:szCs w:val="24"/>
        </w:rPr>
        <w:t xml:space="preserve"> </w:t>
      </w:r>
      <w:r w:rsidR="003D1723">
        <w:rPr>
          <w:rFonts w:ascii="Arial Narrow" w:hAnsi="Arial Narrow" w:cs="Times New Roman"/>
          <w:sz w:val="24"/>
          <w:szCs w:val="24"/>
          <w:lang w:val="en-US"/>
        </w:rPr>
        <w:t>Framework</w:t>
      </w:r>
      <w:r w:rsidR="003D1723" w:rsidRPr="003D1723">
        <w:rPr>
          <w:rFonts w:ascii="Arial Narrow" w:hAnsi="Arial Narrow" w:cs="Times New Roman"/>
          <w:sz w:val="24"/>
          <w:szCs w:val="24"/>
        </w:rPr>
        <w:t xml:space="preserve"> </w:t>
      </w:r>
      <w:r w:rsidR="003D1723">
        <w:rPr>
          <w:rFonts w:ascii="Arial Narrow" w:hAnsi="Arial Narrow" w:cs="Times New Roman"/>
          <w:sz w:val="24"/>
          <w:szCs w:val="24"/>
        </w:rPr>
        <w:t>για την ενίσχυση της ψηφιακής καινοτομίας.</w:t>
      </w:r>
    </w:p>
    <w:p w14:paraId="6292D992" w14:textId="032CBA03" w:rsidR="00B27148" w:rsidRPr="00331C65" w:rsidRDefault="00937EF2" w:rsidP="00A51660">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26.10.</w:t>
      </w:r>
      <w:r w:rsidR="00B27148" w:rsidRPr="00331C65">
        <w:rPr>
          <w:rFonts w:ascii="Arial Narrow" w:hAnsi="Arial Narrow" w:cs="Times New Roman"/>
          <w:b/>
          <w:color w:val="4F81BD" w:themeColor="accent1"/>
          <w:sz w:val="24"/>
          <w:szCs w:val="24"/>
        </w:rPr>
        <w:t xml:space="preserve"> </w:t>
      </w:r>
      <w:r w:rsidR="00B27148" w:rsidRPr="00331C65">
        <w:rPr>
          <w:rFonts w:ascii="Arial Narrow" w:hAnsi="Arial Narrow" w:cs="Times New Roman"/>
          <w:b/>
          <w:color w:val="4F81BD" w:themeColor="accent1"/>
          <w:sz w:val="24"/>
          <w:szCs w:val="24"/>
          <w:lang w:val="en-US"/>
        </w:rPr>
        <w:t>Wealth</w:t>
      </w:r>
      <w:r w:rsidR="00B27148" w:rsidRPr="00331C65">
        <w:rPr>
          <w:rFonts w:ascii="Arial Narrow" w:hAnsi="Arial Narrow" w:cs="Times New Roman"/>
          <w:b/>
          <w:color w:val="4F81BD" w:themeColor="accent1"/>
          <w:sz w:val="24"/>
          <w:szCs w:val="24"/>
        </w:rPr>
        <w:t xml:space="preserve"> </w:t>
      </w:r>
      <w:r w:rsidR="00B27148" w:rsidRPr="00331C65">
        <w:rPr>
          <w:rFonts w:ascii="Arial Narrow" w:hAnsi="Arial Narrow" w:cs="Times New Roman"/>
          <w:b/>
          <w:color w:val="4F81BD" w:themeColor="accent1"/>
          <w:sz w:val="24"/>
          <w:szCs w:val="24"/>
          <w:lang w:val="en-US"/>
        </w:rPr>
        <w:t>Management</w:t>
      </w:r>
      <w:r w:rsidR="00B27148" w:rsidRPr="00331C65">
        <w:rPr>
          <w:rFonts w:ascii="Arial Narrow" w:hAnsi="Arial Narrow" w:cs="Times New Roman"/>
          <w:b/>
          <w:color w:val="4F81BD" w:themeColor="accent1"/>
          <w:sz w:val="24"/>
          <w:szCs w:val="24"/>
        </w:rPr>
        <w:t xml:space="preserve"> &amp; </w:t>
      </w:r>
      <w:r w:rsidR="00B27148" w:rsidRPr="00331C65">
        <w:rPr>
          <w:rFonts w:ascii="Arial Narrow" w:hAnsi="Arial Narrow" w:cs="Times New Roman"/>
          <w:b/>
          <w:color w:val="4F81BD" w:themeColor="accent1"/>
          <w:sz w:val="24"/>
          <w:szCs w:val="24"/>
          <w:lang w:val="en-US"/>
        </w:rPr>
        <w:t>Private</w:t>
      </w:r>
      <w:r w:rsidR="00B27148" w:rsidRPr="00331C65">
        <w:rPr>
          <w:rFonts w:ascii="Arial Narrow" w:hAnsi="Arial Narrow" w:cs="Times New Roman"/>
          <w:b/>
          <w:color w:val="4F81BD" w:themeColor="accent1"/>
          <w:sz w:val="24"/>
          <w:szCs w:val="24"/>
        </w:rPr>
        <w:t xml:space="preserve"> </w:t>
      </w:r>
      <w:r w:rsidR="00B27148" w:rsidRPr="00331C65">
        <w:rPr>
          <w:rFonts w:ascii="Arial Narrow" w:hAnsi="Arial Narrow" w:cs="Times New Roman"/>
          <w:b/>
          <w:color w:val="4F81BD" w:themeColor="accent1"/>
          <w:sz w:val="24"/>
          <w:szCs w:val="24"/>
          <w:lang w:val="en-US"/>
        </w:rPr>
        <w:t>Banking</w:t>
      </w:r>
      <w:r w:rsidR="00B27148" w:rsidRPr="00331C65">
        <w:rPr>
          <w:rFonts w:ascii="Arial Narrow" w:hAnsi="Arial Narrow" w:cs="Times New Roman"/>
          <w:b/>
          <w:color w:val="4F81BD" w:themeColor="accent1"/>
          <w:sz w:val="24"/>
          <w:szCs w:val="24"/>
        </w:rPr>
        <w:t xml:space="preserve"> </w:t>
      </w:r>
    </w:p>
    <w:p w14:paraId="1031CD5D" w14:textId="349F3078" w:rsidR="003D1723" w:rsidRDefault="005069F9" w:rsidP="00A51660">
      <w:pPr>
        <w:jc w:val="both"/>
        <w:rPr>
          <w:rFonts w:ascii="Arial Narrow" w:hAnsi="Arial Narrow" w:cs="Times New Roman"/>
          <w:sz w:val="24"/>
          <w:szCs w:val="24"/>
        </w:rPr>
      </w:pPr>
      <w:r>
        <w:rPr>
          <w:rFonts w:ascii="Arial Narrow" w:hAnsi="Arial Narrow" w:cs="Times New Roman"/>
          <w:sz w:val="24"/>
          <w:szCs w:val="24"/>
        </w:rPr>
        <w:t xml:space="preserve">Τα ΗΑΕ έχουν εξελιχθεί σε κορυφαίο παγκόσμιο προορισμό για </w:t>
      </w:r>
      <w:r>
        <w:rPr>
          <w:rFonts w:ascii="Arial Narrow" w:hAnsi="Arial Narrow" w:cs="Times New Roman"/>
          <w:sz w:val="24"/>
          <w:szCs w:val="24"/>
          <w:lang w:val="en-US"/>
        </w:rPr>
        <w:t>High</w:t>
      </w:r>
      <w:r w:rsidRPr="005069F9">
        <w:rPr>
          <w:rFonts w:ascii="Arial Narrow" w:hAnsi="Arial Narrow" w:cs="Times New Roman"/>
          <w:sz w:val="24"/>
          <w:szCs w:val="24"/>
        </w:rPr>
        <w:t xml:space="preserve"> </w:t>
      </w:r>
      <w:r>
        <w:rPr>
          <w:rFonts w:ascii="Arial Narrow" w:hAnsi="Arial Narrow" w:cs="Times New Roman"/>
          <w:sz w:val="24"/>
          <w:szCs w:val="24"/>
          <w:lang w:val="en-US"/>
        </w:rPr>
        <w:t>Net</w:t>
      </w:r>
      <w:r w:rsidRPr="005069F9">
        <w:rPr>
          <w:rFonts w:ascii="Arial Narrow" w:hAnsi="Arial Narrow" w:cs="Times New Roman"/>
          <w:sz w:val="24"/>
          <w:szCs w:val="24"/>
        </w:rPr>
        <w:t xml:space="preserve"> </w:t>
      </w:r>
      <w:r>
        <w:rPr>
          <w:rFonts w:ascii="Arial Narrow" w:hAnsi="Arial Narrow" w:cs="Times New Roman"/>
          <w:sz w:val="24"/>
          <w:szCs w:val="24"/>
          <w:lang w:val="en-US"/>
        </w:rPr>
        <w:t>Worth</w:t>
      </w:r>
      <w:r w:rsidRPr="005069F9">
        <w:rPr>
          <w:rFonts w:ascii="Arial Narrow" w:hAnsi="Arial Narrow" w:cs="Times New Roman"/>
          <w:sz w:val="24"/>
          <w:szCs w:val="24"/>
        </w:rPr>
        <w:t xml:space="preserve"> </w:t>
      </w:r>
      <w:r>
        <w:rPr>
          <w:rFonts w:ascii="Arial Narrow" w:hAnsi="Arial Narrow" w:cs="Times New Roman"/>
          <w:sz w:val="24"/>
          <w:szCs w:val="24"/>
          <w:lang w:val="en-US"/>
        </w:rPr>
        <w:t>Individuals</w:t>
      </w:r>
      <w:r w:rsidRPr="005069F9">
        <w:rPr>
          <w:rFonts w:ascii="Arial Narrow" w:hAnsi="Arial Narrow" w:cs="Times New Roman"/>
          <w:sz w:val="24"/>
          <w:szCs w:val="24"/>
        </w:rPr>
        <w:t xml:space="preserve"> (</w:t>
      </w:r>
      <w:r>
        <w:rPr>
          <w:rFonts w:ascii="Arial Narrow" w:hAnsi="Arial Narrow" w:cs="Times New Roman"/>
          <w:sz w:val="24"/>
          <w:szCs w:val="24"/>
          <w:lang w:val="en-US"/>
        </w:rPr>
        <w:t>HNWIs</w:t>
      </w:r>
      <w:r w:rsidRPr="005069F9">
        <w:rPr>
          <w:rFonts w:ascii="Arial Narrow" w:hAnsi="Arial Narrow" w:cs="Times New Roman"/>
          <w:sz w:val="24"/>
          <w:szCs w:val="24"/>
        </w:rPr>
        <w:t>).</w:t>
      </w:r>
      <w:r w:rsidR="00F958EE">
        <w:rPr>
          <w:rFonts w:ascii="Arial Narrow" w:hAnsi="Arial Narrow" w:cs="Times New Roman"/>
          <w:sz w:val="24"/>
          <w:szCs w:val="24"/>
        </w:rPr>
        <w:t xml:space="preserve"> Η χώρα προσκελκύει επιχειρηματίες, επενδυτές, </w:t>
      </w:r>
      <w:r w:rsidR="00F958EE">
        <w:rPr>
          <w:rFonts w:ascii="Arial Narrow" w:hAnsi="Arial Narrow" w:cs="Times New Roman"/>
          <w:sz w:val="24"/>
          <w:szCs w:val="24"/>
          <w:lang w:val="en-US"/>
        </w:rPr>
        <w:t>family</w:t>
      </w:r>
      <w:r w:rsidR="00F958EE" w:rsidRPr="00F958EE">
        <w:rPr>
          <w:rFonts w:ascii="Arial Narrow" w:hAnsi="Arial Narrow" w:cs="Times New Roman"/>
          <w:sz w:val="24"/>
          <w:szCs w:val="24"/>
        </w:rPr>
        <w:t xml:space="preserve"> </w:t>
      </w:r>
      <w:r w:rsidR="00F958EE">
        <w:rPr>
          <w:rFonts w:ascii="Arial Narrow" w:hAnsi="Arial Narrow" w:cs="Times New Roman"/>
          <w:sz w:val="24"/>
          <w:szCs w:val="24"/>
          <w:lang w:val="en-US"/>
        </w:rPr>
        <w:t>offices</w:t>
      </w:r>
      <w:r w:rsidR="00F958EE" w:rsidRPr="00F958EE">
        <w:rPr>
          <w:rFonts w:ascii="Arial Narrow" w:hAnsi="Arial Narrow" w:cs="Times New Roman"/>
          <w:sz w:val="24"/>
          <w:szCs w:val="24"/>
        </w:rPr>
        <w:t xml:space="preserve"> </w:t>
      </w:r>
      <w:r w:rsidR="00F958EE">
        <w:rPr>
          <w:rFonts w:ascii="Arial Narrow" w:hAnsi="Arial Narrow" w:cs="Times New Roman"/>
          <w:sz w:val="24"/>
          <w:szCs w:val="24"/>
        </w:rPr>
        <w:t>και διεθνείς διαχειριστές κεφαλαίων. Μεγάλοι</w:t>
      </w:r>
      <w:r w:rsidR="00F958EE" w:rsidRPr="00F958EE">
        <w:rPr>
          <w:rFonts w:ascii="Arial Narrow" w:hAnsi="Arial Narrow" w:cs="Times New Roman"/>
          <w:sz w:val="24"/>
          <w:szCs w:val="24"/>
        </w:rPr>
        <w:t xml:space="preserve"> </w:t>
      </w:r>
      <w:r w:rsidR="00F958EE">
        <w:rPr>
          <w:rFonts w:ascii="Arial Narrow" w:hAnsi="Arial Narrow" w:cs="Times New Roman"/>
          <w:sz w:val="24"/>
          <w:szCs w:val="24"/>
        </w:rPr>
        <w:t>επενδυτικοί</w:t>
      </w:r>
      <w:r w:rsidR="00F958EE" w:rsidRPr="00F958EE">
        <w:rPr>
          <w:rFonts w:ascii="Arial Narrow" w:hAnsi="Arial Narrow" w:cs="Times New Roman"/>
          <w:sz w:val="24"/>
          <w:szCs w:val="24"/>
        </w:rPr>
        <w:t xml:space="preserve"> </w:t>
      </w:r>
      <w:r w:rsidR="00F958EE">
        <w:rPr>
          <w:rFonts w:ascii="Arial Narrow" w:hAnsi="Arial Narrow" w:cs="Times New Roman"/>
          <w:sz w:val="24"/>
          <w:szCs w:val="24"/>
        </w:rPr>
        <w:t>οίκοι</w:t>
      </w:r>
      <w:r w:rsidR="00F958EE" w:rsidRPr="00F958EE">
        <w:rPr>
          <w:rFonts w:ascii="Arial Narrow" w:hAnsi="Arial Narrow" w:cs="Times New Roman"/>
          <w:sz w:val="24"/>
          <w:szCs w:val="24"/>
        </w:rPr>
        <w:t xml:space="preserve"> </w:t>
      </w:r>
      <w:r w:rsidR="00F958EE">
        <w:rPr>
          <w:rFonts w:ascii="Arial Narrow" w:hAnsi="Arial Narrow" w:cs="Times New Roman"/>
          <w:sz w:val="24"/>
          <w:szCs w:val="24"/>
        </w:rPr>
        <w:t>όπως</w:t>
      </w:r>
      <w:r w:rsidR="00F958EE" w:rsidRPr="00F958EE">
        <w:rPr>
          <w:rFonts w:ascii="Arial Narrow" w:hAnsi="Arial Narrow" w:cs="Times New Roman"/>
          <w:sz w:val="24"/>
          <w:szCs w:val="24"/>
        </w:rPr>
        <w:t xml:space="preserve"> </w:t>
      </w:r>
      <w:r w:rsidR="00F958EE">
        <w:rPr>
          <w:rFonts w:ascii="Arial Narrow" w:hAnsi="Arial Narrow" w:cs="Times New Roman"/>
          <w:sz w:val="24"/>
          <w:szCs w:val="24"/>
          <w:lang w:val="en-US"/>
        </w:rPr>
        <w:t>JPMORGAN</w:t>
      </w:r>
      <w:r w:rsidR="00F958EE" w:rsidRPr="00F958EE">
        <w:rPr>
          <w:rFonts w:ascii="Arial Narrow" w:hAnsi="Arial Narrow" w:cs="Times New Roman"/>
          <w:sz w:val="24"/>
          <w:szCs w:val="24"/>
        </w:rPr>
        <w:t xml:space="preserve"> </w:t>
      </w:r>
      <w:r w:rsidR="00F958EE">
        <w:rPr>
          <w:rFonts w:ascii="Arial Narrow" w:hAnsi="Arial Narrow" w:cs="Times New Roman"/>
          <w:sz w:val="24"/>
          <w:szCs w:val="24"/>
          <w:lang w:val="en-US"/>
        </w:rPr>
        <w:t>CHASE</w:t>
      </w:r>
      <w:r w:rsidR="00F958EE" w:rsidRPr="00F958EE">
        <w:rPr>
          <w:rFonts w:ascii="Arial Narrow" w:hAnsi="Arial Narrow" w:cs="Times New Roman"/>
          <w:sz w:val="24"/>
          <w:szCs w:val="24"/>
        </w:rPr>
        <w:t xml:space="preserve">, </w:t>
      </w:r>
      <w:r w:rsidR="00F958EE">
        <w:rPr>
          <w:rFonts w:ascii="Arial Narrow" w:hAnsi="Arial Narrow" w:cs="Times New Roman"/>
          <w:sz w:val="24"/>
          <w:szCs w:val="24"/>
          <w:lang w:val="en-US"/>
        </w:rPr>
        <w:t>STANDARD</w:t>
      </w:r>
      <w:r w:rsidR="00F958EE" w:rsidRPr="00F958EE">
        <w:rPr>
          <w:rFonts w:ascii="Arial Narrow" w:hAnsi="Arial Narrow" w:cs="Times New Roman"/>
          <w:sz w:val="24"/>
          <w:szCs w:val="24"/>
        </w:rPr>
        <w:t xml:space="preserve"> </w:t>
      </w:r>
      <w:r w:rsidR="00F958EE">
        <w:rPr>
          <w:rFonts w:ascii="Arial Narrow" w:hAnsi="Arial Narrow" w:cs="Times New Roman"/>
          <w:sz w:val="24"/>
          <w:szCs w:val="24"/>
          <w:lang w:val="en-US"/>
        </w:rPr>
        <w:t>CHARTERED</w:t>
      </w:r>
      <w:r w:rsidR="00F958EE" w:rsidRPr="00F958EE">
        <w:rPr>
          <w:rFonts w:ascii="Arial Narrow" w:hAnsi="Arial Narrow" w:cs="Times New Roman"/>
          <w:sz w:val="24"/>
          <w:szCs w:val="24"/>
        </w:rPr>
        <w:t xml:space="preserve"> &amp; </w:t>
      </w:r>
      <w:r w:rsidR="00F958EE">
        <w:rPr>
          <w:rFonts w:ascii="Arial Narrow" w:hAnsi="Arial Narrow" w:cs="Times New Roman"/>
          <w:sz w:val="24"/>
          <w:szCs w:val="24"/>
          <w:lang w:val="en-US"/>
        </w:rPr>
        <w:t>ROTHSCHILD</w:t>
      </w:r>
      <w:r w:rsidR="00F958EE" w:rsidRPr="00F958EE">
        <w:rPr>
          <w:rFonts w:ascii="Arial Narrow" w:hAnsi="Arial Narrow" w:cs="Times New Roman"/>
          <w:sz w:val="24"/>
          <w:szCs w:val="24"/>
        </w:rPr>
        <w:t xml:space="preserve"> &amp; </w:t>
      </w:r>
      <w:r w:rsidR="00F958EE">
        <w:rPr>
          <w:rFonts w:ascii="Arial Narrow" w:hAnsi="Arial Narrow" w:cs="Times New Roman"/>
          <w:sz w:val="24"/>
          <w:szCs w:val="24"/>
          <w:lang w:val="en-US"/>
        </w:rPr>
        <w:t>CO</w:t>
      </w:r>
      <w:r w:rsidR="00F958EE" w:rsidRPr="00F958EE">
        <w:rPr>
          <w:rFonts w:ascii="Arial Narrow" w:hAnsi="Arial Narrow" w:cs="Times New Roman"/>
          <w:sz w:val="24"/>
          <w:szCs w:val="24"/>
        </w:rPr>
        <w:t xml:space="preserve"> </w:t>
      </w:r>
      <w:r w:rsidR="00F958EE">
        <w:rPr>
          <w:rFonts w:ascii="Arial Narrow" w:hAnsi="Arial Narrow" w:cs="Times New Roman"/>
          <w:sz w:val="24"/>
          <w:szCs w:val="24"/>
        </w:rPr>
        <w:t>επεκτείνουν</w:t>
      </w:r>
      <w:r w:rsidR="00F958EE" w:rsidRPr="00F958EE">
        <w:rPr>
          <w:rFonts w:ascii="Arial Narrow" w:hAnsi="Arial Narrow" w:cs="Times New Roman"/>
          <w:sz w:val="24"/>
          <w:szCs w:val="24"/>
        </w:rPr>
        <w:t xml:space="preserve"> </w:t>
      </w:r>
      <w:r w:rsidR="00F958EE">
        <w:rPr>
          <w:rFonts w:ascii="Arial Narrow" w:hAnsi="Arial Narrow" w:cs="Times New Roman"/>
          <w:sz w:val="24"/>
          <w:szCs w:val="24"/>
        </w:rPr>
        <w:t>τις δραστηριότητές τους στα ΗΑΕ.</w:t>
      </w:r>
    </w:p>
    <w:p w14:paraId="5A133E2A" w14:textId="3ADF370D" w:rsidR="00F958EE" w:rsidRPr="00817F84" w:rsidRDefault="00937EF2" w:rsidP="00A51660">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26.11. </w:t>
      </w:r>
      <w:r w:rsidR="00F958EE" w:rsidRPr="00817F84">
        <w:rPr>
          <w:rFonts w:ascii="Arial Narrow" w:hAnsi="Arial Narrow" w:cs="Times New Roman"/>
          <w:b/>
          <w:color w:val="4F81BD" w:themeColor="accent1"/>
          <w:sz w:val="24"/>
          <w:szCs w:val="24"/>
        </w:rPr>
        <w:t xml:space="preserve">Ρυθμιστικό Πλαίσιο και </w:t>
      </w:r>
      <w:r w:rsidR="00F958EE" w:rsidRPr="00817F84">
        <w:rPr>
          <w:rFonts w:ascii="Arial Narrow" w:hAnsi="Arial Narrow" w:cs="Times New Roman"/>
          <w:b/>
          <w:color w:val="4F81BD" w:themeColor="accent1"/>
          <w:sz w:val="24"/>
          <w:szCs w:val="24"/>
          <w:lang w:val="en-US"/>
        </w:rPr>
        <w:t>AML</w:t>
      </w:r>
    </w:p>
    <w:p w14:paraId="36969908" w14:textId="07130562" w:rsidR="00F958EE" w:rsidRDefault="00F958EE" w:rsidP="00A51660">
      <w:pPr>
        <w:jc w:val="both"/>
        <w:rPr>
          <w:rFonts w:ascii="Arial Narrow" w:hAnsi="Arial Narrow" w:cs="Times New Roman"/>
          <w:sz w:val="24"/>
          <w:szCs w:val="24"/>
        </w:rPr>
      </w:pPr>
      <w:r>
        <w:rPr>
          <w:rFonts w:ascii="Arial Narrow" w:hAnsi="Arial Narrow" w:cs="Times New Roman"/>
          <w:sz w:val="24"/>
          <w:szCs w:val="24"/>
        </w:rPr>
        <w:t xml:space="preserve">Τα τελευταία χρόνια τα ΗΑΕ έχουν προχωρήσει σε σημαντικές μεταρρυθμίσεις για τομείς, όπως καταπολέμηση ξεπλύματος χρήματος, χρηματοδότηση τρομοκρατίας, φορολογική διαφάνεια &amp; εταιρική διακυβέρνηση. Το 2025 θεσπίστηκε νέο τραπεζικό πλαίσιο που αυξάνει σημαντικά τις εποπτικές εξουσίες της Κεντρικής Τράπεζας και επιτρέπει πρόστιμα έως 1 δις </w:t>
      </w:r>
      <w:r>
        <w:rPr>
          <w:rFonts w:ascii="Arial Narrow" w:hAnsi="Arial Narrow" w:cs="Times New Roman"/>
          <w:sz w:val="24"/>
          <w:szCs w:val="24"/>
          <w:lang w:val="en-US"/>
        </w:rPr>
        <w:t>AED</w:t>
      </w:r>
      <w:r w:rsidRPr="00F958EE">
        <w:rPr>
          <w:rFonts w:ascii="Arial Narrow" w:hAnsi="Arial Narrow" w:cs="Times New Roman"/>
          <w:sz w:val="24"/>
          <w:szCs w:val="24"/>
        </w:rPr>
        <w:t xml:space="preserve"> (</w:t>
      </w:r>
      <w:r w:rsidR="00F35628">
        <w:rPr>
          <w:rFonts w:ascii="Arial Narrow" w:hAnsi="Arial Narrow" w:cs="Times New Roman"/>
          <w:sz w:val="24"/>
          <w:szCs w:val="24"/>
        </w:rPr>
        <w:t>Ντίρχαμ).</w:t>
      </w:r>
    </w:p>
    <w:p w14:paraId="7FC2374C" w14:textId="74993E54" w:rsidR="00F35628" w:rsidRPr="00817F84" w:rsidRDefault="00EC0F53" w:rsidP="00A51660">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26.12. </w:t>
      </w:r>
      <w:r w:rsidR="00F35628" w:rsidRPr="00817F84">
        <w:rPr>
          <w:rFonts w:ascii="Arial Narrow" w:hAnsi="Arial Narrow" w:cs="Times New Roman"/>
          <w:b/>
          <w:color w:val="4F81BD" w:themeColor="accent1"/>
          <w:sz w:val="24"/>
          <w:szCs w:val="24"/>
        </w:rPr>
        <w:t xml:space="preserve">Ανταγωνιστικά Πλεονεκτήματα </w:t>
      </w:r>
    </w:p>
    <w:p w14:paraId="5C6637F9" w14:textId="009E6B23" w:rsidR="00F35628" w:rsidRDefault="0044678A" w:rsidP="00A51660">
      <w:pPr>
        <w:jc w:val="both"/>
        <w:rPr>
          <w:rFonts w:ascii="Arial Narrow" w:hAnsi="Arial Narrow" w:cs="Times New Roman"/>
          <w:sz w:val="24"/>
          <w:szCs w:val="24"/>
        </w:rPr>
      </w:pPr>
      <w:r>
        <w:rPr>
          <w:rFonts w:ascii="Arial Narrow" w:hAnsi="Arial Narrow" w:cs="Times New Roman"/>
          <w:sz w:val="24"/>
          <w:szCs w:val="24"/>
        </w:rPr>
        <w:t>Ως πλεονεκτήματα χαρακτηρίζονται η πολιτική σταθερότητα</w:t>
      </w:r>
      <w:r w:rsidR="003C6077">
        <w:rPr>
          <w:rFonts w:ascii="Arial Narrow" w:hAnsi="Arial Narrow" w:cs="Times New Roman"/>
          <w:sz w:val="24"/>
          <w:szCs w:val="24"/>
        </w:rPr>
        <w:t>, ισχυρό τραπεζικό σύστημα, χαμηλή φορολογία, διεθνείς χρηματοοικονομικές υποδομές, προηγμένο κανονιστικό πλαίσιο, στρατηγική θέση μεταξύ Ευρώπης, Ασίας και Αφρικής &amp; υψηλή ρευστότητα.</w:t>
      </w:r>
    </w:p>
    <w:p w14:paraId="5880C4E7" w14:textId="0EF1F53F" w:rsidR="003C6077" w:rsidRPr="00817F84" w:rsidRDefault="00EC0F53" w:rsidP="00A51660">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26.13. </w:t>
      </w:r>
      <w:r w:rsidR="003C6077" w:rsidRPr="00817F84">
        <w:rPr>
          <w:rFonts w:ascii="Arial Narrow" w:hAnsi="Arial Narrow" w:cs="Times New Roman"/>
          <w:b/>
          <w:color w:val="4F81BD" w:themeColor="accent1"/>
          <w:sz w:val="24"/>
          <w:szCs w:val="24"/>
        </w:rPr>
        <w:t xml:space="preserve">Προκλήσεις </w:t>
      </w:r>
    </w:p>
    <w:p w14:paraId="77740FB2" w14:textId="367B850F" w:rsidR="003C6077" w:rsidRDefault="003C6077" w:rsidP="00A51660">
      <w:pPr>
        <w:jc w:val="both"/>
        <w:rPr>
          <w:rFonts w:ascii="Arial Narrow" w:hAnsi="Arial Narrow" w:cs="Times New Roman"/>
          <w:sz w:val="24"/>
          <w:szCs w:val="24"/>
        </w:rPr>
      </w:pPr>
      <w:r>
        <w:rPr>
          <w:rFonts w:ascii="Arial Narrow" w:hAnsi="Arial Narrow" w:cs="Times New Roman"/>
          <w:sz w:val="24"/>
          <w:szCs w:val="24"/>
        </w:rPr>
        <w:t xml:space="preserve">Στις προκλήσεις καταγράφονται οι πάσης φύσεως γεωπολιτικοί κίνδυνοι (περιφερειακές συγκρούσεις, κίνδυνοι στη ναυσιπλοϊα του Κόλπου και πιθανές εκροές κεφαλαίων σε περιόδους κρίσεων. Άλλοι κίνδυνοι αφορούν τον ψηφιακό ανταγωνισμό (ψηφιακές τράπεζες, </w:t>
      </w:r>
      <w:r>
        <w:rPr>
          <w:rFonts w:ascii="Arial Narrow" w:hAnsi="Arial Narrow" w:cs="Times New Roman"/>
          <w:sz w:val="24"/>
          <w:szCs w:val="24"/>
          <w:lang w:val="en-US"/>
        </w:rPr>
        <w:t>FinTech</w:t>
      </w:r>
      <w:r w:rsidRPr="003C6077">
        <w:rPr>
          <w:rFonts w:ascii="Arial Narrow" w:hAnsi="Arial Narrow" w:cs="Times New Roman"/>
          <w:sz w:val="24"/>
          <w:szCs w:val="24"/>
        </w:rPr>
        <w:t xml:space="preserve"> </w:t>
      </w:r>
      <w:r>
        <w:rPr>
          <w:rFonts w:ascii="Arial Narrow" w:hAnsi="Arial Narrow" w:cs="Times New Roman"/>
          <w:sz w:val="24"/>
          <w:szCs w:val="24"/>
          <w:lang w:val="en-US"/>
        </w:rPr>
        <w:t>startups</w:t>
      </w:r>
      <w:r w:rsidRPr="003C6077">
        <w:rPr>
          <w:rFonts w:ascii="Arial Narrow" w:hAnsi="Arial Narrow" w:cs="Times New Roman"/>
          <w:sz w:val="24"/>
          <w:szCs w:val="24"/>
        </w:rPr>
        <w:t xml:space="preserve"> &amp; </w:t>
      </w:r>
      <w:r>
        <w:rPr>
          <w:rFonts w:ascii="Arial Narrow" w:hAnsi="Arial Narrow" w:cs="Times New Roman"/>
          <w:sz w:val="24"/>
          <w:szCs w:val="24"/>
          <w:lang w:val="en-US"/>
        </w:rPr>
        <w:t>Open</w:t>
      </w:r>
      <w:r w:rsidRPr="003C6077">
        <w:rPr>
          <w:rFonts w:ascii="Arial Narrow" w:hAnsi="Arial Narrow" w:cs="Times New Roman"/>
          <w:sz w:val="24"/>
          <w:szCs w:val="24"/>
        </w:rPr>
        <w:t xml:space="preserve"> </w:t>
      </w:r>
      <w:r>
        <w:rPr>
          <w:rFonts w:ascii="Arial Narrow" w:hAnsi="Arial Narrow" w:cs="Times New Roman"/>
          <w:sz w:val="24"/>
          <w:szCs w:val="24"/>
          <w:lang w:val="en-US"/>
        </w:rPr>
        <w:t>Banking</w:t>
      </w:r>
      <w:r w:rsidRPr="003C6077">
        <w:rPr>
          <w:rFonts w:ascii="Arial Narrow" w:hAnsi="Arial Narrow" w:cs="Times New Roman"/>
          <w:sz w:val="24"/>
          <w:szCs w:val="24"/>
        </w:rPr>
        <w:t xml:space="preserve">) </w:t>
      </w:r>
      <w:r>
        <w:rPr>
          <w:rFonts w:ascii="Arial Narrow" w:hAnsi="Arial Narrow" w:cs="Times New Roman"/>
          <w:sz w:val="24"/>
          <w:szCs w:val="24"/>
        </w:rPr>
        <w:t xml:space="preserve">και Κανονιστική Συμμόρφωση σε προϊόντα όπως </w:t>
      </w:r>
      <w:r>
        <w:rPr>
          <w:rFonts w:ascii="Arial Narrow" w:hAnsi="Arial Narrow" w:cs="Times New Roman"/>
          <w:sz w:val="24"/>
          <w:szCs w:val="24"/>
          <w:lang w:val="en-US"/>
        </w:rPr>
        <w:t>AML</w:t>
      </w:r>
      <w:r w:rsidRPr="003C6077">
        <w:rPr>
          <w:rFonts w:ascii="Arial Narrow" w:hAnsi="Arial Narrow" w:cs="Times New Roman"/>
          <w:sz w:val="24"/>
          <w:szCs w:val="24"/>
        </w:rPr>
        <w:t xml:space="preserve">, </w:t>
      </w:r>
      <w:r>
        <w:rPr>
          <w:rFonts w:ascii="Arial Narrow" w:hAnsi="Arial Narrow" w:cs="Times New Roman"/>
          <w:sz w:val="24"/>
          <w:szCs w:val="24"/>
          <w:lang w:val="en-US"/>
        </w:rPr>
        <w:t>FATF</w:t>
      </w:r>
      <w:r w:rsidRPr="003C6077">
        <w:rPr>
          <w:rFonts w:ascii="Arial Narrow" w:hAnsi="Arial Narrow" w:cs="Times New Roman"/>
          <w:sz w:val="24"/>
          <w:szCs w:val="24"/>
        </w:rPr>
        <w:t xml:space="preserve"> &amp; </w:t>
      </w:r>
      <w:r>
        <w:rPr>
          <w:rFonts w:ascii="Arial Narrow" w:hAnsi="Arial Narrow" w:cs="Times New Roman"/>
          <w:sz w:val="24"/>
          <w:szCs w:val="24"/>
          <w:lang w:val="en-US"/>
        </w:rPr>
        <w:t>ESG</w:t>
      </w:r>
      <w:r w:rsidRPr="003C6077">
        <w:rPr>
          <w:rFonts w:ascii="Arial Narrow" w:hAnsi="Arial Narrow" w:cs="Times New Roman"/>
          <w:sz w:val="24"/>
          <w:szCs w:val="24"/>
        </w:rPr>
        <w:t xml:space="preserve"> </w:t>
      </w:r>
      <w:r>
        <w:rPr>
          <w:rFonts w:ascii="Arial Narrow" w:hAnsi="Arial Narrow" w:cs="Times New Roman"/>
          <w:sz w:val="24"/>
          <w:szCs w:val="24"/>
          <w:lang w:val="en-US"/>
        </w:rPr>
        <w:t>Reporting</w:t>
      </w:r>
      <w:r w:rsidRPr="003C6077">
        <w:rPr>
          <w:rFonts w:ascii="Arial Narrow" w:hAnsi="Arial Narrow" w:cs="Times New Roman"/>
          <w:sz w:val="24"/>
          <w:szCs w:val="24"/>
        </w:rPr>
        <w:t>.</w:t>
      </w:r>
    </w:p>
    <w:p w14:paraId="3BAC5A42" w14:textId="20563B6A" w:rsidR="003C6077" w:rsidRPr="00817F84" w:rsidRDefault="00EC0F53" w:rsidP="00A51660">
      <w:pPr>
        <w:jc w:val="both"/>
        <w:rPr>
          <w:rFonts w:ascii="Arial Narrow" w:hAnsi="Arial Narrow" w:cs="Times New Roman"/>
          <w:b/>
          <w:color w:val="4F81BD" w:themeColor="accent1"/>
          <w:sz w:val="24"/>
          <w:szCs w:val="24"/>
        </w:rPr>
      </w:pPr>
      <w:r>
        <w:rPr>
          <w:rFonts w:ascii="Arial Narrow" w:hAnsi="Arial Narrow" w:cs="Times New Roman"/>
          <w:b/>
          <w:color w:val="4F81BD" w:themeColor="accent1"/>
          <w:sz w:val="24"/>
          <w:szCs w:val="24"/>
        </w:rPr>
        <w:t xml:space="preserve">26.14. </w:t>
      </w:r>
      <w:r w:rsidR="00AB6D4B" w:rsidRPr="00817F84">
        <w:rPr>
          <w:rFonts w:ascii="Arial Narrow" w:hAnsi="Arial Narrow" w:cs="Times New Roman"/>
          <w:b/>
          <w:color w:val="4F81BD" w:themeColor="accent1"/>
          <w:sz w:val="24"/>
          <w:szCs w:val="24"/>
        </w:rPr>
        <w:t>Προοπτικές 2026-2030</w:t>
      </w:r>
    </w:p>
    <w:p w14:paraId="492323E9" w14:textId="75FBD9EF" w:rsidR="00AB6D4B" w:rsidRDefault="00AB6D4B" w:rsidP="00A51660">
      <w:pPr>
        <w:jc w:val="both"/>
        <w:rPr>
          <w:rFonts w:ascii="Arial Narrow" w:hAnsi="Arial Narrow" w:cs="Times New Roman"/>
          <w:b/>
          <w:color w:val="000000" w:themeColor="text1"/>
          <w:sz w:val="24"/>
          <w:szCs w:val="24"/>
        </w:rPr>
      </w:pPr>
      <w:r>
        <w:rPr>
          <w:rFonts w:ascii="Arial Narrow" w:hAnsi="Arial Narrow" w:cs="Times New Roman"/>
          <w:color w:val="000000" w:themeColor="text1"/>
          <w:sz w:val="24"/>
          <w:szCs w:val="24"/>
        </w:rPr>
        <w:t xml:space="preserve">Οι περισσότεροι διεθνείς οικονομικοί οργανισμοί εκτιμούν ότι ο χρηματοοικονομικός τομέας των ΗΑΕ θα συνεχίσει την αναπτυξιακή τους πορεία, πολύ περισσότερο από τον παγκόσμιο μέσο όρο λόγω: </w:t>
      </w:r>
      <w:r>
        <w:rPr>
          <w:rFonts w:ascii="Arial Narrow" w:hAnsi="Arial Narrow" w:cs="Times New Roman"/>
          <w:b/>
          <w:color w:val="000000" w:themeColor="text1"/>
          <w:sz w:val="24"/>
          <w:szCs w:val="24"/>
        </w:rPr>
        <w:t xml:space="preserve">ανόδου του </w:t>
      </w:r>
      <w:r>
        <w:rPr>
          <w:rFonts w:ascii="Arial Narrow" w:hAnsi="Arial Narrow" w:cs="Times New Roman"/>
          <w:b/>
          <w:color w:val="000000" w:themeColor="text1"/>
          <w:sz w:val="24"/>
          <w:szCs w:val="24"/>
          <w:lang w:val="en-US"/>
        </w:rPr>
        <w:t>DIFC</w:t>
      </w:r>
      <w:r w:rsidRPr="00AB6D4B">
        <w:rPr>
          <w:rFonts w:ascii="Arial Narrow" w:hAnsi="Arial Narrow" w:cs="Times New Roman"/>
          <w:b/>
          <w:color w:val="000000" w:themeColor="text1"/>
          <w:sz w:val="24"/>
          <w:szCs w:val="24"/>
        </w:rPr>
        <w:t xml:space="preserve"> &amp; </w:t>
      </w:r>
      <w:r>
        <w:rPr>
          <w:rFonts w:ascii="Arial Narrow" w:hAnsi="Arial Narrow" w:cs="Times New Roman"/>
          <w:b/>
          <w:color w:val="000000" w:themeColor="text1"/>
          <w:sz w:val="24"/>
          <w:szCs w:val="24"/>
          <w:lang w:val="en-US"/>
        </w:rPr>
        <w:t>ADGM</w:t>
      </w:r>
      <w:r w:rsidRPr="00AB6D4B">
        <w:rPr>
          <w:rFonts w:ascii="Arial Narrow" w:hAnsi="Arial Narrow" w:cs="Times New Roman"/>
          <w:b/>
          <w:color w:val="000000" w:themeColor="text1"/>
          <w:sz w:val="24"/>
          <w:szCs w:val="24"/>
        </w:rPr>
        <w:t xml:space="preserve">, </w:t>
      </w:r>
      <w:r>
        <w:rPr>
          <w:rFonts w:ascii="Arial Narrow" w:hAnsi="Arial Narrow" w:cs="Times New Roman"/>
          <w:b/>
          <w:color w:val="000000" w:themeColor="text1"/>
          <w:sz w:val="24"/>
          <w:szCs w:val="24"/>
        </w:rPr>
        <w:t xml:space="preserve">εισροής διεθνών κεφαλαίων, ανάπτυξης του </w:t>
      </w:r>
      <w:r>
        <w:rPr>
          <w:rFonts w:ascii="Arial Narrow" w:hAnsi="Arial Narrow" w:cs="Times New Roman"/>
          <w:b/>
          <w:color w:val="000000" w:themeColor="text1"/>
          <w:sz w:val="24"/>
          <w:szCs w:val="24"/>
          <w:lang w:val="en-US"/>
        </w:rPr>
        <w:t>private</w:t>
      </w:r>
      <w:r w:rsidRPr="00AB6D4B">
        <w:rPr>
          <w:rFonts w:ascii="Arial Narrow" w:hAnsi="Arial Narrow" w:cs="Times New Roman"/>
          <w:b/>
          <w:color w:val="000000" w:themeColor="text1"/>
          <w:sz w:val="24"/>
          <w:szCs w:val="24"/>
        </w:rPr>
        <w:t xml:space="preserve"> </w:t>
      </w:r>
      <w:r>
        <w:rPr>
          <w:rFonts w:ascii="Arial Narrow" w:hAnsi="Arial Narrow" w:cs="Times New Roman"/>
          <w:b/>
          <w:color w:val="000000" w:themeColor="text1"/>
          <w:sz w:val="24"/>
          <w:szCs w:val="24"/>
          <w:lang w:val="en-US"/>
        </w:rPr>
        <w:t>banking</w:t>
      </w:r>
      <w:r w:rsidRPr="00AB6D4B">
        <w:rPr>
          <w:rFonts w:ascii="Arial Narrow" w:hAnsi="Arial Narrow" w:cs="Times New Roman"/>
          <w:b/>
          <w:color w:val="000000" w:themeColor="text1"/>
          <w:sz w:val="24"/>
          <w:szCs w:val="24"/>
        </w:rPr>
        <w:t xml:space="preserve">, </w:t>
      </w:r>
      <w:r>
        <w:rPr>
          <w:rFonts w:ascii="Arial Narrow" w:hAnsi="Arial Narrow" w:cs="Times New Roman"/>
          <w:b/>
          <w:color w:val="000000" w:themeColor="text1"/>
          <w:sz w:val="24"/>
          <w:szCs w:val="24"/>
        </w:rPr>
        <w:t xml:space="preserve">επέκτασης της ισλαμικής χρηματοδότησης, ψηφιακού μετασχηματισμού και ανάπτυξης της πράσινης </w:t>
      </w:r>
      <w:r w:rsidR="00FB56CA">
        <w:rPr>
          <w:rFonts w:ascii="Arial Narrow" w:hAnsi="Arial Narrow" w:cs="Times New Roman"/>
          <w:b/>
          <w:color w:val="000000" w:themeColor="text1"/>
          <w:sz w:val="24"/>
          <w:szCs w:val="24"/>
        </w:rPr>
        <w:t>χρηματοδότησης (</w:t>
      </w:r>
      <w:r w:rsidR="00FB56CA">
        <w:rPr>
          <w:rFonts w:ascii="Arial Narrow" w:hAnsi="Arial Narrow" w:cs="Times New Roman"/>
          <w:b/>
          <w:color w:val="000000" w:themeColor="text1"/>
          <w:sz w:val="24"/>
          <w:szCs w:val="24"/>
          <w:lang w:val="en-US"/>
        </w:rPr>
        <w:t>Green</w:t>
      </w:r>
      <w:r w:rsidR="00FB56CA" w:rsidRPr="00FB56CA">
        <w:rPr>
          <w:rFonts w:ascii="Arial Narrow" w:hAnsi="Arial Narrow" w:cs="Times New Roman"/>
          <w:b/>
          <w:color w:val="000000" w:themeColor="text1"/>
          <w:sz w:val="24"/>
          <w:szCs w:val="24"/>
        </w:rPr>
        <w:t xml:space="preserve"> </w:t>
      </w:r>
      <w:r w:rsidR="00FB56CA">
        <w:rPr>
          <w:rFonts w:ascii="Arial Narrow" w:hAnsi="Arial Narrow" w:cs="Times New Roman"/>
          <w:b/>
          <w:color w:val="000000" w:themeColor="text1"/>
          <w:sz w:val="24"/>
          <w:szCs w:val="24"/>
          <w:lang w:val="en-US"/>
        </w:rPr>
        <w:t>Finance</w:t>
      </w:r>
      <w:r w:rsidR="00FB56CA" w:rsidRPr="00FB56CA">
        <w:rPr>
          <w:rFonts w:ascii="Arial Narrow" w:hAnsi="Arial Narrow" w:cs="Times New Roman"/>
          <w:b/>
          <w:color w:val="000000" w:themeColor="text1"/>
          <w:sz w:val="24"/>
          <w:szCs w:val="24"/>
        </w:rPr>
        <w:t xml:space="preserve">) </w:t>
      </w:r>
      <w:r w:rsidR="00FB56CA">
        <w:rPr>
          <w:rFonts w:ascii="Arial Narrow" w:hAnsi="Arial Narrow" w:cs="Times New Roman"/>
          <w:b/>
          <w:color w:val="000000" w:themeColor="text1"/>
          <w:sz w:val="24"/>
          <w:szCs w:val="24"/>
        </w:rPr>
        <w:t>και του αυξανόμενου ρόλου των ΗΑΕ ως παγκόσμιου επενδυτικού και χρηματοπιστωτικού κόμβου.</w:t>
      </w:r>
    </w:p>
    <w:p w14:paraId="096E10F9" w14:textId="763B8EE0" w:rsidR="00CC3C52" w:rsidRDefault="00FB56CA" w:rsidP="00E923A4">
      <w:pPr>
        <w:jc w:val="both"/>
        <w:rPr>
          <w:rFonts w:ascii="Arial Narrow" w:hAnsi="Arial Narrow" w:cs="Times New Roman"/>
          <w:sz w:val="24"/>
          <w:szCs w:val="24"/>
        </w:rPr>
      </w:pPr>
      <w:r>
        <w:rPr>
          <w:rFonts w:ascii="Arial Narrow" w:hAnsi="Arial Narrow" w:cs="Times New Roman"/>
          <w:sz w:val="24"/>
          <w:szCs w:val="24"/>
        </w:rPr>
        <w:t xml:space="preserve">Συμπερασματικά πρέπει να ειπωθεί ότι ο χρηματοοικονομικός κλάδος των ΗΑΕ είναι κατά πολύ περισσότερο ανεπτυγμένος στον αραβικό κόσμο και ένας από τους ισχυρότερους διεθνώς. Με τραπεζικά περιουσιακά στοιχείς άνω των 5,3 τρις </w:t>
      </w:r>
      <w:r>
        <w:rPr>
          <w:rFonts w:ascii="Arial Narrow" w:hAnsi="Arial Narrow" w:cs="Times New Roman"/>
          <w:sz w:val="24"/>
          <w:szCs w:val="24"/>
          <w:lang w:val="en-US"/>
        </w:rPr>
        <w:t>AED</w:t>
      </w:r>
      <w:r w:rsidRPr="00BA13AB">
        <w:rPr>
          <w:rFonts w:ascii="Arial Narrow" w:hAnsi="Arial Narrow" w:cs="Times New Roman"/>
          <w:sz w:val="24"/>
          <w:szCs w:val="24"/>
        </w:rPr>
        <w:t xml:space="preserve"> (</w:t>
      </w:r>
      <w:r w:rsidR="00BA13AB">
        <w:rPr>
          <w:rFonts w:ascii="Arial Narrow" w:hAnsi="Arial Narrow" w:cs="Times New Roman"/>
          <w:sz w:val="24"/>
          <w:szCs w:val="24"/>
        </w:rPr>
        <w:t xml:space="preserve">Ντίρχαμ), σημαντικά χρηματοοικονομικά κέντρα, όπως το </w:t>
      </w:r>
      <w:r w:rsidR="00BA13AB">
        <w:rPr>
          <w:rFonts w:ascii="Arial Narrow" w:hAnsi="Arial Narrow" w:cs="Times New Roman"/>
          <w:sz w:val="24"/>
          <w:szCs w:val="24"/>
          <w:lang w:val="en-US"/>
        </w:rPr>
        <w:t>DIFC</w:t>
      </w:r>
      <w:r w:rsidR="00BA13AB" w:rsidRPr="00BA13AB">
        <w:rPr>
          <w:rFonts w:ascii="Arial Narrow" w:hAnsi="Arial Narrow" w:cs="Times New Roman"/>
          <w:sz w:val="24"/>
          <w:szCs w:val="24"/>
        </w:rPr>
        <w:t xml:space="preserve"> &amp; </w:t>
      </w:r>
      <w:r w:rsidR="00BA13AB">
        <w:rPr>
          <w:rFonts w:ascii="Arial Narrow" w:hAnsi="Arial Narrow" w:cs="Times New Roman"/>
          <w:sz w:val="24"/>
          <w:szCs w:val="24"/>
          <w:lang w:val="en-US"/>
        </w:rPr>
        <w:t>ADGM</w:t>
      </w:r>
      <w:r w:rsidR="00BA13AB" w:rsidRPr="00BA13AB">
        <w:rPr>
          <w:rFonts w:ascii="Arial Narrow" w:hAnsi="Arial Narrow" w:cs="Times New Roman"/>
          <w:sz w:val="24"/>
          <w:szCs w:val="24"/>
        </w:rPr>
        <w:t xml:space="preserve">, </w:t>
      </w:r>
      <w:r w:rsidR="00BA13AB">
        <w:rPr>
          <w:rFonts w:ascii="Arial Narrow" w:hAnsi="Arial Narrow" w:cs="Times New Roman"/>
          <w:sz w:val="24"/>
          <w:szCs w:val="24"/>
        </w:rPr>
        <w:t xml:space="preserve">ισχυρά </w:t>
      </w:r>
      <w:r w:rsidR="007C18B6">
        <w:rPr>
          <w:rFonts w:ascii="Arial Narrow" w:hAnsi="Arial Narrow" w:cs="Times New Roman"/>
          <w:sz w:val="24"/>
          <w:szCs w:val="24"/>
          <w:lang w:val="en-US"/>
        </w:rPr>
        <w:t>Sovereign</w:t>
      </w:r>
      <w:r w:rsidR="007C18B6" w:rsidRPr="007C18B6">
        <w:rPr>
          <w:rFonts w:ascii="Arial Narrow" w:hAnsi="Arial Narrow" w:cs="Times New Roman"/>
          <w:sz w:val="24"/>
          <w:szCs w:val="24"/>
        </w:rPr>
        <w:t xml:space="preserve"> </w:t>
      </w:r>
      <w:r w:rsidR="007C18B6">
        <w:rPr>
          <w:rFonts w:ascii="Arial Narrow" w:hAnsi="Arial Narrow" w:cs="Times New Roman"/>
          <w:sz w:val="24"/>
          <w:szCs w:val="24"/>
          <w:lang w:val="en-US"/>
        </w:rPr>
        <w:t>Wealth</w:t>
      </w:r>
      <w:r w:rsidR="007C18B6" w:rsidRPr="007C18B6">
        <w:rPr>
          <w:rFonts w:ascii="Arial Narrow" w:hAnsi="Arial Narrow" w:cs="Times New Roman"/>
          <w:sz w:val="24"/>
          <w:szCs w:val="24"/>
        </w:rPr>
        <w:t xml:space="preserve"> </w:t>
      </w:r>
      <w:r w:rsidR="007C18B6">
        <w:rPr>
          <w:rFonts w:ascii="Arial Narrow" w:hAnsi="Arial Narrow" w:cs="Times New Roman"/>
          <w:sz w:val="24"/>
          <w:szCs w:val="24"/>
          <w:lang w:val="en-US"/>
        </w:rPr>
        <w:t>Funds</w:t>
      </w:r>
      <w:r w:rsidR="007C18B6" w:rsidRPr="007C18B6">
        <w:rPr>
          <w:rFonts w:ascii="Arial Narrow" w:hAnsi="Arial Narrow" w:cs="Times New Roman"/>
          <w:sz w:val="24"/>
          <w:szCs w:val="24"/>
        </w:rPr>
        <w:t xml:space="preserve"> &amp; </w:t>
      </w:r>
      <w:r w:rsidR="007C18B6">
        <w:rPr>
          <w:rFonts w:ascii="Arial Narrow" w:hAnsi="Arial Narrow" w:cs="Times New Roman"/>
          <w:sz w:val="24"/>
          <w:szCs w:val="24"/>
          <w:lang w:val="en-US"/>
        </w:rPr>
        <w:t>FinTech</w:t>
      </w:r>
      <w:r w:rsidR="007C18B6" w:rsidRPr="007C18B6">
        <w:rPr>
          <w:rFonts w:ascii="Arial Narrow" w:hAnsi="Arial Narrow" w:cs="Times New Roman"/>
          <w:sz w:val="24"/>
          <w:szCs w:val="24"/>
        </w:rPr>
        <w:t xml:space="preserve"> </w:t>
      </w:r>
      <w:r w:rsidR="007C18B6">
        <w:rPr>
          <w:rFonts w:ascii="Arial Narrow" w:hAnsi="Arial Narrow" w:cs="Times New Roman"/>
          <w:sz w:val="24"/>
          <w:szCs w:val="24"/>
        </w:rPr>
        <w:t xml:space="preserve">υπηρεσιών, ο τομέας αναμένεται να αποτελέσει ένας από τους βασικούς μοχλούς οικονομικής ανάπτυξης των ΗΑΕ έως το 2030. </w:t>
      </w:r>
    </w:p>
    <w:p w14:paraId="60D62BFC" w14:textId="42E5C8EA" w:rsidR="00F167B6" w:rsidRPr="00EC0F53" w:rsidRDefault="00EC0F53" w:rsidP="00EC0F53">
      <w:pPr>
        <w:jc w:val="center"/>
        <w:rPr>
          <w:rFonts w:ascii="Arial Narrow" w:hAnsi="Arial Narrow" w:cs="Times New Roman"/>
          <w:b/>
          <w:color w:val="4F81BD" w:themeColor="accent1"/>
          <w:sz w:val="28"/>
          <w:szCs w:val="28"/>
        </w:rPr>
      </w:pPr>
      <w:r w:rsidRPr="00EC0F53">
        <w:rPr>
          <w:rFonts w:ascii="Arial Narrow" w:hAnsi="Arial Narrow" w:cs="Times New Roman"/>
          <w:b/>
          <w:color w:val="4F81BD" w:themeColor="accent1"/>
          <w:sz w:val="28"/>
          <w:szCs w:val="28"/>
        </w:rPr>
        <w:t xml:space="preserve">27. </w:t>
      </w:r>
      <w:r w:rsidR="00E014E4" w:rsidRPr="00EC0F53">
        <w:rPr>
          <w:rFonts w:ascii="Arial Narrow" w:hAnsi="Arial Narrow" w:cs="Times New Roman"/>
          <w:b/>
          <w:color w:val="4F81BD" w:themeColor="accent1"/>
          <w:sz w:val="28"/>
          <w:szCs w:val="28"/>
        </w:rPr>
        <w:t>Η ΨΗΦΙΑΚΗ ΟΙΚΟΝΟΜΙΑ ΣΤΑ ΗΑΕ</w:t>
      </w:r>
    </w:p>
    <w:p w14:paraId="6F780C9C" w14:textId="34D6F984" w:rsidR="00E014E4" w:rsidRPr="00583E38" w:rsidRDefault="00E014E4" w:rsidP="00E923A4">
      <w:pPr>
        <w:jc w:val="both"/>
        <w:rPr>
          <w:rFonts w:ascii="Arial Narrow" w:hAnsi="Arial Narrow" w:cs="Times New Roman"/>
          <w:b/>
          <w:color w:val="1F497D" w:themeColor="text2"/>
          <w:sz w:val="24"/>
          <w:szCs w:val="24"/>
        </w:rPr>
      </w:pPr>
      <w:r w:rsidRPr="00583E38">
        <w:rPr>
          <w:rFonts w:ascii="Arial Narrow" w:hAnsi="Arial Narrow" w:cs="Times New Roman"/>
          <w:b/>
          <w:color w:val="1F497D" w:themeColor="text2"/>
          <w:sz w:val="24"/>
          <w:szCs w:val="24"/>
        </w:rPr>
        <w:t xml:space="preserve">1. Εισαγωγή </w:t>
      </w:r>
    </w:p>
    <w:p w14:paraId="362F1F8F" w14:textId="4F64BB37" w:rsidR="00E014E4" w:rsidRDefault="00E014E4" w:rsidP="00E923A4">
      <w:pPr>
        <w:jc w:val="both"/>
        <w:rPr>
          <w:rFonts w:ascii="Arial Narrow" w:hAnsi="Arial Narrow" w:cs="Times New Roman"/>
          <w:sz w:val="24"/>
          <w:szCs w:val="24"/>
        </w:rPr>
      </w:pPr>
      <w:r>
        <w:rPr>
          <w:rFonts w:ascii="Arial Narrow" w:hAnsi="Arial Narrow" w:cs="Times New Roman"/>
          <w:sz w:val="24"/>
          <w:szCs w:val="24"/>
        </w:rPr>
        <w:t xml:space="preserve">Τα ΗΑΕ έχουν θέσει ως στόχο να μετατραπούν σε παγκόσμιο κόμβο ψηφιακής τεχνολογίας, τεχνητής νοημοσύνης, χρηματοοικονομικής τεχνολογίας </w:t>
      </w:r>
      <w:r w:rsidR="00641B83">
        <w:rPr>
          <w:rFonts w:ascii="Arial Narrow" w:hAnsi="Arial Narrow" w:cs="Times New Roman"/>
          <w:sz w:val="24"/>
          <w:szCs w:val="24"/>
        </w:rPr>
        <w:t>(</w:t>
      </w:r>
      <w:r w:rsidR="00641B83">
        <w:rPr>
          <w:rFonts w:ascii="Arial Narrow" w:hAnsi="Arial Narrow" w:cs="Times New Roman"/>
          <w:sz w:val="24"/>
          <w:szCs w:val="24"/>
          <w:lang w:val="en-US"/>
        </w:rPr>
        <w:t>FinTech</w:t>
      </w:r>
      <w:r w:rsidR="00641B83" w:rsidRPr="00641B83">
        <w:rPr>
          <w:rFonts w:ascii="Arial Narrow" w:hAnsi="Arial Narrow" w:cs="Times New Roman"/>
          <w:sz w:val="24"/>
          <w:szCs w:val="24"/>
        </w:rPr>
        <w:t xml:space="preserve">), </w:t>
      </w:r>
      <w:r w:rsidR="00641B83">
        <w:rPr>
          <w:rFonts w:ascii="Arial Narrow" w:hAnsi="Arial Narrow" w:cs="Times New Roman"/>
          <w:sz w:val="24"/>
          <w:szCs w:val="24"/>
          <w:lang w:val="en-US"/>
        </w:rPr>
        <w:t>cloud</w:t>
      </w:r>
      <w:r w:rsidR="00641B83" w:rsidRPr="00641B83">
        <w:rPr>
          <w:rFonts w:ascii="Arial Narrow" w:hAnsi="Arial Narrow" w:cs="Times New Roman"/>
          <w:sz w:val="24"/>
          <w:szCs w:val="24"/>
        </w:rPr>
        <w:t xml:space="preserve"> </w:t>
      </w:r>
      <w:r w:rsidR="00641B83">
        <w:rPr>
          <w:rFonts w:ascii="Arial Narrow" w:hAnsi="Arial Narrow" w:cs="Times New Roman"/>
          <w:sz w:val="24"/>
          <w:szCs w:val="24"/>
          <w:lang w:val="en-US"/>
        </w:rPr>
        <w:t>computing</w:t>
      </w:r>
      <w:r w:rsidR="00641B83" w:rsidRPr="00641B83">
        <w:rPr>
          <w:rFonts w:ascii="Arial Narrow" w:hAnsi="Arial Narrow" w:cs="Times New Roman"/>
          <w:sz w:val="24"/>
          <w:szCs w:val="24"/>
        </w:rPr>
        <w:t xml:space="preserve"> </w:t>
      </w:r>
      <w:r w:rsidR="00641B83">
        <w:rPr>
          <w:rFonts w:ascii="Arial Narrow" w:hAnsi="Arial Narrow" w:cs="Times New Roman"/>
          <w:sz w:val="24"/>
          <w:szCs w:val="24"/>
        </w:rPr>
        <w:t xml:space="preserve">και έξυπνων υπηρεσιών. Τα ΗΑΕ συγκαταλέγονται μεταξύ των πιο ψηφιοποιημένων οικονομιών παγκοσμίως, με ιδίαιτερα υψηλή διείσδυση διαδικτύου, κινητής τηλεφωνίας, ηλεκτρονικών συναλλαγών και ψηφιακών δημοσίων υπηρεσιών. Η εμιρατινή κυβέρνηση υλοποιεί την </w:t>
      </w:r>
      <w:r w:rsidR="00641B83" w:rsidRPr="00641B83">
        <w:rPr>
          <w:rFonts w:ascii="Arial Narrow" w:hAnsi="Arial Narrow" w:cs="Times New Roman"/>
          <w:b/>
          <w:sz w:val="24"/>
          <w:szCs w:val="24"/>
        </w:rPr>
        <w:t>Εθνική Στρατηγική Ψηφιακής Οικονομίας (</w:t>
      </w:r>
      <w:r w:rsidR="00641B83" w:rsidRPr="00641B83">
        <w:rPr>
          <w:rFonts w:ascii="Arial Narrow" w:hAnsi="Arial Narrow" w:cs="Times New Roman"/>
          <w:b/>
          <w:sz w:val="24"/>
          <w:szCs w:val="24"/>
          <w:lang w:val="en-US"/>
        </w:rPr>
        <w:t>Digital</w:t>
      </w:r>
      <w:r w:rsidR="00641B83" w:rsidRPr="00641B83">
        <w:rPr>
          <w:rFonts w:ascii="Arial Narrow" w:hAnsi="Arial Narrow" w:cs="Times New Roman"/>
          <w:b/>
          <w:sz w:val="24"/>
          <w:szCs w:val="24"/>
        </w:rPr>
        <w:t xml:space="preserve"> </w:t>
      </w:r>
      <w:r w:rsidR="00641B83" w:rsidRPr="00641B83">
        <w:rPr>
          <w:rFonts w:ascii="Arial Narrow" w:hAnsi="Arial Narrow" w:cs="Times New Roman"/>
          <w:b/>
          <w:sz w:val="24"/>
          <w:szCs w:val="24"/>
          <w:lang w:val="en-US"/>
        </w:rPr>
        <w:t>Economy</w:t>
      </w:r>
      <w:r w:rsidR="00641B83" w:rsidRPr="00641B83">
        <w:rPr>
          <w:rFonts w:ascii="Arial Narrow" w:hAnsi="Arial Narrow" w:cs="Times New Roman"/>
          <w:b/>
          <w:sz w:val="24"/>
          <w:szCs w:val="24"/>
        </w:rPr>
        <w:t xml:space="preserve"> </w:t>
      </w:r>
      <w:r w:rsidR="00641B83" w:rsidRPr="00641B83">
        <w:rPr>
          <w:rFonts w:ascii="Arial Narrow" w:hAnsi="Arial Narrow" w:cs="Times New Roman"/>
          <w:b/>
          <w:sz w:val="24"/>
          <w:szCs w:val="24"/>
          <w:lang w:val="en-US"/>
        </w:rPr>
        <w:t>Strategy</w:t>
      </w:r>
      <w:r w:rsidR="00641B83" w:rsidRPr="00641B83">
        <w:rPr>
          <w:rFonts w:ascii="Arial Narrow" w:hAnsi="Arial Narrow" w:cs="Times New Roman"/>
          <w:b/>
          <w:sz w:val="24"/>
          <w:szCs w:val="24"/>
        </w:rPr>
        <w:t>)</w:t>
      </w:r>
      <w:r w:rsidR="0037005F" w:rsidRPr="0037005F">
        <w:rPr>
          <w:rFonts w:ascii="Arial Narrow" w:hAnsi="Arial Narrow" w:cs="Times New Roman"/>
          <w:sz w:val="24"/>
          <w:szCs w:val="24"/>
        </w:rPr>
        <w:t xml:space="preserve">, </w:t>
      </w:r>
      <w:r w:rsidR="0037005F">
        <w:rPr>
          <w:rFonts w:ascii="Arial Narrow" w:hAnsi="Arial Narrow" w:cs="Times New Roman"/>
          <w:sz w:val="24"/>
          <w:szCs w:val="24"/>
        </w:rPr>
        <w:t xml:space="preserve">η οποία προβλέπει </w:t>
      </w:r>
      <w:r w:rsidR="00583E38">
        <w:rPr>
          <w:rFonts w:ascii="Arial Narrow" w:hAnsi="Arial Narrow" w:cs="Times New Roman"/>
          <w:sz w:val="24"/>
          <w:szCs w:val="24"/>
        </w:rPr>
        <w:t>συμμετοχή στο ΑΕΠ (στοιχεία 2022) κατά 9,7%, στόχος για το 2031-2032 19,4%, με διπλασιασμό αναμενόμενης συνεισφοράς. αριθμό πρωτοβουλιών &gt;30 και τομείς παρέμβασης σε 6 κύριους κλάδους. Σύμφωνα με πρόσφατες εκτιμήσεις, η ψηφιακή οικονομία προσεγγίζει ήδη το 12% του ΑΕΠ και αναμένεται να υπερβεί το 20% το έτος 2031.</w:t>
      </w:r>
    </w:p>
    <w:p w14:paraId="666F17D4" w14:textId="0C86DBC9" w:rsidR="00583E38" w:rsidRDefault="00583E38" w:rsidP="00E923A4">
      <w:pPr>
        <w:jc w:val="both"/>
        <w:rPr>
          <w:rFonts w:ascii="Arial Narrow" w:hAnsi="Arial Narrow" w:cs="Times New Roman"/>
          <w:b/>
          <w:color w:val="1F497D" w:themeColor="text2"/>
          <w:sz w:val="24"/>
          <w:szCs w:val="24"/>
        </w:rPr>
      </w:pPr>
      <w:r w:rsidRPr="00583E38">
        <w:rPr>
          <w:rFonts w:ascii="Arial Narrow" w:hAnsi="Arial Narrow" w:cs="Times New Roman"/>
          <w:b/>
          <w:color w:val="1F497D" w:themeColor="text2"/>
          <w:sz w:val="24"/>
          <w:szCs w:val="24"/>
        </w:rPr>
        <w:t xml:space="preserve">Κύριοι πυλώνες της Ψηφιακής Οικονομίας </w:t>
      </w:r>
    </w:p>
    <w:p w14:paraId="2CAA7102" w14:textId="6759BEAD" w:rsidR="00583E38" w:rsidRDefault="00583E38" w:rsidP="00E923A4">
      <w:pPr>
        <w:jc w:val="both"/>
        <w:rPr>
          <w:rFonts w:ascii="Arial Narrow" w:hAnsi="Arial Narrow" w:cs="Times New Roman"/>
          <w:sz w:val="24"/>
          <w:szCs w:val="24"/>
        </w:rPr>
      </w:pPr>
      <w:r>
        <w:rPr>
          <w:rFonts w:ascii="Arial Narrow" w:hAnsi="Arial Narrow" w:cs="Times New Roman"/>
          <w:sz w:val="24"/>
          <w:szCs w:val="24"/>
        </w:rPr>
        <w:t>Κύριοι πυλώνες της ψηφιακής οικονομίας είναι η Τεχνητή Νοημοσύνη (</w:t>
      </w:r>
      <w:r>
        <w:rPr>
          <w:rFonts w:ascii="Arial Narrow" w:hAnsi="Arial Narrow" w:cs="Times New Roman"/>
          <w:sz w:val="24"/>
          <w:szCs w:val="24"/>
          <w:lang w:val="en-US"/>
        </w:rPr>
        <w:t>AI</w:t>
      </w:r>
      <w:r w:rsidRPr="00583E38">
        <w:rPr>
          <w:rFonts w:ascii="Arial Narrow" w:hAnsi="Arial Narrow" w:cs="Times New Roman"/>
          <w:sz w:val="24"/>
          <w:szCs w:val="24"/>
        </w:rPr>
        <w:t xml:space="preserve">). </w:t>
      </w:r>
      <w:r>
        <w:rPr>
          <w:rFonts w:ascii="Arial Narrow" w:hAnsi="Arial Narrow" w:cs="Times New Roman"/>
          <w:sz w:val="24"/>
          <w:szCs w:val="24"/>
        </w:rPr>
        <w:t>Τα ΗΑΕ υπήρξε παγκοσμίως η πρώτη χώρα παγκοσμίως που δημιούργησε Υπουργείο Τεχνητής Νοημοσύνης. Η στρατηγική «</w:t>
      </w:r>
      <w:r>
        <w:rPr>
          <w:rFonts w:ascii="Arial Narrow" w:hAnsi="Arial Narrow" w:cs="Times New Roman"/>
          <w:sz w:val="24"/>
          <w:szCs w:val="24"/>
          <w:lang w:val="en-US"/>
        </w:rPr>
        <w:t>UAE</w:t>
      </w:r>
      <w:r w:rsidRPr="00583E38">
        <w:rPr>
          <w:rFonts w:ascii="Arial Narrow" w:hAnsi="Arial Narrow" w:cs="Times New Roman"/>
          <w:sz w:val="24"/>
          <w:szCs w:val="24"/>
        </w:rPr>
        <w:t xml:space="preserve"> </w:t>
      </w:r>
      <w:r>
        <w:rPr>
          <w:rFonts w:ascii="Arial Narrow" w:hAnsi="Arial Narrow" w:cs="Times New Roman"/>
          <w:sz w:val="24"/>
          <w:szCs w:val="24"/>
          <w:lang w:val="en-US"/>
        </w:rPr>
        <w:t>AL</w:t>
      </w:r>
      <w:r w:rsidRPr="00583E38">
        <w:rPr>
          <w:rFonts w:ascii="Arial Narrow" w:hAnsi="Arial Narrow" w:cs="Times New Roman"/>
          <w:sz w:val="24"/>
          <w:szCs w:val="24"/>
        </w:rPr>
        <w:t xml:space="preserve"> </w:t>
      </w:r>
      <w:r>
        <w:rPr>
          <w:rFonts w:ascii="Arial Narrow" w:hAnsi="Arial Narrow" w:cs="Times New Roman"/>
          <w:sz w:val="24"/>
          <w:szCs w:val="24"/>
          <w:lang w:val="en-US"/>
        </w:rPr>
        <w:t>STRATEGY</w:t>
      </w:r>
      <w:r w:rsidRPr="00583E38">
        <w:rPr>
          <w:rFonts w:ascii="Arial Narrow" w:hAnsi="Arial Narrow" w:cs="Times New Roman"/>
          <w:sz w:val="24"/>
          <w:szCs w:val="24"/>
        </w:rPr>
        <w:t xml:space="preserve"> 2031)</w:t>
      </w:r>
      <w:r>
        <w:rPr>
          <w:rFonts w:ascii="Arial Narrow" w:hAnsi="Arial Narrow" w:cs="Times New Roman"/>
          <w:sz w:val="24"/>
          <w:szCs w:val="24"/>
        </w:rPr>
        <w:t xml:space="preserve">» στοχεύει στην αύξηση της παραγωγικότητας, στη βελτίωση δημόσιων υπηρεσιών, στη δημιουργία νέων ψηφιακών βιομηχανιών και στη προσέλκυση διεθνών επενδύσεων. Η </w:t>
      </w:r>
      <w:r>
        <w:rPr>
          <w:rFonts w:ascii="Arial Narrow" w:hAnsi="Arial Narrow" w:cs="Times New Roman"/>
          <w:sz w:val="24"/>
          <w:szCs w:val="24"/>
          <w:lang w:val="en-US"/>
        </w:rPr>
        <w:t>AI</w:t>
      </w:r>
      <w:r w:rsidRPr="00583E38">
        <w:rPr>
          <w:rFonts w:ascii="Arial Narrow" w:hAnsi="Arial Narrow" w:cs="Times New Roman"/>
          <w:sz w:val="24"/>
          <w:szCs w:val="24"/>
        </w:rPr>
        <w:t xml:space="preserve"> </w:t>
      </w:r>
      <w:r>
        <w:rPr>
          <w:rFonts w:ascii="Arial Narrow" w:hAnsi="Arial Narrow" w:cs="Times New Roman"/>
          <w:sz w:val="24"/>
          <w:szCs w:val="24"/>
        </w:rPr>
        <w:t xml:space="preserve">αναμένεται ότι έως το 2031 θα συμβάλει έως και 20% του μη πετρελαϊκού ΑΕΠ. </w:t>
      </w:r>
      <w:r w:rsidR="009D4EDC">
        <w:rPr>
          <w:rFonts w:ascii="Arial Narrow" w:hAnsi="Arial Narrow" w:cs="Times New Roman"/>
          <w:sz w:val="24"/>
          <w:szCs w:val="24"/>
        </w:rPr>
        <w:t xml:space="preserve">Βασικοί τομείς εφαρμογής είναι η υγεία, οι μεταφορές, η εκπαίδευση, η ενέργεια, τα </w:t>
      </w:r>
      <w:r w:rsidR="009D4EDC">
        <w:rPr>
          <w:rFonts w:ascii="Arial Narrow" w:hAnsi="Arial Narrow" w:cs="Times New Roman"/>
          <w:sz w:val="24"/>
          <w:szCs w:val="24"/>
          <w:lang w:val="en-US"/>
        </w:rPr>
        <w:t>Logistics</w:t>
      </w:r>
      <w:r w:rsidR="009D4EDC" w:rsidRPr="009D4EDC">
        <w:rPr>
          <w:rFonts w:ascii="Arial Narrow" w:hAnsi="Arial Narrow" w:cs="Times New Roman"/>
          <w:sz w:val="24"/>
          <w:szCs w:val="24"/>
        </w:rPr>
        <w:t xml:space="preserve">, </w:t>
      </w:r>
      <w:r w:rsidR="009D4EDC">
        <w:rPr>
          <w:rFonts w:ascii="Arial Narrow" w:hAnsi="Arial Narrow" w:cs="Times New Roman"/>
          <w:sz w:val="24"/>
          <w:szCs w:val="24"/>
        </w:rPr>
        <w:t>η Δημόσια Διοίκηση και οι χρηματοοικονομικές υπηρεσίες.</w:t>
      </w:r>
    </w:p>
    <w:p w14:paraId="78F4EC3A" w14:textId="385329D4" w:rsidR="009D4EDC" w:rsidRPr="005B362A" w:rsidRDefault="009D4EDC" w:rsidP="00E923A4">
      <w:pPr>
        <w:jc w:val="both"/>
        <w:rPr>
          <w:rFonts w:ascii="Arial Narrow" w:hAnsi="Arial Narrow" w:cs="Times New Roman"/>
          <w:b/>
          <w:color w:val="1F497D" w:themeColor="text2"/>
          <w:sz w:val="24"/>
          <w:szCs w:val="24"/>
        </w:rPr>
      </w:pPr>
      <w:r w:rsidRPr="009D4EDC">
        <w:rPr>
          <w:rFonts w:ascii="Arial Narrow" w:hAnsi="Arial Narrow" w:cs="Times New Roman"/>
          <w:b/>
          <w:color w:val="1F497D" w:themeColor="text2"/>
          <w:sz w:val="24"/>
          <w:szCs w:val="24"/>
          <w:lang w:val="en-US"/>
        </w:rPr>
        <w:t>Cloud</w:t>
      </w:r>
      <w:r w:rsidRPr="009D4EDC">
        <w:rPr>
          <w:rFonts w:ascii="Arial Narrow" w:hAnsi="Arial Narrow" w:cs="Times New Roman"/>
          <w:b/>
          <w:color w:val="1F497D" w:themeColor="text2"/>
          <w:sz w:val="24"/>
          <w:szCs w:val="24"/>
        </w:rPr>
        <w:t xml:space="preserve"> </w:t>
      </w:r>
      <w:r w:rsidRPr="009D4EDC">
        <w:rPr>
          <w:rFonts w:ascii="Arial Narrow" w:hAnsi="Arial Narrow" w:cs="Times New Roman"/>
          <w:b/>
          <w:color w:val="1F497D" w:themeColor="text2"/>
          <w:sz w:val="24"/>
          <w:szCs w:val="24"/>
          <w:lang w:val="en-US"/>
        </w:rPr>
        <w:t>Compuiting</w:t>
      </w:r>
      <w:r w:rsidRPr="009D4EDC">
        <w:rPr>
          <w:rFonts w:ascii="Arial Narrow" w:hAnsi="Arial Narrow" w:cs="Times New Roman"/>
          <w:b/>
          <w:color w:val="1F497D" w:themeColor="text2"/>
          <w:sz w:val="24"/>
          <w:szCs w:val="24"/>
        </w:rPr>
        <w:t xml:space="preserve"> &amp; </w:t>
      </w:r>
      <w:r w:rsidRPr="009D4EDC">
        <w:rPr>
          <w:rFonts w:ascii="Arial Narrow" w:hAnsi="Arial Narrow" w:cs="Times New Roman"/>
          <w:b/>
          <w:color w:val="1F497D" w:themeColor="text2"/>
          <w:sz w:val="24"/>
          <w:szCs w:val="24"/>
          <w:lang w:val="en-US"/>
        </w:rPr>
        <w:t>Data</w:t>
      </w:r>
      <w:r w:rsidRPr="009D4EDC">
        <w:rPr>
          <w:rFonts w:ascii="Arial Narrow" w:hAnsi="Arial Narrow" w:cs="Times New Roman"/>
          <w:b/>
          <w:color w:val="1F497D" w:themeColor="text2"/>
          <w:sz w:val="24"/>
          <w:szCs w:val="24"/>
        </w:rPr>
        <w:t xml:space="preserve"> </w:t>
      </w:r>
      <w:r w:rsidRPr="009D4EDC">
        <w:rPr>
          <w:rFonts w:ascii="Arial Narrow" w:hAnsi="Arial Narrow" w:cs="Times New Roman"/>
          <w:b/>
          <w:color w:val="1F497D" w:themeColor="text2"/>
          <w:sz w:val="24"/>
          <w:szCs w:val="24"/>
          <w:lang w:val="en-US"/>
        </w:rPr>
        <w:t>Centers</w:t>
      </w:r>
      <w:r w:rsidRPr="005B362A">
        <w:rPr>
          <w:rFonts w:ascii="Arial Narrow" w:hAnsi="Arial Narrow" w:cs="Times New Roman"/>
          <w:b/>
          <w:color w:val="1F497D" w:themeColor="text2"/>
          <w:sz w:val="24"/>
          <w:szCs w:val="24"/>
        </w:rPr>
        <w:t xml:space="preserve"> </w:t>
      </w:r>
    </w:p>
    <w:p w14:paraId="6978741E" w14:textId="5E818609" w:rsidR="009D4EDC" w:rsidRDefault="009D4EDC" w:rsidP="00E923A4">
      <w:pPr>
        <w:jc w:val="both"/>
        <w:rPr>
          <w:rFonts w:ascii="Arial Narrow" w:hAnsi="Arial Narrow" w:cs="Times New Roman"/>
          <w:sz w:val="24"/>
          <w:szCs w:val="24"/>
        </w:rPr>
      </w:pPr>
      <w:r>
        <w:rPr>
          <w:rFonts w:ascii="Arial Narrow" w:hAnsi="Arial Narrow" w:cs="Times New Roman"/>
          <w:sz w:val="24"/>
          <w:szCs w:val="24"/>
          <w:lang w:val="en-US"/>
        </w:rPr>
        <w:t>T</w:t>
      </w:r>
      <w:r>
        <w:rPr>
          <w:rFonts w:ascii="Arial Narrow" w:hAnsi="Arial Narrow" w:cs="Times New Roman"/>
          <w:sz w:val="24"/>
          <w:szCs w:val="24"/>
        </w:rPr>
        <w:t>α</w:t>
      </w:r>
      <w:r w:rsidRPr="005B362A">
        <w:rPr>
          <w:rFonts w:ascii="Arial Narrow" w:hAnsi="Arial Narrow" w:cs="Times New Roman"/>
          <w:sz w:val="24"/>
          <w:szCs w:val="24"/>
        </w:rPr>
        <w:t xml:space="preserve"> </w:t>
      </w:r>
      <w:r>
        <w:rPr>
          <w:rFonts w:ascii="Arial Narrow" w:hAnsi="Arial Narrow" w:cs="Times New Roman"/>
          <w:sz w:val="24"/>
          <w:szCs w:val="24"/>
        </w:rPr>
        <w:t>ΗΑΕ</w:t>
      </w:r>
      <w:r w:rsidRPr="005B362A">
        <w:rPr>
          <w:rFonts w:ascii="Arial Narrow" w:hAnsi="Arial Narrow" w:cs="Times New Roman"/>
          <w:sz w:val="24"/>
          <w:szCs w:val="24"/>
        </w:rPr>
        <w:t xml:space="preserve"> </w:t>
      </w:r>
      <w:r>
        <w:rPr>
          <w:rFonts w:ascii="Arial Narrow" w:hAnsi="Arial Narrow" w:cs="Times New Roman"/>
          <w:sz w:val="24"/>
          <w:szCs w:val="24"/>
        </w:rPr>
        <w:t>δαπανούν</w:t>
      </w:r>
      <w:r w:rsidRPr="005B362A">
        <w:rPr>
          <w:rFonts w:ascii="Arial Narrow" w:hAnsi="Arial Narrow" w:cs="Times New Roman"/>
          <w:sz w:val="24"/>
          <w:szCs w:val="24"/>
        </w:rPr>
        <w:t xml:space="preserve"> </w:t>
      </w:r>
      <w:r>
        <w:rPr>
          <w:rFonts w:ascii="Arial Narrow" w:hAnsi="Arial Narrow" w:cs="Times New Roman"/>
          <w:sz w:val="24"/>
          <w:szCs w:val="24"/>
        </w:rPr>
        <w:t>υπερόγκα</w:t>
      </w:r>
      <w:r w:rsidRPr="005B362A">
        <w:rPr>
          <w:rFonts w:ascii="Arial Narrow" w:hAnsi="Arial Narrow" w:cs="Times New Roman"/>
          <w:sz w:val="24"/>
          <w:szCs w:val="24"/>
        </w:rPr>
        <w:t xml:space="preserve"> </w:t>
      </w:r>
      <w:r>
        <w:rPr>
          <w:rFonts w:ascii="Arial Narrow" w:hAnsi="Arial Narrow" w:cs="Times New Roman"/>
          <w:sz w:val="24"/>
          <w:szCs w:val="24"/>
        </w:rPr>
        <w:t>ποσά</w:t>
      </w:r>
      <w:r w:rsidRPr="005B362A">
        <w:rPr>
          <w:rFonts w:ascii="Arial Narrow" w:hAnsi="Arial Narrow" w:cs="Times New Roman"/>
          <w:sz w:val="24"/>
          <w:szCs w:val="24"/>
        </w:rPr>
        <w:t xml:space="preserve"> </w:t>
      </w:r>
      <w:r>
        <w:rPr>
          <w:rFonts w:ascii="Arial Narrow" w:hAnsi="Arial Narrow" w:cs="Times New Roman"/>
          <w:sz w:val="24"/>
          <w:szCs w:val="24"/>
        </w:rPr>
        <w:t>σε</w:t>
      </w:r>
      <w:r w:rsidRPr="005B362A">
        <w:rPr>
          <w:rFonts w:ascii="Arial Narrow" w:hAnsi="Arial Narrow" w:cs="Times New Roman"/>
          <w:sz w:val="24"/>
          <w:szCs w:val="24"/>
        </w:rPr>
        <w:t xml:space="preserve"> </w:t>
      </w:r>
      <w:r>
        <w:rPr>
          <w:rFonts w:ascii="Arial Narrow" w:hAnsi="Arial Narrow" w:cs="Times New Roman"/>
          <w:sz w:val="24"/>
          <w:szCs w:val="24"/>
        </w:rPr>
        <w:t>υπερκέντρα</w:t>
      </w:r>
      <w:r w:rsidRPr="005B362A">
        <w:rPr>
          <w:rFonts w:ascii="Arial Narrow" w:hAnsi="Arial Narrow" w:cs="Times New Roman"/>
          <w:sz w:val="24"/>
          <w:szCs w:val="24"/>
        </w:rPr>
        <w:t xml:space="preserve"> </w:t>
      </w:r>
      <w:r>
        <w:rPr>
          <w:rFonts w:ascii="Arial Narrow" w:hAnsi="Arial Narrow" w:cs="Times New Roman"/>
          <w:sz w:val="24"/>
          <w:szCs w:val="24"/>
        </w:rPr>
        <w:t>δεδομένων</w:t>
      </w:r>
      <w:r w:rsidRPr="005B362A">
        <w:rPr>
          <w:rFonts w:ascii="Arial Narrow" w:hAnsi="Arial Narrow" w:cs="Times New Roman"/>
          <w:sz w:val="24"/>
          <w:szCs w:val="24"/>
        </w:rPr>
        <w:t xml:space="preserve"> (</w:t>
      </w:r>
      <w:r>
        <w:rPr>
          <w:rFonts w:ascii="Arial Narrow" w:hAnsi="Arial Narrow" w:cs="Times New Roman"/>
          <w:sz w:val="24"/>
          <w:szCs w:val="24"/>
          <w:lang w:val="en-US"/>
        </w:rPr>
        <w:t>Hyperscale</w:t>
      </w:r>
      <w:r w:rsidRPr="005B362A">
        <w:rPr>
          <w:rFonts w:ascii="Arial Narrow" w:hAnsi="Arial Narrow" w:cs="Times New Roman"/>
          <w:sz w:val="24"/>
          <w:szCs w:val="24"/>
        </w:rPr>
        <w:t xml:space="preserve"> </w:t>
      </w:r>
      <w:r>
        <w:rPr>
          <w:rFonts w:ascii="Arial Narrow" w:hAnsi="Arial Narrow" w:cs="Times New Roman"/>
          <w:sz w:val="24"/>
          <w:szCs w:val="24"/>
          <w:lang w:val="en-US"/>
        </w:rPr>
        <w:t>Data</w:t>
      </w:r>
      <w:r w:rsidRPr="005B362A">
        <w:rPr>
          <w:rFonts w:ascii="Arial Narrow" w:hAnsi="Arial Narrow" w:cs="Times New Roman"/>
          <w:sz w:val="24"/>
          <w:szCs w:val="24"/>
        </w:rPr>
        <w:t xml:space="preserve"> </w:t>
      </w:r>
      <w:r>
        <w:rPr>
          <w:rFonts w:ascii="Arial Narrow" w:hAnsi="Arial Narrow" w:cs="Times New Roman"/>
          <w:sz w:val="24"/>
          <w:szCs w:val="24"/>
          <w:lang w:val="en-US"/>
        </w:rPr>
        <w:t>Centhers</w:t>
      </w:r>
      <w:r w:rsidRPr="005B362A">
        <w:rPr>
          <w:rFonts w:ascii="Arial Narrow" w:hAnsi="Arial Narrow" w:cs="Times New Roman"/>
          <w:sz w:val="24"/>
          <w:szCs w:val="24"/>
        </w:rPr>
        <w:t xml:space="preserve">), </w:t>
      </w:r>
      <w:r>
        <w:rPr>
          <w:rFonts w:ascii="Arial Narrow" w:hAnsi="Arial Narrow" w:cs="Times New Roman"/>
          <w:sz w:val="24"/>
          <w:szCs w:val="24"/>
          <w:lang w:val="en-US"/>
        </w:rPr>
        <w:t>Soveiregn</w:t>
      </w:r>
      <w:r w:rsidRPr="005B362A">
        <w:rPr>
          <w:rFonts w:ascii="Arial Narrow" w:hAnsi="Arial Narrow" w:cs="Times New Roman"/>
          <w:sz w:val="24"/>
          <w:szCs w:val="24"/>
        </w:rPr>
        <w:t xml:space="preserve"> </w:t>
      </w:r>
      <w:r>
        <w:rPr>
          <w:rFonts w:ascii="Arial Narrow" w:hAnsi="Arial Narrow" w:cs="Times New Roman"/>
          <w:sz w:val="24"/>
          <w:szCs w:val="24"/>
          <w:lang w:val="en-US"/>
        </w:rPr>
        <w:t>Cloud</w:t>
      </w:r>
      <w:r w:rsidRPr="005B362A">
        <w:rPr>
          <w:rFonts w:ascii="Arial Narrow" w:hAnsi="Arial Narrow" w:cs="Times New Roman"/>
          <w:sz w:val="24"/>
          <w:szCs w:val="24"/>
        </w:rPr>
        <w:t xml:space="preserve">, </w:t>
      </w:r>
      <w:r>
        <w:rPr>
          <w:rFonts w:ascii="Arial Narrow" w:hAnsi="Arial Narrow" w:cs="Times New Roman"/>
          <w:sz w:val="24"/>
          <w:szCs w:val="24"/>
          <w:lang w:val="en-US"/>
        </w:rPr>
        <w:t>AI</w:t>
      </w:r>
      <w:r w:rsidRPr="005B362A">
        <w:rPr>
          <w:rFonts w:ascii="Arial Narrow" w:hAnsi="Arial Narrow" w:cs="Times New Roman"/>
          <w:sz w:val="24"/>
          <w:szCs w:val="24"/>
        </w:rPr>
        <w:t xml:space="preserve"> </w:t>
      </w:r>
      <w:r>
        <w:rPr>
          <w:rFonts w:ascii="Arial Narrow" w:hAnsi="Arial Narrow" w:cs="Times New Roman"/>
          <w:sz w:val="24"/>
          <w:szCs w:val="24"/>
          <w:lang w:val="en-US"/>
        </w:rPr>
        <w:t>Cloud</w:t>
      </w:r>
      <w:r w:rsidRPr="005B362A">
        <w:rPr>
          <w:rFonts w:ascii="Arial Narrow" w:hAnsi="Arial Narrow" w:cs="Times New Roman"/>
          <w:sz w:val="24"/>
          <w:szCs w:val="24"/>
        </w:rPr>
        <w:t xml:space="preserve"> </w:t>
      </w:r>
      <w:r>
        <w:rPr>
          <w:rFonts w:ascii="Arial Narrow" w:hAnsi="Arial Narrow" w:cs="Times New Roman"/>
          <w:sz w:val="24"/>
          <w:szCs w:val="24"/>
          <w:lang w:val="en-US"/>
        </w:rPr>
        <w:t>infrastructure</w:t>
      </w:r>
      <w:r w:rsidRPr="005B362A">
        <w:rPr>
          <w:rFonts w:ascii="Arial Narrow" w:hAnsi="Arial Narrow" w:cs="Times New Roman"/>
          <w:sz w:val="24"/>
          <w:szCs w:val="24"/>
        </w:rPr>
        <w:t xml:space="preserve"> &amp; </w:t>
      </w:r>
      <w:r w:rsidR="00CD2EC7">
        <w:rPr>
          <w:rFonts w:ascii="Arial Narrow" w:hAnsi="Arial Narrow" w:cs="Times New Roman"/>
          <w:sz w:val="24"/>
          <w:szCs w:val="24"/>
        </w:rPr>
        <w:t>Κυβερνητικά</w:t>
      </w:r>
      <w:r w:rsidR="00CD2EC7" w:rsidRPr="005B362A">
        <w:rPr>
          <w:rFonts w:ascii="Arial Narrow" w:hAnsi="Arial Narrow" w:cs="Times New Roman"/>
          <w:sz w:val="24"/>
          <w:szCs w:val="24"/>
        </w:rPr>
        <w:t xml:space="preserve"> </w:t>
      </w:r>
      <w:r w:rsidR="00CD2EC7">
        <w:rPr>
          <w:rFonts w:ascii="Arial Narrow" w:hAnsi="Arial Narrow" w:cs="Times New Roman"/>
          <w:sz w:val="24"/>
          <w:szCs w:val="24"/>
          <w:lang w:val="en-US"/>
        </w:rPr>
        <w:t>Cloud</w:t>
      </w:r>
      <w:r w:rsidR="00CD2EC7" w:rsidRPr="005B362A">
        <w:rPr>
          <w:rFonts w:ascii="Arial Narrow" w:hAnsi="Arial Narrow" w:cs="Times New Roman"/>
          <w:sz w:val="24"/>
          <w:szCs w:val="24"/>
        </w:rPr>
        <w:t xml:space="preserve"> </w:t>
      </w:r>
      <w:r w:rsidR="00CD2EC7">
        <w:rPr>
          <w:rFonts w:ascii="Arial Narrow" w:hAnsi="Arial Narrow" w:cs="Times New Roman"/>
          <w:sz w:val="24"/>
          <w:szCs w:val="24"/>
          <w:lang w:val="en-US"/>
        </w:rPr>
        <w:t>Systems</w:t>
      </w:r>
      <w:r w:rsidR="00CD2EC7" w:rsidRPr="005B362A">
        <w:rPr>
          <w:rFonts w:ascii="Arial Narrow" w:hAnsi="Arial Narrow" w:cs="Times New Roman"/>
          <w:sz w:val="24"/>
          <w:szCs w:val="24"/>
        </w:rPr>
        <w:t xml:space="preserve">. </w:t>
      </w:r>
      <w:r w:rsidR="00CD2EC7">
        <w:rPr>
          <w:rFonts w:ascii="Arial Narrow" w:hAnsi="Arial Narrow" w:cs="Times New Roman"/>
          <w:sz w:val="24"/>
          <w:szCs w:val="24"/>
        </w:rPr>
        <w:t xml:space="preserve">Η συνεργασία </w:t>
      </w:r>
      <w:r w:rsidR="00CD2EC7">
        <w:rPr>
          <w:rFonts w:ascii="Arial Narrow" w:hAnsi="Arial Narrow" w:cs="Times New Roman"/>
          <w:sz w:val="24"/>
          <w:szCs w:val="24"/>
          <w:lang w:val="en-US"/>
        </w:rPr>
        <w:t>Microsoft</w:t>
      </w:r>
      <w:r w:rsidR="00CD2EC7" w:rsidRPr="00CD2EC7">
        <w:rPr>
          <w:rFonts w:ascii="Arial Narrow" w:hAnsi="Arial Narrow" w:cs="Times New Roman"/>
          <w:sz w:val="24"/>
          <w:szCs w:val="24"/>
        </w:rPr>
        <w:t>-</w:t>
      </w:r>
      <w:r w:rsidR="00CD2EC7">
        <w:rPr>
          <w:rFonts w:ascii="Arial Narrow" w:hAnsi="Arial Narrow" w:cs="Times New Roman"/>
          <w:sz w:val="24"/>
          <w:szCs w:val="24"/>
          <w:lang w:val="en-US"/>
        </w:rPr>
        <w:t>G</w:t>
      </w:r>
      <w:r w:rsidR="00CD2EC7" w:rsidRPr="00CD2EC7">
        <w:rPr>
          <w:rFonts w:ascii="Arial Narrow" w:hAnsi="Arial Narrow" w:cs="Times New Roman"/>
          <w:sz w:val="24"/>
          <w:szCs w:val="24"/>
        </w:rPr>
        <w:t xml:space="preserve">42 </w:t>
      </w:r>
      <w:r w:rsidR="00CD2EC7">
        <w:rPr>
          <w:rFonts w:ascii="Arial Narrow" w:hAnsi="Arial Narrow" w:cs="Times New Roman"/>
          <w:sz w:val="24"/>
          <w:szCs w:val="24"/>
        </w:rPr>
        <w:t>προβλέπει επενδύσεις άνω των 15 δις $</w:t>
      </w:r>
      <w:r w:rsidR="00321577">
        <w:rPr>
          <w:rFonts w:ascii="Arial Narrow" w:hAnsi="Arial Narrow" w:cs="Times New Roman"/>
          <w:sz w:val="24"/>
          <w:szCs w:val="24"/>
        </w:rPr>
        <w:t xml:space="preserve"> και σημαντική αύξηση της υπολογιστικής ισχύος </w:t>
      </w:r>
      <w:r w:rsidR="00321577">
        <w:rPr>
          <w:rFonts w:ascii="Arial Narrow" w:hAnsi="Arial Narrow" w:cs="Times New Roman"/>
          <w:sz w:val="24"/>
          <w:szCs w:val="24"/>
          <w:lang w:val="en-US"/>
        </w:rPr>
        <w:t>AI</w:t>
      </w:r>
      <w:r w:rsidR="00321577" w:rsidRPr="00321577">
        <w:rPr>
          <w:rFonts w:ascii="Arial Narrow" w:hAnsi="Arial Narrow" w:cs="Times New Roman"/>
          <w:sz w:val="24"/>
          <w:szCs w:val="24"/>
        </w:rPr>
        <w:t xml:space="preserve"> </w:t>
      </w:r>
      <w:r w:rsidR="00321577">
        <w:rPr>
          <w:rFonts w:ascii="Arial Narrow" w:hAnsi="Arial Narrow" w:cs="Times New Roman"/>
          <w:sz w:val="24"/>
          <w:szCs w:val="24"/>
        </w:rPr>
        <w:t xml:space="preserve">στη χώρα. Παράλληλα η εταιρείς κινητής τηλεφωνίας </w:t>
      </w:r>
      <w:r w:rsidR="00321577">
        <w:rPr>
          <w:rFonts w:ascii="Arial Narrow" w:hAnsi="Arial Narrow" w:cs="Times New Roman"/>
          <w:sz w:val="24"/>
          <w:szCs w:val="24"/>
          <w:lang w:val="en-US"/>
        </w:rPr>
        <w:t>du</w:t>
      </w:r>
      <w:r w:rsidR="00321577" w:rsidRPr="00321577">
        <w:rPr>
          <w:rFonts w:ascii="Arial Narrow" w:hAnsi="Arial Narrow" w:cs="Times New Roman"/>
          <w:sz w:val="24"/>
          <w:szCs w:val="24"/>
        </w:rPr>
        <w:t xml:space="preserve"> </w:t>
      </w:r>
      <w:r w:rsidR="00321577">
        <w:rPr>
          <w:rFonts w:ascii="Arial Narrow" w:hAnsi="Arial Narrow" w:cs="Times New Roman"/>
          <w:sz w:val="24"/>
          <w:szCs w:val="24"/>
        </w:rPr>
        <w:t xml:space="preserve">αναπτύσσει υπηρεσίες </w:t>
      </w:r>
      <w:r w:rsidR="00321577">
        <w:rPr>
          <w:rFonts w:ascii="Arial Narrow" w:hAnsi="Arial Narrow" w:cs="Times New Roman"/>
          <w:sz w:val="24"/>
          <w:szCs w:val="24"/>
          <w:lang w:val="en-US"/>
        </w:rPr>
        <w:t>Soveireign</w:t>
      </w:r>
      <w:r w:rsidR="00321577" w:rsidRPr="00321577">
        <w:rPr>
          <w:rFonts w:ascii="Arial Narrow" w:hAnsi="Arial Narrow" w:cs="Times New Roman"/>
          <w:sz w:val="24"/>
          <w:szCs w:val="24"/>
        </w:rPr>
        <w:t xml:space="preserve"> </w:t>
      </w:r>
      <w:r w:rsidR="00321577">
        <w:rPr>
          <w:rFonts w:ascii="Arial Narrow" w:hAnsi="Arial Narrow" w:cs="Times New Roman"/>
          <w:sz w:val="24"/>
          <w:szCs w:val="24"/>
          <w:lang w:val="en-US"/>
        </w:rPr>
        <w:t>Al</w:t>
      </w:r>
      <w:r w:rsidR="00321577" w:rsidRPr="00321577">
        <w:rPr>
          <w:rFonts w:ascii="Arial Narrow" w:hAnsi="Arial Narrow" w:cs="Times New Roman"/>
          <w:sz w:val="24"/>
          <w:szCs w:val="24"/>
        </w:rPr>
        <w:t xml:space="preserve"> </w:t>
      </w:r>
      <w:r w:rsidR="00321577">
        <w:rPr>
          <w:rFonts w:ascii="Arial Narrow" w:hAnsi="Arial Narrow" w:cs="Times New Roman"/>
          <w:sz w:val="24"/>
          <w:szCs w:val="24"/>
          <w:lang w:val="en-US"/>
        </w:rPr>
        <w:t>Cloud</w:t>
      </w:r>
      <w:r w:rsidR="00321577" w:rsidRPr="00321577">
        <w:rPr>
          <w:rFonts w:ascii="Arial Narrow" w:hAnsi="Arial Narrow" w:cs="Times New Roman"/>
          <w:sz w:val="24"/>
          <w:szCs w:val="24"/>
        </w:rPr>
        <w:t xml:space="preserve"> </w:t>
      </w:r>
      <w:r w:rsidR="00321577">
        <w:rPr>
          <w:rFonts w:ascii="Arial Narrow" w:hAnsi="Arial Narrow" w:cs="Times New Roman"/>
          <w:sz w:val="24"/>
          <w:szCs w:val="24"/>
        </w:rPr>
        <w:t xml:space="preserve">σε συνεργασία με την </w:t>
      </w:r>
      <w:r w:rsidR="00321577">
        <w:rPr>
          <w:rFonts w:ascii="Arial Narrow" w:hAnsi="Arial Narrow" w:cs="Times New Roman"/>
          <w:sz w:val="24"/>
          <w:szCs w:val="24"/>
          <w:lang w:val="en-US"/>
        </w:rPr>
        <w:t>Oracle</w:t>
      </w:r>
      <w:r w:rsidR="00321577" w:rsidRPr="00321577">
        <w:rPr>
          <w:rFonts w:ascii="Arial Narrow" w:hAnsi="Arial Narrow" w:cs="Times New Roman"/>
          <w:sz w:val="24"/>
          <w:szCs w:val="24"/>
        </w:rPr>
        <w:t xml:space="preserve">. </w:t>
      </w:r>
    </w:p>
    <w:p w14:paraId="29FFF232" w14:textId="1FF18A93" w:rsidR="00321577" w:rsidRDefault="00321577" w:rsidP="00E923A4">
      <w:pPr>
        <w:jc w:val="both"/>
        <w:rPr>
          <w:rFonts w:ascii="Arial Narrow" w:hAnsi="Arial Narrow" w:cs="Times New Roman"/>
          <w:b/>
          <w:color w:val="1F497D" w:themeColor="text2"/>
          <w:sz w:val="24"/>
          <w:szCs w:val="24"/>
        </w:rPr>
      </w:pPr>
      <w:r w:rsidRPr="00321577">
        <w:rPr>
          <w:rFonts w:ascii="Arial Narrow" w:hAnsi="Arial Narrow" w:cs="Times New Roman"/>
          <w:b/>
          <w:color w:val="1F497D" w:themeColor="text2"/>
          <w:sz w:val="24"/>
          <w:szCs w:val="24"/>
          <w:lang w:val="en-US"/>
        </w:rPr>
        <w:t>FinTech</w:t>
      </w:r>
      <w:r w:rsidRPr="00321577">
        <w:rPr>
          <w:rFonts w:ascii="Arial Narrow" w:hAnsi="Arial Narrow" w:cs="Times New Roman"/>
          <w:b/>
          <w:color w:val="1F497D" w:themeColor="text2"/>
          <w:sz w:val="24"/>
          <w:szCs w:val="24"/>
        </w:rPr>
        <w:t xml:space="preserve"> &amp; Ψηφιακές Πλατφόρμες </w:t>
      </w:r>
    </w:p>
    <w:p w14:paraId="105DF874" w14:textId="10E54FD6" w:rsidR="00321577" w:rsidRDefault="00321577" w:rsidP="00E923A4">
      <w:pPr>
        <w:jc w:val="both"/>
        <w:rPr>
          <w:rFonts w:ascii="Arial Narrow" w:hAnsi="Arial Narrow" w:cs="Times New Roman"/>
          <w:sz w:val="24"/>
          <w:szCs w:val="24"/>
        </w:rPr>
      </w:pPr>
      <w:r>
        <w:rPr>
          <w:rFonts w:ascii="Arial Narrow" w:hAnsi="Arial Narrow" w:cs="Times New Roman"/>
          <w:sz w:val="24"/>
          <w:szCs w:val="24"/>
        </w:rPr>
        <w:t xml:space="preserve">Τα ΗΑΕ αποτελούν το μεγαλύτερο </w:t>
      </w:r>
      <w:r>
        <w:rPr>
          <w:rFonts w:ascii="Arial Narrow" w:hAnsi="Arial Narrow" w:cs="Times New Roman"/>
          <w:sz w:val="24"/>
          <w:szCs w:val="24"/>
          <w:lang w:val="en-US"/>
        </w:rPr>
        <w:t>FinTech</w:t>
      </w:r>
      <w:r w:rsidRPr="00321577">
        <w:rPr>
          <w:rFonts w:ascii="Arial Narrow" w:hAnsi="Arial Narrow" w:cs="Times New Roman"/>
          <w:sz w:val="24"/>
          <w:szCs w:val="24"/>
        </w:rPr>
        <w:t xml:space="preserve"> </w:t>
      </w:r>
      <w:r>
        <w:rPr>
          <w:rFonts w:ascii="Arial Narrow" w:hAnsi="Arial Narrow" w:cs="Times New Roman"/>
          <w:sz w:val="24"/>
          <w:szCs w:val="24"/>
          <w:lang w:val="en-US"/>
        </w:rPr>
        <w:t>Hub</w:t>
      </w:r>
      <w:r w:rsidRPr="00321577">
        <w:rPr>
          <w:rFonts w:ascii="Arial Narrow" w:hAnsi="Arial Narrow" w:cs="Times New Roman"/>
          <w:sz w:val="24"/>
          <w:szCs w:val="24"/>
        </w:rPr>
        <w:t xml:space="preserve"> </w:t>
      </w:r>
      <w:r>
        <w:rPr>
          <w:rFonts w:ascii="Arial Narrow" w:hAnsi="Arial Narrow" w:cs="Times New Roman"/>
          <w:sz w:val="24"/>
          <w:szCs w:val="24"/>
        </w:rPr>
        <w:t>της Μέσης Ανατολής. Κύριο</w:t>
      </w:r>
      <w:r w:rsidRPr="00321577">
        <w:rPr>
          <w:rFonts w:ascii="Arial Narrow" w:hAnsi="Arial Narrow" w:cs="Times New Roman"/>
          <w:sz w:val="24"/>
          <w:szCs w:val="24"/>
          <w:lang w:val="en-AE"/>
        </w:rPr>
        <w:t xml:space="preserve"> </w:t>
      </w:r>
      <w:r>
        <w:rPr>
          <w:rFonts w:ascii="Arial Narrow" w:hAnsi="Arial Narrow" w:cs="Times New Roman"/>
          <w:sz w:val="24"/>
          <w:szCs w:val="24"/>
        </w:rPr>
        <w:t>τομείς</w:t>
      </w:r>
      <w:r w:rsidRPr="00321577">
        <w:rPr>
          <w:rFonts w:ascii="Arial Narrow" w:hAnsi="Arial Narrow" w:cs="Times New Roman"/>
          <w:sz w:val="24"/>
          <w:szCs w:val="24"/>
          <w:lang w:val="en-AE"/>
        </w:rPr>
        <w:t xml:space="preserve"> </w:t>
      </w:r>
      <w:r>
        <w:rPr>
          <w:rFonts w:ascii="Arial Narrow" w:hAnsi="Arial Narrow" w:cs="Times New Roman"/>
          <w:sz w:val="24"/>
          <w:szCs w:val="24"/>
        </w:rPr>
        <w:t>είναι</w:t>
      </w:r>
      <w:r w:rsidRPr="00321577">
        <w:rPr>
          <w:rFonts w:ascii="Arial Narrow" w:hAnsi="Arial Narrow" w:cs="Times New Roman"/>
          <w:sz w:val="24"/>
          <w:szCs w:val="24"/>
          <w:lang w:val="en-AE"/>
        </w:rPr>
        <w:t xml:space="preserve"> </w:t>
      </w:r>
      <w:r>
        <w:rPr>
          <w:rFonts w:ascii="Arial Narrow" w:hAnsi="Arial Narrow" w:cs="Times New Roman"/>
          <w:sz w:val="24"/>
          <w:szCs w:val="24"/>
          <w:lang w:val="en-US"/>
        </w:rPr>
        <w:t>Digital</w:t>
      </w:r>
      <w:r w:rsidRPr="00321577">
        <w:rPr>
          <w:rFonts w:ascii="Arial Narrow" w:hAnsi="Arial Narrow" w:cs="Times New Roman"/>
          <w:sz w:val="24"/>
          <w:szCs w:val="24"/>
          <w:lang w:val="en-AE"/>
        </w:rPr>
        <w:t xml:space="preserve"> </w:t>
      </w:r>
      <w:r>
        <w:rPr>
          <w:rFonts w:ascii="Arial Narrow" w:hAnsi="Arial Narrow" w:cs="Times New Roman"/>
          <w:sz w:val="24"/>
          <w:szCs w:val="24"/>
          <w:lang w:val="en-US"/>
        </w:rPr>
        <w:t>Banking</w:t>
      </w:r>
      <w:r w:rsidRPr="00321577">
        <w:rPr>
          <w:rFonts w:ascii="Arial Narrow" w:hAnsi="Arial Narrow" w:cs="Times New Roman"/>
          <w:sz w:val="24"/>
          <w:szCs w:val="24"/>
          <w:lang w:val="en-AE"/>
        </w:rPr>
        <w:t xml:space="preserve">, </w:t>
      </w:r>
      <w:r>
        <w:rPr>
          <w:rFonts w:ascii="Arial Narrow" w:hAnsi="Arial Narrow" w:cs="Times New Roman"/>
          <w:sz w:val="24"/>
          <w:szCs w:val="24"/>
          <w:lang w:val="en-US"/>
        </w:rPr>
        <w:t>Open</w:t>
      </w:r>
      <w:r w:rsidRPr="00321577">
        <w:rPr>
          <w:rFonts w:ascii="Arial Narrow" w:hAnsi="Arial Narrow" w:cs="Times New Roman"/>
          <w:sz w:val="24"/>
          <w:szCs w:val="24"/>
          <w:lang w:val="en-AE"/>
        </w:rPr>
        <w:t xml:space="preserve"> </w:t>
      </w:r>
      <w:r>
        <w:rPr>
          <w:rFonts w:ascii="Arial Narrow" w:hAnsi="Arial Narrow" w:cs="Times New Roman"/>
          <w:sz w:val="24"/>
          <w:szCs w:val="24"/>
          <w:lang w:val="en-US"/>
        </w:rPr>
        <w:t xml:space="preserve">Banking, Blockchain Payments, InsurTech, RegTech &amp; WealthTech. </w:t>
      </w:r>
      <w:r w:rsidR="00231E56">
        <w:rPr>
          <w:rFonts w:ascii="Arial Narrow" w:hAnsi="Arial Narrow" w:cs="Times New Roman"/>
          <w:sz w:val="24"/>
          <w:szCs w:val="24"/>
        </w:rPr>
        <w:t>Η εμιρατινή κυβέρνηση προχώρησε στη πρώτη κυβερνητική συναλλαγή με το Ψηφιακό Ντίρχαμ (</w:t>
      </w:r>
      <w:r w:rsidR="00231E56">
        <w:rPr>
          <w:rFonts w:ascii="Arial Narrow" w:hAnsi="Arial Narrow" w:cs="Times New Roman"/>
          <w:sz w:val="24"/>
          <w:szCs w:val="24"/>
          <w:lang w:val="en-US"/>
        </w:rPr>
        <w:t>Digital</w:t>
      </w:r>
      <w:r w:rsidR="00231E56" w:rsidRPr="00231E56">
        <w:rPr>
          <w:rFonts w:ascii="Arial Narrow" w:hAnsi="Arial Narrow" w:cs="Times New Roman"/>
          <w:sz w:val="24"/>
          <w:szCs w:val="24"/>
        </w:rPr>
        <w:t xml:space="preserve"> </w:t>
      </w:r>
      <w:r w:rsidR="00231E56">
        <w:rPr>
          <w:rFonts w:ascii="Arial Narrow" w:hAnsi="Arial Narrow" w:cs="Times New Roman"/>
          <w:sz w:val="24"/>
          <w:szCs w:val="24"/>
          <w:lang w:val="en-US"/>
        </w:rPr>
        <w:t>Dirham</w:t>
      </w:r>
      <w:r w:rsidR="00231E56" w:rsidRPr="00231E56">
        <w:rPr>
          <w:rFonts w:ascii="Arial Narrow" w:hAnsi="Arial Narrow" w:cs="Times New Roman"/>
          <w:sz w:val="24"/>
          <w:szCs w:val="24"/>
        </w:rPr>
        <w:t>)</w:t>
      </w:r>
      <w:r w:rsidR="00BB3CF2">
        <w:rPr>
          <w:rFonts w:ascii="Arial Narrow" w:hAnsi="Arial Narrow" w:cs="Times New Roman"/>
          <w:sz w:val="24"/>
          <w:szCs w:val="24"/>
        </w:rPr>
        <w:t xml:space="preserve">, σηματοδοτώντας την έναρξη της νέας εποχής ψηφιακού νομίσματος. Επιπλέον η Κεντρική Τράπεζα δημιούργησε το πρώτο </w:t>
      </w:r>
      <w:r w:rsidR="00BB3CF2">
        <w:rPr>
          <w:rFonts w:ascii="Arial Narrow" w:hAnsi="Arial Narrow" w:cs="Times New Roman"/>
          <w:sz w:val="24"/>
          <w:szCs w:val="24"/>
          <w:lang w:val="en-US"/>
        </w:rPr>
        <w:t>Sovereign</w:t>
      </w:r>
      <w:r w:rsidR="00BB3CF2" w:rsidRPr="00BB3CF2">
        <w:rPr>
          <w:rFonts w:ascii="Arial Narrow" w:hAnsi="Arial Narrow" w:cs="Times New Roman"/>
          <w:sz w:val="24"/>
          <w:szCs w:val="24"/>
        </w:rPr>
        <w:t xml:space="preserve"> </w:t>
      </w:r>
      <w:r w:rsidR="00BB3CF2">
        <w:rPr>
          <w:rFonts w:ascii="Arial Narrow" w:hAnsi="Arial Narrow" w:cs="Times New Roman"/>
          <w:sz w:val="24"/>
          <w:szCs w:val="24"/>
          <w:lang w:val="en-US"/>
        </w:rPr>
        <w:t>Financial</w:t>
      </w:r>
      <w:r w:rsidR="00BB3CF2" w:rsidRPr="00BB3CF2">
        <w:rPr>
          <w:rFonts w:ascii="Arial Narrow" w:hAnsi="Arial Narrow" w:cs="Times New Roman"/>
          <w:sz w:val="24"/>
          <w:szCs w:val="24"/>
        </w:rPr>
        <w:t xml:space="preserve"> </w:t>
      </w:r>
      <w:r w:rsidR="00BB3CF2">
        <w:rPr>
          <w:rFonts w:ascii="Arial Narrow" w:hAnsi="Arial Narrow" w:cs="Times New Roman"/>
          <w:sz w:val="24"/>
          <w:szCs w:val="24"/>
          <w:lang w:val="en-US"/>
        </w:rPr>
        <w:t>Cloud</w:t>
      </w:r>
      <w:r w:rsidR="00BB3CF2" w:rsidRPr="00BB3CF2">
        <w:rPr>
          <w:rFonts w:ascii="Arial Narrow" w:hAnsi="Arial Narrow" w:cs="Times New Roman"/>
          <w:sz w:val="24"/>
          <w:szCs w:val="24"/>
        </w:rPr>
        <w:t xml:space="preserve"> </w:t>
      </w:r>
      <w:r w:rsidR="00BB3CF2">
        <w:rPr>
          <w:rFonts w:ascii="Arial Narrow" w:hAnsi="Arial Narrow" w:cs="Times New Roman"/>
          <w:sz w:val="24"/>
          <w:szCs w:val="24"/>
        </w:rPr>
        <w:t xml:space="preserve">παγκοσμίως για το χρηματοπιστωτικό σύστημα. </w:t>
      </w:r>
    </w:p>
    <w:p w14:paraId="48348B06" w14:textId="2A484136" w:rsidR="00BB3CF2" w:rsidRPr="005B362A" w:rsidRDefault="00BB3CF2" w:rsidP="00E923A4">
      <w:pPr>
        <w:jc w:val="both"/>
        <w:rPr>
          <w:rFonts w:ascii="Arial Narrow" w:hAnsi="Arial Narrow" w:cs="Times New Roman"/>
          <w:b/>
          <w:color w:val="1F497D" w:themeColor="text2"/>
          <w:sz w:val="24"/>
          <w:szCs w:val="24"/>
        </w:rPr>
      </w:pPr>
      <w:r w:rsidRPr="00BB3CF2">
        <w:rPr>
          <w:rFonts w:ascii="Arial Narrow" w:hAnsi="Arial Narrow" w:cs="Times New Roman"/>
          <w:b/>
          <w:color w:val="1F497D" w:themeColor="text2"/>
          <w:sz w:val="24"/>
          <w:szCs w:val="24"/>
        </w:rPr>
        <w:t>Ηλεκτρονικό Εμπόριο (</w:t>
      </w:r>
      <w:r w:rsidRPr="00BB3CF2">
        <w:rPr>
          <w:rFonts w:ascii="Arial Narrow" w:hAnsi="Arial Narrow" w:cs="Times New Roman"/>
          <w:b/>
          <w:color w:val="1F497D" w:themeColor="text2"/>
          <w:sz w:val="24"/>
          <w:szCs w:val="24"/>
          <w:lang w:val="en-US"/>
        </w:rPr>
        <w:t>E</w:t>
      </w:r>
      <w:r w:rsidRPr="00BB3CF2">
        <w:rPr>
          <w:rFonts w:ascii="Arial Narrow" w:hAnsi="Arial Narrow" w:cs="Times New Roman"/>
          <w:b/>
          <w:color w:val="1F497D" w:themeColor="text2"/>
          <w:sz w:val="24"/>
          <w:szCs w:val="24"/>
        </w:rPr>
        <w:t>-</w:t>
      </w:r>
      <w:r w:rsidRPr="00BB3CF2">
        <w:rPr>
          <w:rFonts w:ascii="Arial Narrow" w:hAnsi="Arial Narrow" w:cs="Times New Roman"/>
          <w:b/>
          <w:color w:val="1F497D" w:themeColor="text2"/>
          <w:sz w:val="24"/>
          <w:szCs w:val="24"/>
          <w:lang w:val="en-US"/>
        </w:rPr>
        <w:t>Commerce</w:t>
      </w:r>
      <w:r w:rsidRPr="005B362A">
        <w:rPr>
          <w:rFonts w:ascii="Arial Narrow" w:hAnsi="Arial Narrow" w:cs="Times New Roman"/>
          <w:b/>
          <w:color w:val="1F497D" w:themeColor="text2"/>
          <w:sz w:val="24"/>
          <w:szCs w:val="24"/>
        </w:rPr>
        <w:t>)</w:t>
      </w:r>
    </w:p>
    <w:p w14:paraId="30FA719C" w14:textId="6E777106" w:rsidR="00BB3CF2" w:rsidRDefault="00BB3CF2" w:rsidP="00E923A4">
      <w:pPr>
        <w:jc w:val="both"/>
        <w:rPr>
          <w:rFonts w:ascii="Arial Narrow" w:hAnsi="Arial Narrow" w:cs="Times New Roman"/>
          <w:sz w:val="24"/>
          <w:szCs w:val="24"/>
        </w:rPr>
      </w:pPr>
      <w:r>
        <w:rPr>
          <w:rFonts w:ascii="Arial Narrow" w:hAnsi="Arial Narrow" w:cs="Times New Roman"/>
          <w:sz w:val="24"/>
          <w:szCs w:val="24"/>
          <w:lang w:val="en-US"/>
        </w:rPr>
        <w:t>H</w:t>
      </w:r>
      <w:r w:rsidRPr="00BB3CF2">
        <w:rPr>
          <w:rFonts w:ascii="Arial Narrow" w:hAnsi="Arial Narrow" w:cs="Times New Roman"/>
          <w:sz w:val="24"/>
          <w:szCs w:val="24"/>
        </w:rPr>
        <w:t xml:space="preserve"> </w:t>
      </w:r>
      <w:r>
        <w:rPr>
          <w:rFonts w:ascii="Arial Narrow" w:hAnsi="Arial Narrow" w:cs="Times New Roman"/>
          <w:sz w:val="24"/>
          <w:szCs w:val="24"/>
        </w:rPr>
        <w:t xml:space="preserve">αγορά ηλεκτρονικού εμπορίου αναπτύσσεται με ταχείς ρυθμούς. Ως κύριους παράγοντες ανάπτυξης καθορίζονται η υψηλή χρήση </w:t>
      </w:r>
      <w:r w:rsidR="00FE0AC2">
        <w:rPr>
          <w:rFonts w:ascii="Arial Narrow" w:hAnsi="Arial Narrow" w:cs="Times New Roman"/>
          <w:sz w:val="24"/>
          <w:szCs w:val="24"/>
          <w:lang w:val="en-US"/>
        </w:rPr>
        <w:t>smartphones</w:t>
      </w:r>
      <w:r w:rsidR="00FE0AC2" w:rsidRPr="00FE0AC2">
        <w:rPr>
          <w:rFonts w:ascii="Arial Narrow" w:hAnsi="Arial Narrow" w:cs="Times New Roman"/>
          <w:sz w:val="24"/>
          <w:szCs w:val="24"/>
        </w:rPr>
        <w:t xml:space="preserve">, </w:t>
      </w:r>
      <w:r w:rsidR="00FE0AC2">
        <w:rPr>
          <w:rFonts w:ascii="Arial Narrow" w:hAnsi="Arial Narrow" w:cs="Times New Roman"/>
          <w:sz w:val="24"/>
          <w:szCs w:val="24"/>
        </w:rPr>
        <w:t xml:space="preserve">οι ψηφιακές πληρωμές, το ισχυρό δίκτυο </w:t>
      </w:r>
      <w:r w:rsidR="00FE0AC2">
        <w:rPr>
          <w:rFonts w:ascii="Arial Narrow" w:hAnsi="Arial Narrow" w:cs="Times New Roman"/>
          <w:sz w:val="24"/>
          <w:szCs w:val="24"/>
          <w:lang w:val="en-US"/>
        </w:rPr>
        <w:t>Logistics</w:t>
      </w:r>
      <w:r w:rsidR="00FE0AC2" w:rsidRPr="00FE0AC2">
        <w:rPr>
          <w:rFonts w:ascii="Arial Narrow" w:hAnsi="Arial Narrow" w:cs="Times New Roman"/>
          <w:sz w:val="24"/>
          <w:szCs w:val="24"/>
        </w:rPr>
        <w:t xml:space="preserve"> </w:t>
      </w:r>
      <w:r w:rsidR="00FE0AC2">
        <w:rPr>
          <w:rFonts w:ascii="Arial Narrow" w:hAnsi="Arial Narrow" w:cs="Times New Roman"/>
          <w:sz w:val="24"/>
          <w:szCs w:val="24"/>
        </w:rPr>
        <w:t>&amp; το υψηλό διαθέσιμο εισόδημα. Επιπλέον βασικοί κλάδες που αναπτύσσεται το ηλεκτρονικό εμπόριο είναι το λιανικό εμπόριο, τα τρόφιμα, η μόδα, τα ηλεκτρονικά και ο τουρισμός</w:t>
      </w:r>
    </w:p>
    <w:p w14:paraId="7737F447" w14:textId="0EF69A32" w:rsidR="00FE0AC2" w:rsidRDefault="00FE0AC2" w:rsidP="00E923A4">
      <w:pPr>
        <w:jc w:val="both"/>
        <w:rPr>
          <w:rFonts w:ascii="Arial Narrow" w:hAnsi="Arial Narrow" w:cs="Times New Roman"/>
          <w:b/>
          <w:color w:val="1F497D" w:themeColor="text2"/>
          <w:sz w:val="24"/>
          <w:szCs w:val="24"/>
        </w:rPr>
      </w:pPr>
      <w:r w:rsidRPr="00FE0AC2">
        <w:rPr>
          <w:rFonts w:ascii="Arial Narrow" w:hAnsi="Arial Narrow" w:cs="Times New Roman"/>
          <w:b/>
          <w:color w:val="1F497D" w:themeColor="text2"/>
          <w:sz w:val="24"/>
          <w:szCs w:val="24"/>
        </w:rPr>
        <w:t xml:space="preserve">Ψηφιακή Διακυβέρνηση </w:t>
      </w:r>
    </w:p>
    <w:p w14:paraId="25862A16" w14:textId="1C26FC10" w:rsidR="00FE0AC2" w:rsidRDefault="00FE0AC2" w:rsidP="00E923A4">
      <w:pPr>
        <w:jc w:val="both"/>
        <w:rPr>
          <w:rFonts w:ascii="Arial Narrow" w:hAnsi="Arial Narrow" w:cs="Times New Roman"/>
          <w:sz w:val="24"/>
          <w:szCs w:val="24"/>
        </w:rPr>
      </w:pPr>
      <w:r>
        <w:rPr>
          <w:rFonts w:ascii="Arial Narrow" w:hAnsi="Arial Narrow" w:cs="Times New Roman"/>
          <w:sz w:val="24"/>
          <w:szCs w:val="24"/>
        </w:rPr>
        <w:t xml:space="preserve">Τα ΗΑΕ θεωρούνται παγκόσμιο πρότυπο ψηφιακής διακυβέρνησης. Η εμιρατινή κυβέρνηση προσφέρει ψηφιακές άδειες, ηλεκτρονικές πληρωμές, ψηφιακές θεωρήσεις εισόδου, ψηφιακές ταυτότητες &amp; ψηφιακές δικαστικές υπηρεσίες. Το εμιράτο του </w:t>
      </w:r>
      <w:r>
        <w:rPr>
          <w:rFonts w:ascii="Arial Narrow" w:hAnsi="Arial Narrow" w:cs="Times New Roman"/>
          <w:sz w:val="24"/>
          <w:szCs w:val="24"/>
          <w:lang w:val="en-US"/>
        </w:rPr>
        <w:t>Abu</w:t>
      </w:r>
      <w:r w:rsidR="00142A5B" w:rsidRPr="00142A5B">
        <w:rPr>
          <w:rFonts w:ascii="Arial Narrow" w:hAnsi="Arial Narrow" w:cs="Times New Roman"/>
          <w:sz w:val="24"/>
          <w:szCs w:val="24"/>
        </w:rPr>
        <w:t>-</w:t>
      </w:r>
      <w:r w:rsidR="00142A5B">
        <w:rPr>
          <w:rFonts w:ascii="Arial Narrow" w:hAnsi="Arial Narrow" w:cs="Times New Roman"/>
          <w:sz w:val="24"/>
          <w:szCs w:val="24"/>
          <w:lang w:val="en-US"/>
        </w:rPr>
        <w:t>Dhabi</w:t>
      </w:r>
      <w:r w:rsidR="00142A5B" w:rsidRPr="00142A5B">
        <w:rPr>
          <w:rFonts w:ascii="Arial Narrow" w:hAnsi="Arial Narrow" w:cs="Times New Roman"/>
          <w:sz w:val="24"/>
          <w:szCs w:val="24"/>
        </w:rPr>
        <w:t xml:space="preserve"> </w:t>
      </w:r>
      <w:r w:rsidR="00142A5B">
        <w:rPr>
          <w:rFonts w:ascii="Arial Narrow" w:hAnsi="Arial Narrow" w:cs="Times New Roman"/>
          <w:sz w:val="24"/>
          <w:szCs w:val="24"/>
        </w:rPr>
        <w:t xml:space="preserve">προχωρά σε επενδύσεις ύψους 13 δις </w:t>
      </w:r>
      <w:r w:rsidR="00142A5B">
        <w:rPr>
          <w:rFonts w:ascii="Arial Narrow" w:hAnsi="Arial Narrow" w:cs="Times New Roman"/>
          <w:sz w:val="24"/>
          <w:szCs w:val="24"/>
          <w:lang w:val="en-US"/>
        </w:rPr>
        <w:t>AED</w:t>
      </w:r>
      <w:r w:rsidR="00142A5B" w:rsidRPr="00142A5B">
        <w:rPr>
          <w:rFonts w:ascii="Arial Narrow" w:hAnsi="Arial Narrow" w:cs="Times New Roman"/>
          <w:sz w:val="24"/>
          <w:szCs w:val="24"/>
        </w:rPr>
        <w:t xml:space="preserve"> (</w:t>
      </w:r>
      <w:r w:rsidR="008946EF">
        <w:rPr>
          <w:rFonts w:ascii="Arial Narrow" w:hAnsi="Arial Narrow" w:cs="Times New Roman"/>
          <w:sz w:val="24"/>
          <w:szCs w:val="24"/>
        </w:rPr>
        <w:t>Ντίρχαμ)</w:t>
      </w:r>
      <w:r w:rsidR="005B362A">
        <w:rPr>
          <w:rFonts w:ascii="Arial Narrow" w:hAnsi="Arial Narrow" w:cs="Times New Roman"/>
          <w:sz w:val="24"/>
          <w:szCs w:val="24"/>
        </w:rPr>
        <w:t xml:space="preserve"> για να γίνει η πρώτη πλήρως </w:t>
      </w:r>
      <w:r w:rsidR="005B362A">
        <w:rPr>
          <w:rFonts w:ascii="Arial Narrow" w:hAnsi="Arial Narrow" w:cs="Times New Roman"/>
          <w:sz w:val="24"/>
          <w:szCs w:val="24"/>
          <w:lang w:val="en-US"/>
        </w:rPr>
        <w:t>AI</w:t>
      </w:r>
      <w:r w:rsidR="005B362A" w:rsidRPr="005B362A">
        <w:rPr>
          <w:rFonts w:ascii="Arial Narrow" w:hAnsi="Arial Narrow" w:cs="Times New Roman"/>
          <w:sz w:val="24"/>
          <w:szCs w:val="24"/>
        </w:rPr>
        <w:t>-</w:t>
      </w:r>
      <w:r w:rsidR="005B362A">
        <w:rPr>
          <w:rFonts w:ascii="Arial Narrow" w:hAnsi="Arial Narrow" w:cs="Times New Roman"/>
          <w:sz w:val="24"/>
          <w:szCs w:val="24"/>
          <w:lang w:val="en-US"/>
        </w:rPr>
        <w:t>native</w:t>
      </w:r>
      <w:r w:rsidR="005B362A" w:rsidRPr="005B362A">
        <w:rPr>
          <w:rFonts w:ascii="Arial Narrow" w:hAnsi="Arial Narrow" w:cs="Times New Roman"/>
          <w:sz w:val="24"/>
          <w:szCs w:val="24"/>
        </w:rPr>
        <w:t xml:space="preserve"> </w:t>
      </w:r>
      <w:r w:rsidR="005B362A">
        <w:rPr>
          <w:rFonts w:ascii="Arial Narrow" w:hAnsi="Arial Narrow" w:cs="Times New Roman"/>
          <w:sz w:val="24"/>
          <w:szCs w:val="24"/>
        </w:rPr>
        <w:t xml:space="preserve">κυβέρνηση στο κόσμο έως το 2027. </w:t>
      </w:r>
    </w:p>
    <w:p w14:paraId="1EA0BB8B" w14:textId="5490DB8E" w:rsidR="005B362A" w:rsidRDefault="005B362A" w:rsidP="00E923A4">
      <w:pPr>
        <w:jc w:val="both"/>
        <w:rPr>
          <w:rFonts w:ascii="Arial Narrow" w:hAnsi="Arial Narrow" w:cs="Times New Roman"/>
          <w:b/>
          <w:color w:val="1F497D" w:themeColor="text2"/>
          <w:sz w:val="24"/>
          <w:szCs w:val="24"/>
        </w:rPr>
      </w:pPr>
      <w:r w:rsidRPr="005B362A">
        <w:rPr>
          <w:rFonts w:ascii="Arial Narrow" w:hAnsi="Arial Narrow" w:cs="Times New Roman"/>
          <w:b/>
          <w:color w:val="1F497D" w:themeColor="text2"/>
          <w:sz w:val="24"/>
          <w:szCs w:val="24"/>
        </w:rPr>
        <w:t xml:space="preserve">Ψηφιακές Υποδομές </w:t>
      </w:r>
    </w:p>
    <w:p w14:paraId="5443C674" w14:textId="0020767C" w:rsidR="005B362A" w:rsidRPr="00EF476B" w:rsidRDefault="005B362A" w:rsidP="00E923A4">
      <w:pPr>
        <w:jc w:val="both"/>
        <w:rPr>
          <w:rFonts w:ascii="Arial Narrow" w:hAnsi="Arial Narrow" w:cs="Times New Roman"/>
          <w:sz w:val="24"/>
          <w:szCs w:val="24"/>
        </w:rPr>
      </w:pPr>
      <w:r>
        <w:rPr>
          <w:rFonts w:ascii="Arial Narrow" w:hAnsi="Arial Narrow" w:cs="Times New Roman"/>
          <w:sz w:val="24"/>
          <w:szCs w:val="24"/>
        </w:rPr>
        <w:t xml:space="preserve">Τα ΗΑΕ διαθέτουν διείσδηση διαδικτύου σε περισσότερη από 99% πληθυσμιακή κάλυψη. Δίκτυα </w:t>
      </w:r>
      <w:r w:rsidRPr="00D728E7">
        <w:rPr>
          <w:rFonts w:ascii="Arial Narrow" w:hAnsi="Arial Narrow" w:cs="Times New Roman"/>
          <w:sz w:val="24"/>
          <w:szCs w:val="24"/>
        </w:rPr>
        <w:t>5</w:t>
      </w:r>
      <w:r>
        <w:rPr>
          <w:rFonts w:ascii="Arial Narrow" w:hAnsi="Arial Narrow" w:cs="Times New Roman"/>
          <w:sz w:val="24"/>
          <w:szCs w:val="24"/>
          <w:lang w:val="en-US"/>
        </w:rPr>
        <w:t>G</w:t>
      </w:r>
      <w:r w:rsidRPr="00D728E7">
        <w:rPr>
          <w:rFonts w:ascii="Arial Narrow" w:hAnsi="Arial Narrow" w:cs="Times New Roman"/>
          <w:sz w:val="24"/>
          <w:szCs w:val="24"/>
        </w:rPr>
        <w:t xml:space="preserve"> </w:t>
      </w:r>
      <w:r>
        <w:rPr>
          <w:rFonts w:ascii="Arial Narrow" w:hAnsi="Arial Narrow" w:cs="Times New Roman"/>
          <w:sz w:val="24"/>
          <w:szCs w:val="24"/>
        </w:rPr>
        <w:t xml:space="preserve">μεταξύ των κορυφαίων παγκοσμίως. </w:t>
      </w:r>
      <w:r w:rsidR="00D728E7">
        <w:rPr>
          <w:rFonts w:ascii="Arial Narrow" w:hAnsi="Arial Narrow" w:cs="Times New Roman"/>
          <w:sz w:val="24"/>
          <w:szCs w:val="24"/>
          <w:lang w:val="en-US"/>
        </w:rPr>
        <w:t>Smart</w:t>
      </w:r>
      <w:r w:rsidR="00D728E7" w:rsidRPr="00EF476B">
        <w:rPr>
          <w:rFonts w:ascii="Arial Narrow" w:hAnsi="Arial Narrow" w:cs="Times New Roman"/>
          <w:sz w:val="24"/>
          <w:szCs w:val="24"/>
        </w:rPr>
        <w:t xml:space="preserve"> </w:t>
      </w:r>
      <w:r w:rsidR="00D728E7">
        <w:rPr>
          <w:rFonts w:ascii="Arial Narrow" w:hAnsi="Arial Narrow" w:cs="Times New Roman"/>
          <w:sz w:val="24"/>
          <w:szCs w:val="24"/>
          <w:lang w:val="en-US"/>
        </w:rPr>
        <w:t>Cities</w:t>
      </w:r>
      <w:r w:rsidR="00D728E7" w:rsidRPr="00EF476B">
        <w:rPr>
          <w:rFonts w:ascii="Arial Narrow" w:hAnsi="Arial Narrow" w:cs="Times New Roman"/>
          <w:sz w:val="24"/>
          <w:szCs w:val="24"/>
        </w:rPr>
        <w:t xml:space="preserve"> </w:t>
      </w:r>
      <w:r w:rsidR="00D728E7">
        <w:rPr>
          <w:rFonts w:ascii="Arial Narrow" w:hAnsi="Arial Narrow" w:cs="Times New Roman"/>
          <w:sz w:val="24"/>
          <w:szCs w:val="24"/>
        </w:rPr>
        <w:t>με</w:t>
      </w:r>
      <w:r w:rsidR="00D728E7" w:rsidRPr="00EF476B">
        <w:rPr>
          <w:rFonts w:ascii="Arial Narrow" w:hAnsi="Arial Narrow" w:cs="Times New Roman"/>
          <w:sz w:val="24"/>
          <w:szCs w:val="24"/>
        </w:rPr>
        <w:t xml:space="preserve"> </w:t>
      </w:r>
      <w:r w:rsidR="00D728E7">
        <w:rPr>
          <w:rFonts w:ascii="Arial Narrow" w:hAnsi="Arial Narrow" w:cs="Times New Roman"/>
          <w:sz w:val="24"/>
          <w:szCs w:val="24"/>
        </w:rPr>
        <w:t>κυριώτερα</w:t>
      </w:r>
      <w:r w:rsidR="00D728E7" w:rsidRPr="00EF476B">
        <w:rPr>
          <w:rFonts w:ascii="Arial Narrow" w:hAnsi="Arial Narrow" w:cs="Times New Roman"/>
          <w:sz w:val="24"/>
          <w:szCs w:val="24"/>
        </w:rPr>
        <w:t xml:space="preserve"> </w:t>
      </w:r>
      <w:r w:rsidR="00D728E7">
        <w:rPr>
          <w:rFonts w:ascii="Arial Narrow" w:hAnsi="Arial Narrow" w:cs="Times New Roman"/>
          <w:sz w:val="24"/>
          <w:szCs w:val="24"/>
        </w:rPr>
        <w:t>έργα</w:t>
      </w:r>
      <w:r w:rsidR="00D728E7" w:rsidRPr="00EF476B">
        <w:rPr>
          <w:rFonts w:ascii="Arial Narrow" w:hAnsi="Arial Narrow" w:cs="Times New Roman"/>
          <w:sz w:val="24"/>
          <w:szCs w:val="24"/>
        </w:rPr>
        <w:t xml:space="preserve"> </w:t>
      </w:r>
      <w:r w:rsidR="00D728E7">
        <w:rPr>
          <w:rFonts w:ascii="Arial Narrow" w:hAnsi="Arial Narrow" w:cs="Times New Roman"/>
          <w:sz w:val="24"/>
          <w:szCs w:val="24"/>
          <w:lang w:val="en-US"/>
        </w:rPr>
        <w:t>Dubai</w:t>
      </w:r>
      <w:r w:rsidR="00D728E7" w:rsidRPr="00EF476B">
        <w:rPr>
          <w:rFonts w:ascii="Arial Narrow" w:hAnsi="Arial Narrow" w:cs="Times New Roman"/>
          <w:sz w:val="24"/>
          <w:szCs w:val="24"/>
        </w:rPr>
        <w:t xml:space="preserve"> </w:t>
      </w:r>
      <w:r w:rsidR="00D728E7">
        <w:rPr>
          <w:rFonts w:ascii="Arial Narrow" w:hAnsi="Arial Narrow" w:cs="Times New Roman"/>
          <w:sz w:val="24"/>
          <w:szCs w:val="24"/>
          <w:lang w:val="en-US"/>
        </w:rPr>
        <w:t>Smart</w:t>
      </w:r>
      <w:r w:rsidR="00D728E7" w:rsidRPr="00EF476B">
        <w:rPr>
          <w:rFonts w:ascii="Arial Narrow" w:hAnsi="Arial Narrow" w:cs="Times New Roman"/>
          <w:sz w:val="24"/>
          <w:szCs w:val="24"/>
        </w:rPr>
        <w:t xml:space="preserve"> </w:t>
      </w:r>
      <w:r w:rsidR="00D728E7">
        <w:rPr>
          <w:rFonts w:ascii="Arial Narrow" w:hAnsi="Arial Narrow" w:cs="Times New Roman"/>
          <w:sz w:val="24"/>
          <w:szCs w:val="24"/>
          <w:lang w:val="en-US"/>
        </w:rPr>
        <w:t>City</w:t>
      </w:r>
      <w:r w:rsidR="00D728E7" w:rsidRPr="00EF476B">
        <w:rPr>
          <w:rFonts w:ascii="Arial Narrow" w:hAnsi="Arial Narrow" w:cs="Times New Roman"/>
          <w:sz w:val="24"/>
          <w:szCs w:val="24"/>
        </w:rPr>
        <w:t xml:space="preserve">, </w:t>
      </w:r>
      <w:r w:rsidR="00D728E7">
        <w:rPr>
          <w:rFonts w:ascii="Arial Narrow" w:hAnsi="Arial Narrow" w:cs="Times New Roman"/>
          <w:sz w:val="24"/>
          <w:szCs w:val="24"/>
          <w:lang w:val="en-US"/>
        </w:rPr>
        <w:t>Abu</w:t>
      </w:r>
      <w:r w:rsidR="00D728E7" w:rsidRPr="00EF476B">
        <w:rPr>
          <w:rFonts w:ascii="Arial Narrow" w:hAnsi="Arial Narrow" w:cs="Times New Roman"/>
          <w:sz w:val="24"/>
          <w:szCs w:val="24"/>
        </w:rPr>
        <w:t xml:space="preserve"> </w:t>
      </w:r>
      <w:r w:rsidR="00D728E7">
        <w:rPr>
          <w:rFonts w:ascii="Arial Narrow" w:hAnsi="Arial Narrow" w:cs="Times New Roman"/>
          <w:sz w:val="24"/>
          <w:szCs w:val="24"/>
          <w:lang w:val="en-US"/>
        </w:rPr>
        <w:t>Dhabi</w:t>
      </w:r>
      <w:r w:rsidR="00D728E7" w:rsidRPr="00EF476B">
        <w:rPr>
          <w:rFonts w:ascii="Arial Narrow" w:hAnsi="Arial Narrow" w:cs="Times New Roman"/>
          <w:sz w:val="24"/>
          <w:szCs w:val="24"/>
        </w:rPr>
        <w:t xml:space="preserve"> </w:t>
      </w:r>
      <w:r w:rsidR="00D728E7">
        <w:rPr>
          <w:rFonts w:ascii="Arial Narrow" w:hAnsi="Arial Narrow" w:cs="Times New Roman"/>
          <w:sz w:val="24"/>
          <w:szCs w:val="24"/>
          <w:lang w:val="en-US"/>
        </w:rPr>
        <w:t>Smart</w:t>
      </w:r>
      <w:r w:rsidR="00D728E7" w:rsidRPr="00EF476B">
        <w:rPr>
          <w:rFonts w:ascii="Arial Narrow" w:hAnsi="Arial Narrow" w:cs="Times New Roman"/>
          <w:sz w:val="24"/>
          <w:szCs w:val="24"/>
        </w:rPr>
        <w:t xml:space="preserve"> </w:t>
      </w:r>
      <w:r w:rsidR="00D728E7">
        <w:rPr>
          <w:rFonts w:ascii="Arial Narrow" w:hAnsi="Arial Narrow" w:cs="Times New Roman"/>
          <w:sz w:val="24"/>
          <w:szCs w:val="24"/>
          <w:lang w:val="en-US"/>
        </w:rPr>
        <w:t>Government</w:t>
      </w:r>
      <w:r w:rsidR="00D728E7" w:rsidRPr="00EF476B">
        <w:rPr>
          <w:rFonts w:ascii="Arial Narrow" w:hAnsi="Arial Narrow" w:cs="Times New Roman"/>
          <w:sz w:val="24"/>
          <w:szCs w:val="24"/>
        </w:rPr>
        <w:t xml:space="preserve"> &amp; </w:t>
      </w:r>
      <w:r w:rsidR="00D728E7">
        <w:rPr>
          <w:rFonts w:ascii="Arial Narrow" w:hAnsi="Arial Narrow" w:cs="Times New Roman"/>
          <w:sz w:val="24"/>
          <w:szCs w:val="24"/>
          <w:lang w:val="en-US"/>
        </w:rPr>
        <w:t>Sharja</w:t>
      </w:r>
      <w:r w:rsidR="00D728E7" w:rsidRPr="00EF476B">
        <w:rPr>
          <w:rFonts w:ascii="Arial Narrow" w:hAnsi="Arial Narrow" w:cs="Times New Roman"/>
          <w:sz w:val="24"/>
          <w:szCs w:val="24"/>
        </w:rPr>
        <w:t xml:space="preserve"> </w:t>
      </w:r>
      <w:r w:rsidR="00D728E7">
        <w:rPr>
          <w:rFonts w:ascii="Arial Narrow" w:hAnsi="Arial Narrow" w:cs="Times New Roman"/>
          <w:sz w:val="24"/>
          <w:szCs w:val="24"/>
          <w:lang w:val="en-US"/>
        </w:rPr>
        <w:t>Digital</w:t>
      </w:r>
      <w:r w:rsidR="00D728E7" w:rsidRPr="00EF476B">
        <w:rPr>
          <w:rFonts w:ascii="Arial Narrow" w:hAnsi="Arial Narrow" w:cs="Times New Roman"/>
          <w:sz w:val="24"/>
          <w:szCs w:val="24"/>
        </w:rPr>
        <w:t xml:space="preserve"> </w:t>
      </w:r>
      <w:r w:rsidR="00D728E7">
        <w:rPr>
          <w:rFonts w:ascii="Arial Narrow" w:hAnsi="Arial Narrow" w:cs="Times New Roman"/>
          <w:sz w:val="24"/>
          <w:szCs w:val="24"/>
          <w:lang w:val="en-US"/>
        </w:rPr>
        <w:t>Transformation</w:t>
      </w:r>
      <w:r w:rsidR="00D728E7" w:rsidRPr="00EF476B">
        <w:rPr>
          <w:rFonts w:ascii="Arial Narrow" w:hAnsi="Arial Narrow" w:cs="Times New Roman"/>
          <w:sz w:val="24"/>
          <w:szCs w:val="24"/>
        </w:rPr>
        <w:t xml:space="preserve"> </w:t>
      </w:r>
      <w:r w:rsidR="00D728E7">
        <w:rPr>
          <w:rFonts w:ascii="Arial Narrow" w:hAnsi="Arial Narrow" w:cs="Times New Roman"/>
          <w:sz w:val="24"/>
          <w:szCs w:val="24"/>
          <w:lang w:val="en-US"/>
        </w:rPr>
        <w:t>Program</w:t>
      </w:r>
      <w:r w:rsidR="00D728E7" w:rsidRPr="00EF476B">
        <w:rPr>
          <w:rFonts w:ascii="Arial Narrow" w:hAnsi="Arial Narrow" w:cs="Times New Roman"/>
          <w:sz w:val="24"/>
          <w:szCs w:val="24"/>
        </w:rPr>
        <w:t>.</w:t>
      </w:r>
    </w:p>
    <w:p w14:paraId="786E143D" w14:textId="0F0C3B54" w:rsidR="00D728E7" w:rsidRDefault="00D728E7" w:rsidP="00E923A4">
      <w:pPr>
        <w:jc w:val="both"/>
        <w:rPr>
          <w:rFonts w:ascii="Arial Narrow" w:hAnsi="Arial Narrow" w:cs="Times New Roman"/>
          <w:b/>
          <w:color w:val="1F497D" w:themeColor="text2"/>
          <w:sz w:val="24"/>
          <w:szCs w:val="24"/>
        </w:rPr>
      </w:pPr>
      <w:r w:rsidRPr="00D728E7">
        <w:rPr>
          <w:rFonts w:ascii="Arial Narrow" w:hAnsi="Arial Narrow" w:cs="Times New Roman"/>
          <w:b/>
          <w:color w:val="1F497D" w:themeColor="text2"/>
          <w:sz w:val="24"/>
          <w:szCs w:val="24"/>
        </w:rPr>
        <w:t xml:space="preserve">ΞΕΝΕΣ ΕΠΕΝΔΥΣΕΙΣ ΣΤΗ ΨΗΦΙΑΚΗ ΟΙΚΟΝΟΜΙΑ </w:t>
      </w:r>
    </w:p>
    <w:p w14:paraId="634CC175" w14:textId="05554424" w:rsidR="00D728E7" w:rsidRDefault="003C6C23" w:rsidP="00E923A4">
      <w:pPr>
        <w:jc w:val="both"/>
        <w:rPr>
          <w:rFonts w:ascii="Arial Narrow" w:hAnsi="Arial Narrow" w:cs="Times New Roman"/>
          <w:sz w:val="24"/>
          <w:szCs w:val="24"/>
        </w:rPr>
      </w:pPr>
      <w:r>
        <w:rPr>
          <w:rFonts w:ascii="Arial Narrow" w:hAnsi="Arial Narrow" w:cs="Times New Roman"/>
          <w:sz w:val="24"/>
          <w:szCs w:val="24"/>
        </w:rPr>
        <w:t xml:space="preserve">Τα ΗΑΕ αποτελούν ελκυστικό προορισμό για την Τεχνητή Νοημοσύνη, </w:t>
      </w:r>
      <w:r>
        <w:rPr>
          <w:rFonts w:ascii="Arial Narrow" w:hAnsi="Arial Narrow" w:cs="Times New Roman"/>
          <w:sz w:val="24"/>
          <w:szCs w:val="24"/>
          <w:lang w:val="en-US"/>
        </w:rPr>
        <w:t>Data</w:t>
      </w:r>
      <w:r w:rsidRPr="003C6C23">
        <w:rPr>
          <w:rFonts w:ascii="Arial Narrow" w:hAnsi="Arial Narrow" w:cs="Times New Roman"/>
          <w:sz w:val="24"/>
          <w:szCs w:val="24"/>
        </w:rPr>
        <w:t xml:space="preserve"> </w:t>
      </w:r>
      <w:r>
        <w:rPr>
          <w:rFonts w:ascii="Arial Narrow" w:hAnsi="Arial Narrow" w:cs="Times New Roman"/>
          <w:sz w:val="24"/>
          <w:szCs w:val="24"/>
          <w:lang w:val="en-US"/>
        </w:rPr>
        <w:t>Centers</w:t>
      </w:r>
      <w:r w:rsidRPr="003C6C23">
        <w:rPr>
          <w:rFonts w:ascii="Arial Narrow" w:hAnsi="Arial Narrow" w:cs="Times New Roman"/>
          <w:sz w:val="24"/>
          <w:szCs w:val="24"/>
        </w:rPr>
        <w:t xml:space="preserve">, </w:t>
      </w:r>
      <w:r>
        <w:rPr>
          <w:rFonts w:ascii="Arial Narrow" w:hAnsi="Arial Narrow" w:cs="Times New Roman"/>
          <w:sz w:val="24"/>
          <w:szCs w:val="24"/>
          <w:lang w:val="en-US"/>
        </w:rPr>
        <w:t>FinTech</w:t>
      </w:r>
      <w:r w:rsidRPr="003C6C23">
        <w:rPr>
          <w:rFonts w:ascii="Arial Narrow" w:hAnsi="Arial Narrow" w:cs="Times New Roman"/>
          <w:sz w:val="24"/>
          <w:szCs w:val="24"/>
        </w:rPr>
        <w:t xml:space="preserve">, </w:t>
      </w:r>
      <w:r>
        <w:rPr>
          <w:rFonts w:ascii="Arial Narrow" w:hAnsi="Arial Narrow" w:cs="Times New Roman"/>
          <w:sz w:val="24"/>
          <w:szCs w:val="24"/>
          <w:lang w:val="en-US"/>
        </w:rPr>
        <w:t>Cybersecurity</w:t>
      </w:r>
      <w:r w:rsidRPr="003C6C23">
        <w:rPr>
          <w:rFonts w:ascii="Arial Narrow" w:hAnsi="Arial Narrow" w:cs="Times New Roman"/>
          <w:sz w:val="24"/>
          <w:szCs w:val="24"/>
        </w:rPr>
        <w:t xml:space="preserve">, </w:t>
      </w:r>
      <w:r>
        <w:rPr>
          <w:rFonts w:ascii="Arial Narrow" w:hAnsi="Arial Narrow" w:cs="Times New Roman"/>
          <w:sz w:val="24"/>
          <w:szCs w:val="24"/>
          <w:lang w:val="en-US"/>
        </w:rPr>
        <w:t>Cloud</w:t>
      </w:r>
      <w:r w:rsidRPr="003C6C23">
        <w:rPr>
          <w:rFonts w:ascii="Arial Narrow" w:hAnsi="Arial Narrow" w:cs="Times New Roman"/>
          <w:sz w:val="24"/>
          <w:szCs w:val="24"/>
        </w:rPr>
        <w:t xml:space="preserve"> </w:t>
      </w:r>
      <w:r>
        <w:rPr>
          <w:rFonts w:ascii="Arial Narrow" w:hAnsi="Arial Narrow" w:cs="Times New Roman"/>
          <w:sz w:val="24"/>
          <w:szCs w:val="24"/>
          <w:lang w:val="en-US"/>
        </w:rPr>
        <w:t>Services</w:t>
      </w:r>
      <w:r w:rsidRPr="003C6C23">
        <w:rPr>
          <w:rFonts w:ascii="Arial Narrow" w:hAnsi="Arial Narrow" w:cs="Times New Roman"/>
          <w:sz w:val="24"/>
          <w:szCs w:val="24"/>
        </w:rPr>
        <w:t xml:space="preserve">, </w:t>
      </w:r>
      <w:r>
        <w:rPr>
          <w:rFonts w:ascii="Arial Narrow" w:hAnsi="Arial Narrow" w:cs="Times New Roman"/>
          <w:sz w:val="24"/>
          <w:szCs w:val="24"/>
          <w:lang w:val="en-US"/>
        </w:rPr>
        <w:t>Robotics</w:t>
      </w:r>
      <w:r w:rsidRPr="003C6C23">
        <w:rPr>
          <w:rFonts w:ascii="Arial Narrow" w:hAnsi="Arial Narrow" w:cs="Times New Roman"/>
          <w:sz w:val="24"/>
          <w:szCs w:val="24"/>
        </w:rPr>
        <w:t xml:space="preserve"> &amp; </w:t>
      </w:r>
      <w:r>
        <w:rPr>
          <w:rFonts w:ascii="Arial Narrow" w:hAnsi="Arial Narrow" w:cs="Times New Roman"/>
          <w:sz w:val="24"/>
          <w:szCs w:val="24"/>
          <w:lang w:val="en-US"/>
        </w:rPr>
        <w:t>Digital</w:t>
      </w:r>
      <w:r w:rsidRPr="003C6C23">
        <w:rPr>
          <w:rFonts w:ascii="Arial Narrow" w:hAnsi="Arial Narrow" w:cs="Times New Roman"/>
          <w:sz w:val="24"/>
          <w:szCs w:val="24"/>
        </w:rPr>
        <w:t xml:space="preserve"> </w:t>
      </w:r>
      <w:r>
        <w:rPr>
          <w:rFonts w:ascii="Arial Narrow" w:hAnsi="Arial Narrow" w:cs="Times New Roman"/>
          <w:sz w:val="24"/>
          <w:szCs w:val="24"/>
          <w:lang w:val="en-US"/>
        </w:rPr>
        <w:t>Manufacturing</w:t>
      </w:r>
      <w:r w:rsidRPr="003C6C23">
        <w:rPr>
          <w:rFonts w:ascii="Arial Narrow" w:hAnsi="Arial Narrow" w:cs="Times New Roman"/>
          <w:sz w:val="24"/>
          <w:szCs w:val="24"/>
        </w:rPr>
        <w:t xml:space="preserve">. </w:t>
      </w:r>
      <w:r>
        <w:rPr>
          <w:rFonts w:ascii="Arial Narrow" w:hAnsi="Arial Narrow" w:cs="Times New Roman"/>
          <w:sz w:val="24"/>
          <w:szCs w:val="24"/>
        </w:rPr>
        <w:t xml:space="preserve">Μεγάλες εταιρείες τεχνολογίας, όπως </w:t>
      </w:r>
      <w:r>
        <w:rPr>
          <w:rFonts w:ascii="Arial Narrow" w:hAnsi="Arial Narrow" w:cs="Times New Roman"/>
          <w:sz w:val="24"/>
          <w:szCs w:val="24"/>
          <w:lang w:val="en-US"/>
        </w:rPr>
        <w:t>Microsoft</w:t>
      </w:r>
      <w:r w:rsidRPr="003C6C23">
        <w:rPr>
          <w:rFonts w:ascii="Arial Narrow" w:hAnsi="Arial Narrow" w:cs="Times New Roman"/>
          <w:sz w:val="24"/>
          <w:szCs w:val="24"/>
        </w:rPr>
        <w:t xml:space="preserve">, </w:t>
      </w:r>
      <w:r>
        <w:rPr>
          <w:rFonts w:ascii="Arial Narrow" w:hAnsi="Arial Narrow" w:cs="Times New Roman"/>
          <w:sz w:val="24"/>
          <w:szCs w:val="24"/>
          <w:lang w:val="en-US"/>
        </w:rPr>
        <w:t>Oracle</w:t>
      </w:r>
      <w:r w:rsidRPr="003C6C23">
        <w:rPr>
          <w:rFonts w:ascii="Arial Narrow" w:hAnsi="Arial Narrow" w:cs="Times New Roman"/>
          <w:sz w:val="24"/>
          <w:szCs w:val="24"/>
        </w:rPr>
        <w:t xml:space="preserve"> &amp; </w:t>
      </w:r>
      <w:r>
        <w:rPr>
          <w:rFonts w:ascii="Arial Narrow" w:hAnsi="Arial Narrow" w:cs="Times New Roman"/>
          <w:sz w:val="24"/>
          <w:szCs w:val="24"/>
          <w:lang w:val="en-US"/>
        </w:rPr>
        <w:t>Google</w:t>
      </w:r>
      <w:r w:rsidRPr="003C6C23">
        <w:rPr>
          <w:rFonts w:ascii="Arial Narrow" w:hAnsi="Arial Narrow" w:cs="Times New Roman"/>
          <w:sz w:val="24"/>
          <w:szCs w:val="24"/>
        </w:rPr>
        <w:t xml:space="preserve"> </w:t>
      </w:r>
      <w:r>
        <w:rPr>
          <w:rFonts w:ascii="Arial Narrow" w:hAnsi="Arial Narrow" w:cs="Times New Roman"/>
          <w:sz w:val="24"/>
          <w:szCs w:val="24"/>
          <w:lang w:val="en-US"/>
        </w:rPr>
        <w:t>Cloud</w:t>
      </w:r>
      <w:r w:rsidRPr="003C6C23">
        <w:rPr>
          <w:rFonts w:ascii="Arial Narrow" w:hAnsi="Arial Narrow" w:cs="Times New Roman"/>
          <w:sz w:val="24"/>
          <w:szCs w:val="24"/>
        </w:rPr>
        <w:t xml:space="preserve"> </w:t>
      </w:r>
      <w:r>
        <w:rPr>
          <w:rFonts w:ascii="Arial Narrow" w:hAnsi="Arial Narrow" w:cs="Times New Roman"/>
          <w:sz w:val="24"/>
          <w:szCs w:val="24"/>
        </w:rPr>
        <w:t xml:space="preserve">έχουν προχωρήσει σε σημαντικές επενδύσεις, ενισχύοντας παράλληλα τη παρουσία τους στη χώρα. </w:t>
      </w:r>
    </w:p>
    <w:p w14:paraId="3323C3B7" w14:textId="18638DF1" w:rsidR="003C6C23" w:rsidRPr="00EF476B" w:rsidRDefault="003C6C23" w:rsidP="00E923A4">
      <w:pPr>
        <w:jc w:val="both"/>
        <w:rPr>
          <w:rFonts w:ascii="Arial Narrow" w:hAnsi="Arial Narrow" w:cs="Times New Roman"/>
          <w:b/>
          <w:color w:val="1F497D" w:themeColor="text2"/>
          <w:sz w:val="24"/>
          <w:szCs w:val="24"/>
        </w:rPr>
      </w:pPr>
      <w:r w:rsidRPr="003C6C23">
        <w:rPr>
          <w:rFonts w:ascii="Arial Narrow" w:hAnsi="Arial Narrow" w:cs="Times New Roman"/>
          <w:b/>
          <w:color w:val="1F497D" w:themeColor="text2"/>
          <w:sz w:val="24"/>
          <w:szCs w:val="24"/>
        </w:rPr>
        <w:t>ΚΥΒΕΡΝΟΑΣΦΑΛΕΙΑ (</w:t>
      </w:r>
      <w:r w:rsidRPr="003C6C23">
        <w:rPr>
          <w:rFonts w:ascii="Arial Narrow" w:hAnsi="Arial Narrow" w:cs="Times New Roman"/>
          <w:b/>
          <w:color w:val="1F497D" w:themeColor="text2"/>
          <w:sz w:val="24"/>
          <w:szCs w:val="24"/>
          <w:lang w:val="en-US"/>
        </w:rPr>
        <w:t>CYBERSECURITY</w:t>
      </w:r>
      <w:r w:rsidRPr="00EF476B">
        <w:rPr>
          <w:rFonts w:ascii="Arial Narrow" w:hAnsi="Arial Narrow" w:cs="Times New Roman"/>
          <w:b/>
          <w:color w:val="1F497D" w:themeColor="text2"/>
          <w:sz w:val="24"/>
          <w:szCs w:val="24"/>
        </w:rPr>
        <w:t xml:space="preserve">) </w:t>
      </w:r>
    </w:p>
    <w:p w14:paraId="3E491F88" w14:textId="350983E1" w:rsidR="003C6C23" w:rsidRDefault="003C6C23" w:rsidP="00E923A4">
      <w:pPr>
        <w:jc w:val="both"/>
        <w:rPr>
          <w:rFonts w:ascii="Arial Narrow" w:hAnsi="Arial Narrow" w:cs="Times New Roman"/>
          <w:sz w:val="24"/>
          <w:szCs w:val="24"/>
        </w:rPr>
      </w:pPr>
      <w:r>
        <w:rPr>
          <w:rFonts w:ascii="Arial Narrow" w:hAnsi="Arial Narrow" w:cs="Times New Roman"/>
          <w:sz w:val="24"/>
          <w:szCs w:val="24"/>
        </w:rPr>
        <w:t>Η</w:t>
      </w:r>
      <w:r w:rsidRPr="00EF476B">
        <w:rPr>
          <w:rFonts w:ascii="Arial Narrow" w:hAnsi="Arial Narrow" w:cs="Times New Roman"/>
          <w:sz w:val="24"/>
          <w:szCs w:val="24"/>
        </w:rPr>
        <w:t xml:space="preserve"> </w:t>
      </w:r>
      <w:r>
        <w:rPr>
          <w:rFonts w:ascii="Arial Narrow" w:hAnsi="Arial Narrow" w:cs="Times New Roman"/>
          <w:sz w:val="24"/>
          <w:szCs w:val="24"/>
        </w:rPr>
        <w:t>ανάπτυξη</w:t>
      </w:r>
      <w:r w:rsidRPr="00EF476B">
        <w:rPr>
          <w:rFonts w:ascii="Arial Narrow" w:hAnsi="Arial Narrow" w:cs="Times New Roman"/>
          <w:sz w:val="24"/>
          <w:szCs w:val="24"/>
        </w:rPr>
        <w:t xml:space="preserve"> </w:t>
      </w:r>
      <w:r>
        <w:rPr>
          <w:rFonts w:ascii="Arial Narrow" w:hAnsi="Arial Narrow" w:cs="Times New Roman"/>
          <w:sz w:val="24"/>
          <w:szCs w:val="24"/>
        </w:rPr>
        <w:t>της</w:t>
      </w:r>
      <w:r w:rsidRPr="00EF476B">
        <w:rPr>
          <w:rFonts w:ascii="Arial Narrow" w:hAnsi="Arial Narrow" w:cs="Times New Roman"/>
          <w:sz w:val="24"/>
          <w:szCs w:val="24"/>
        </w:rPr>
        <w:t xml:space="preserve"> </w:t>
      </w:r>
      <w:r>
        <w:rPr>
          <w:rFonts w:ascii="Arial Narrow" w:hAnsi="Arial Narrow" w:cs="Times New Roman"/>
          <w:sz w:val="24"/>
          <w:szCs w:val="24"/>
        </w:rPr>
        <w:t>ψηφιακής</w:t>
      </w:r>
      <w:r w:rsidRPr="00EF476B">
        <w:rPr>
          <w:rFonts w:ascii="Arial Narrow" w:hAnsi="Arial Narrow" w:cs="Times New Roman"/>
          <w:sz w:val="24"/>
          <w:szCs w:val="24"/>
        </w:rPr>
        <w:t xml:space="preserve"> </w:t>
      </w:r>
      <w:r>
        <w:rPr>
          <w:rFonts w:ascii="Arial Narrow" w:hAnsi="Arial Narrow" w:cs="Times New Roman"/>
          <w:sz w:val="24"/>
          <w:szCs w:val="24"/>
        </w:rPr>
        <w:t>οικονομίας</w:t>
      </w:r>
      <w:r w:rsidRPr="00EF476B">
        <w:rPr>
          <w:rFonts w:ascii="Arial Narrow" w:hAnsi="Arial Narrow" w:cs="Times New Roman"/>
          <w:sz w:val="24"/>
          <w:szCs w:val="24"/>
        </w:rPr>
        <w:t xml:space="preserve"> </w:t>
      </w:r>
      <w:r>
        <w:rPr>
          <w:rFonts w:ascii="Arial Narrow" w:hAnsi="Arial Narrow" w:cs="Times New Roman"/>
          <w:sz w:val="24"/>
          <w:szCs w:val="24"/>
        </w:rPr>
        <w:t>συνοδεύεται</w:t>
      </w:r>
      <w:r w:rsidRPr="00EF476B">
        <w:rPr>
          <w:rFonts w:ascii="Arial Narrow" w:hAnsi="Arial Narrow" w:cs="Times New Roman"/>
          <w:sz w:val="24"/>
          <w:szCs w:val="24"/>
        </w:rPr>
        <w:t xml:space="preserve"> </w:t>
      </w:r>
      <w:r>
        <w:rPr>
          <w:rFonts w:ascii="Arial Narrow" w:hAnsi="Arial Narrow" w:cs="Times New Roman"/>
          <w:sz w:val="24"/>
          <w:szCs w:val="24"/>
        </w:rPr>
        <w:t>από</w:t>
      </w:r>
      <w:r w:rsidRPr="00EF476B">
        <w:rPr>
          <w:rFonts w:ascii="Arial Narrow" w:hAnsi="Arial Narrow" w:cs="Times New Roman"/>
          <w:sz w:val="24"/>
          <w:szCs w:val="24"/>
        </w:rPr>
        <w:t xml:space="preserve"> </w:t>
      </w:r>
      <w:r w:rsidR="00817BA8">
        <w:rPr>
          <w:rFonts w:ascii="Arial Narrow" w:hAnsi="Arial Narrow" w:cs="Times New Roman"/>
          <w:sz w:val="24"/>
          <w:szCs w:val="24"/>
        </w:rPr>
        <w:t>σημαντικές</w:t>
      </w:r>
      <w:r w:rsidR="00817BA8" w:rsidRPr="00EF476B">
        <w:rPr>
          <w:rFonts w:ascii="Arial Narrow" w:hAnsi="Arial Narrow" w:cs="Times New Roman"/>
          <w:sz w:val="24"/>
          <w:szCs w:val="24"/>
        </w:rPr>
        <w:t xml:space="preserve"> </w:t>
      </w:r>
      <w:r w:rsidR="00817BA8">
        <w:rPr>
          <w:rFonts w:ascii="Arial Narrow" w:hAnsi="Arial Narrow" w:cs="Times New Roman"/>
          <w:sz w:val="24"/>
          <w:szCs w:val="24"/>
        </w:rPr>
        <w:t>επενδύσεις</w:t>
      </w:r>
      <w:r w:rsidR="00817BA8" w:rsidRPr="00EF476B">
        <w:rPr>
          <w:rFonts w:ascii="Arial Narrow" w:hAnsi="Arial Narrow" w:cs="Times New Roman"/>
          <w:sz w:val="24"/>
          <w:szCs w:val="24"/>
        </w:rPr>
        <w:t xml:space="preserve"> </w:t>
      </w:r>
      <w:r w:rsidR="00817BA8">
        <w:rPr>
          <w:rFonts w:ascii="Arial Narrow" w:hAnsi="Arial Narrow" w:cs="Times New Roman"/>
          <w:sz w:val="24"/>
          <w:szCs w:val="24"/>
        </w:rPr>
        <w:t>σε</w:t>
      </w:r>
      <w:r w:rsidR="00817BA8" w:rsidRPr="00EF476B">
        <w:rPr>
          <w:rFonts w:ascii="Arial Narrow" w:hAnsi="Arial Narrow" w:cs="Times New Roman"/>
          <w:sz w:val="24"/>
          <w:szCs w:val="24"/>
        </w:rPr>
        <w:t xml:space="preserve"> </w:t>
      </w:r>
      <w:r w:rsidR="00817BA8">
        <w:rPr>
          <w:rFonts w:ascii="Arial Narrow" w:hAnsi="Arial Narrow" w:cs="Times New Roman"/>
          <w:sz w:val="24"/>
          <w:szCs w:val="24"/>
        </w:rPr>
        <w:t>τομείς</w:t>
      </w:r>
      <w:r w:rsidR="00817BA8" w:rsidRPr="00EF476B">
        <w:rPr>
          <w:rFonts w:ascii="Arial Narrow" w:hAnsi="Arial Narrow" w:cs="Times New Roman"/>
          <w:sz w:val="24"/>
          <w:szCs w:val="24"/>
        </w:rPr>
        <w:t xml:space="preserve"> </w:t>
      </w:r>
      <w:r w:rsidR="00817BA8">
        <w:rPr>
          <w:rFonts w:ascii="Arial Narrow" w:hAnsi="Arial Narrow" w:cs="Times New Roman"/>
          <w:sz w:val="24"/>
          <w:szCs w:val="24"/>
        </w:rPr>
        <w:t>όπως</w:t>
      </w:r>
      <w:r w:rsidR="00817BA8" w:rsidRPr="00EF476B">
        <w:rPr>
          <w:rFonts w:ascii="Arial Narrow" w:hAnsi="Arial Narrow" w:cs="Times New Roman"/>
          <w:sz w:val="24"/>
          <w:szCs w:val="24"/>
        </w:rPr>
        <w:t xml:space="preserve"> </w:t>
      </w:r>
      <w:r w:rsidR="00817BA8">
        <w:rPr>
          <w:rFonts w:ascii="Arial Narrow" w:hAnsi="Arial Narrow" w:cs="Times New Roman"/>
          <w:sz w:val="24"/>
          <w:szCs w:val="24"/>
          <w:lang w:val="en-US"/>
        </w:rPr>
        <w:t>Data</w:t>
      </w:r>
      <w:r w:rsidR="00817BA8" w:rsidRPr="00EF476B">
        <w:rPr>
          <w:rFonts w:ascii="Arial Narrow" w:hAnsi="Arial Narrow" w:cs="Times New Roman"/>
          <w:sz w:val="24"/>
          <w:szCs w:val="24"/>
        </w:rPr>
        <w:t xml:space="preserve"> </w:t>
      </w:r>
      <w:r w:rsidR="00817BA8">
        <w:rPr>
          <w:rFonts w:ascii="Arial Narrow" w:hAnsi="Arial Narrow" w:cs="Times New Roman"/>
          <w:sz w:val="24"/>
          <w:szCs w:val="24"/>
          <w:lang w:val="en-US"/>
        </w:rPr>
        <w:t>Protection</w:t>
      </w:r>
      <w:r w:rsidR="00817BA8" w:rsidRPr="00EF476B">
        <w:rPr>
          <w:rFonts w:ascii="Arial Narrow" w:hAnsi="Arial Narrow" w:cs="Times New Roman"/>
          <w:sz w:val="24"/>
          <w:szCs w:val="24"/>
        </w:rPr>
        <w:t xml:space="preserve">, </w:t>
      </w:r>
      <w:r w:rsidR="00817BA8">
        <w:rPr>
          <w:rFonts w:ascii="Arial Narrow" w:hAnsi="Arial Narrow" w:cs="Times New Roman"/>
          <w:sz w:val="24"/>
          <w:szCs w:val="24"/>
          <w:lang w:val="en-US"/>
        </w:rPr>
        <w:t>AI</w:t>
      </w:r>
      <w:r w:rsidR="00817BA8" w:rsidRPr="00EF476B">
        <w:rPr>
          <w:rFonts w:ascii="Arial Narrow" w:hAnsi="Arial Narrow" w:cs="Times New Roman"/>
          <w:sz w:val="24"/>
          <w:szCs w:val="24"/>
        </w:rPr>
        <w:t xml:space="preserve"> </w:t>
      </w:r>
      <w:r w:rsidR="00817BA8">
        <w:rPr>
          <w:rFonts w:ascii="Arial Narrow" w:hAnsi="Arial Narrow" w:cs="Times New Roman"/>
          <w:sz w:val="24"/>
          <w:szCs w:val="24"/>
          <w:lang w:val="en-US"/>
        </w:rPr>
        <w:t>Security</w:t>
      </w:r>
      <w:r w:rsidR="00817BA8" w:rsidRPr="00EF476B">
        <w:rPr>
          <w:rFonts w:ascii="Arial Narrow" w:hAnsi="Arial Narrow" w:cs="Times New Roman"/>
          <w:sz w:val="24"/>
          <w:szCs w:val="24"/>
        </w:rPr>
        <w:t xml:space="preserve">, </w:t>
      </w:r>
      <w:r w:rsidR="00817BA8">
        <w:rPr>
          <w:rFonts w:ascii="Arial Narrow" w:hAnsi="Arial Narrow" w:cs="Times New Roman"/>
          <w:sz w:val="24"/>
          <w:szCs w:val="24"/>
          <w:lang w:val="en-US"/>
        </w:rPr>
        <w:t>Critical</w:t>
      </w:r>
      <w:r w:rsidR="00817BA8" w:rsidRPr="00EF476B">
        <w:rPr>
          <w:rFonts w:ascii="Arial Narrow" w:hAnsi="Arial Narrow" w:cs="Times New Roman"/>
          <w:sz w:val="24"/>
          <w:szCs w:val="24"/>
        </w:rPr>
        <w:t xml:space="preserve"> </w:t>
      </w:r>
      <w:r w:rsidR="00817BA8">
        <w:rPr>
          <w:rFonts w:ascii="Arial Narrow" w:hAnsi="Arial Narrow" w:cs="Times New Roman"/>
          <w:sz w:val="24"/>
          <w:szCs w:val="24"/>
          <w:lang w:val="en-US"/>
        </w:rPr>
        <w:t>Infrastructure</w:t>
      </w:r>
      <w:r w:rsidR="00817BA8" w:rsidRPr="00EF476B">
        <w:rPr>
          <w:rFonts w:ascii="Arial Narrow" w:hAnsi="Arial Narrow" w:cs="Times New Roman"/>
          <w:sz w:val="24"/>
          <w:szCs w:val="24"/>
        </w:rPr>
        <w:t xml:space="preserve"> </w:t>
      </w:r>
      <w:r w:rsidR="00817BA8">
        <w:rPr>
          <w:rFonts w:ascii="Arial Narrow" w:hAnsi="Arial Narrow" w:cs="Times New Roman"/>
          <w:sz w:val="24"/>
          <w:szCs w:val="24"/>
          <w:lang w:val="en-US"/>
        </w:rPr>
        <w:t>Protection</w:t>
      </w:r>
      <w:r w:rsidR="00817BA8" w:rsidRPr="00EF476B">
        <w:rPr>
          <w:rFonts w:ascii="Arial Narrow" w:hAnsi="Arial Narrow" w:cs="Times New Roman"/>
          <w:sz w:val="24"/>
          <w:szCs w:val="24"/>
        </w:rPr>
        <w:t xml:space="preserve">, </w:t>
      </w:r>
      <w:r w:rsidR="00817BA8">
        <w:rPr>
          <w:rFonts w:ascii="Arial Narrow" w:hAnsi="Arial Narrow" w:cs="Times New Roman"/>
          <w:sz w:val="24"/>
          <w:szCs w:val="24"/>
          <w:lang w:val="en-US"/>
        </w:rPr>
        <w:t>Cloud</w:t>
      </w:r>
      <w:r w:rsidR="00817BA8" w:rsidRPr="00EF476B">
        <w:rPr>
          <w:rFonts w:ascii="Arial Narrow" w:hAnsi="Arial Narrow" w:cs="Times New Roman"/>
          <w:sz w:val="24"/>
          <w:szCs w:val="24"/>
        </w:rPr>
        <w:t xml:space="preserve"> </w:t>
      </w:r>
      <w:r w:rsidR="00817BA8">
        <w:rPr>
          <w:rFonts w:ascii="Arial Narrow" w:hAnsi="Arial Narrow" w:cs="Times New Roman"/>
          <w:sz w:val="24"/>
          <w:szCs w:val="24"/>
          <w:lang w:val="en-US"/>
        </w:rPr>
        <w:t>Security</w:t>
      </w:r>
      <w:r w:rsidR="00817BA8" w:rsidRPr="00EF476B">
        <w:rPr>
          <w:rFonts w:ascii="Arial Narrow" w:hAnsi="Arial Narrow" w:cs="Times New Roman"/>
          <w:sz w:val="24"/>
          <w:szCs w:val="24"/>
        </w:rPr>
        <w:t xml:space="preserve"> &amp; </w:t>
      </w:r>
      <w:r w:rsidR="00817BA8">
        <w:rPr>
          <w:rFonts w:ascii="Arial Narrow" w:hAnsi="Arial Narrow" w:cs="Times New Roman"/>
          <w:sz w:val="24"/>
          <w:szCs w:val="24"/>
          <w:lang w:val="en-US"/>
        </w:rPr>
        <w:t>Fiancial</w:t>
      </w:r>
      <w:r w:rsidR="00817BA8" w:rsidRPr="00EF476B">
        <w:rPr>
          <w:rFonts w:ascii="Arial Narrow" w:hAnsi="Arial Narrow" w:cs="Times New Roman"/>
          <w:sz w:val="24"/>
          <w:szCs w:val="24"/>
        </w:rPr>
        <w:t xml:space="preserve"> </w:t>
      </w:r>
      <w:r w:rsidR="00817BA8">
        <w:rPr>
          <w:rFonts w:ascii="Arial Narrow" w:hAnsi="Arial Narrow" w:cs="Times New Roman"/>
          <w:sz w:val="24"/>
          <w:szCs w:val="24"/>
          <w:lang w:val="en-US"/>
        </w:rPr>
        <w:t>Security</w:t>
      </w:r>
      <w:r w:rsidR="00817BA8" w:rsidRPr="00EF476B">
        <w:rPr>
          <w:rFonts w:ascii="Arial Narrow" w:hAnsi="Arial Narrow" w:cs="Times New Roman"/>
          <w:sz w:val="24"/>
          <w:szCs w:val="24"/>
        </w:rPr>
        <w:t xml:space="preserve">. </w:t>
      </w:r>
      <w:r w:rsidR="00817BA8">
        <w:rPr>
          <w:rFonts w:ascii="Arial Narrow" w:hAnsi="Arial Narrow" w:cs="Times New Roman"/>
          <w:sz w:val="24"/>
          <w:szCs w:val="24"/>
        </w:rPr>
        <w:t>Η κυβερνοασφάλεια θεωρείται στρατηγικός τομέας εθνικής ασφάλειας και οικονομικής ανάπτυξης.</w:t>
      </w:r>
    </w:p>
    <w:p w14:paraId="49151685" w14:textId="6D069360" w:rsidR="00817BA8" w:rsidRDefault="00817BA8" w:rsidP="00E923A4">
      <w:pPr>
        <w:jc w:val="both"/>
        <w:rPr>
          <w:rFonts w:ascii="Arial Narrow" w:hAnsi="Arial Narrow" w:cs="Times New Roman"/>
          <w:b/>
          <w:color w:val="1F497D" w:themeColor="text2"/>
          <w:sz w:val="24"/>
          <w:szCs w:val="24"/>
        </w:rPr>
      </w:pPr>
      <w:r w:rsidRPr="00817BA8">
        <w:rPr>
          <w:rFonts w:ascii="Arial Narrow" w:hAnsi="Arial Narrow" w:cs="Times New Roman"/>
          <w:b/>
          <w:color w:val="1F497D" w:themeColor="text2"/>
          <w:sz w:val="24"/>
          <w:szCs w:val="24"/>
        </w:rPr>
        <w:t xml:space="preserve">ΠΡΟΚΛΗΣΕΙΣ </w:t>
      </w:r>
    </w:p>
    <w:p w14:paraId="3050BB65" w14:textId="1F46DA85" w:rsidR="00817BA8" w:rsidRDefault="00817BA8" w:rsidP="00E923A4">
      <w:pPr>
        <w:jc w:val="both"/>
        <w:rPr>
          <w:rFonts w:ascii="Arial Narrow" w:hAnsi="Arial Narrow" w:cs="Times New Roman"/>
          <w:sz w:val="24"/>
          <w:szCs w:val="24"/>
        </w:rPr>
      </w:pPr>
      <w:r>
        <w:rPr>
          <w:rFonts w:ascii="Arial Narrow" w:hAnsi="Arial Narrow" w:cs="Times New Roman"/>
          <w:sz w:val="24"/>
          <w:szCs w:val="24"/>
        </w:rPr>
        <w:t xml:space="preserve">Παρά τη σημαντική πρόοδο η οποία καταγράφεται στο στρατηγικό τομέα της Ψηφιακής Οικονομίας και εν γένει της Ψηφιοποίησης, τα ΗΑΕ είναι αντιμέτωπα με μία σειρά από προκλήσεις, όπως ανταγωνισμό από άλλες χώρες ΗΠΑ, Σιγκαπούρη, Νότια Κορέα και Κίνα και ανταγωνισμό που οφείλεται σε ανθρώπινο δυναμικό  και μεγάλες ανάγκες για προσλήψεις εξειδικευμένου προσωπικού για </w:t>
      </w:r>
      <w:r>
        <w:rPr>
          <w:rFonts w:ascii="Arial Narrow" w:hAnsi="Arial Narrow" w:cs="Times New Roman"/>
          <w:sz w:val="24"/>
          <w:szCs w:val="24"/>
          <w:lang w:val="en-US"/>
        </w:rPr>
        <w:t>Data</w:t>
      </w:r>
      <w:r w:rsidRPr="00817BA8">
        <w:rPr>
          <w:rFonts w:ascii="Arial Narrow" w:hAnsi="Arial Narrow" w:cs="Times New Roman"/>
          <w:sz w:val="24"/>
          <w:szCs w:val="24"/>
        </w:rPr>
        <w:t xml:space="preserve"> </w:t>
      </w:r>
      <w:r>
        <w:rPr>
          <w:rFonts w:ascii="Arial Narrow" w:hAnsi="Arial Narrow" w:cs="Times New Roman"/>
          <w:sz w:val="24"/>
          <w:szCs w:val="24"/>
          <w:lang w:val="en-US"/>
        </w:rPr>
        <w:t>Scientists</w:t>
      </w:r>
      <w:r w:rsidRPr="00817BA8">
        <w:rPr>
          <w:rFonts w:ascii="Arial Narrow" w:hAnsi="Arial Narrow" w:cs="Times New Roman"/>
          <w:sz w:val="24"/>
          <w:szCs w:val="24"/>
        </w:rPr>
        <w:t xml:space="preserve">, </w:t>
      </w:r>
      <w:r>
        <w:rPr>
          <w:rFonts w:ascii="Arial Narrow" w:hAnsi="Arial Narrow" w:cs="Times New Roman"/>
          <w:sz w:val="24"/>
          <w:szCs w:val="24"/>
          <w:lang w:val="en-US"/>
        </w:rPr>
        <w:t>AI</w:t>
      </w:r>
      <w:r w:rsidRPr="00817BA8">
        <w:rPr>
          <w:rFonts w:ascii="Arial Narrow" w:hAnsi="Arial Narrow" w:cs="Times New Roman"/>
          <w:sz w:val="24"/>
          <w:szCs w:val="24"/>
        </w:rPr>
        <w:t xml:space="preserve"> </w:t>
      </w:r>
      <w:r>
        <w:rPr>
          <w:rFonts w:ascii="Arial Narrow" w:hAnsi="Arial Narrow" w:cs="Times New Roman"/>
          <w:sz w:val="24"/>
          <w:szCs w:val="24"/>
          <w:lang w:val="en-US"/>
        </w:rPr>
        <w:t>engineers</w:t>
      </w:r>
      <w:r w:rsidRPr="00817BA8">
        <w:rPr>
          <w:rFonts w:ascii="Arial Narrow" w:hAnsi="Arial Narrow" w:cs="Times New Roman"/>
          <w:sz w:val="24"/>
          <w:szCs w:val="24"/>
        </w:rPr>
        <w:t xml:space="preserve">, </w:t>
      </w:r>
      <w:r>
        <w:rPr>
          <w:rFonts w:ascii="Arial Narrow" w:hAnsi="Arial Narrow" w:cs="Times New Roman"/>
          <w:sz w:val="24"/>
          <w:szCs w:val="24"/>
          <w:lang w:val="en-US"/>
        </w:rPr>
        <w:t>Cybersecurity</w:t>
      </w:r>
      <w:r w:rsidRPr="00817BA8">
        <w:rPr>
          <w:rFonts w:ascii="Arial Narrow" w:hAnsi="Arial Narrow" w:cs="Times New Roman"/>
          <w:sz w:val="24"/>
          <w:szCs w:val="24"/>
        </w:rPr>
        <w:t xml:space="preserve"> </w:t>
      </w:r>
      <w:r>
        <w:rPr>
          <w:rFonts w:ascii="Arial Narrow" w:hAnsi="Arial Narrow" w:cs="Times New Roman"/>
          <w:sz w:val="24"/>
          <w:szCs w:val="24"/>
          <w:lang w:val="en-US"/>
        </w:rPr>
        <w:t>Experts</w:t>
      </w:r>
      <w:r w:rsidRPr="00817BA8">
        <w:rPr>
          <w:rFonts w:ascii="Arial Narrow" w:hAnsi="Arial Narrow" w:cs="Times New Roman"/>
          <w:sz w:val="24"/>
          <w:szCs w:val="24"/>
        </w:rPr>
        <w:t xml:space="preserve"> &amp; </w:t>
      </w:r>
      <w:r>
        <w:rPr>
          <w:rFonts w:ascii="Arial Narrow" w:hAnsi="Arial Narrow" w:cs="Times New Roman"/>
          <w:sz w:val="24"/>
          <w:szCs w:val="24"/>
          <w:lang w:val="en-US"/>
        </w:rPr>
        <w:t>Cloud</w:t>
      </w:r>
      <w:r w:rsidRPr="00817BA8">
        <w:rPr>
          <w:rFonts w:ascii="Arial Narrow" w:hAnsi="Arial Narrow" w:cs="Times New Roman"/>
          <w:sz w:val="24"/>
          <w:szCs w:val="24"/>
        </w:rPr>
        <w:t xml:space="preserve"> </w:t>
      </w:r>
      <w:r>
        <w:rPr>
          <w:rFonts w:ascii="Arial Narrow" w:hAnsi="Arial Narrow" w:cs="Times New Roman"/>
          <w:sz w:val="24"/>
          <w:szCs w:val="24"/>
          <w:lang w:val="en-US"/>
        </w:rPr>
        <w:t>Architects</w:t>
      </w:r>
      <w:r w:rsidRPr="00817BA8">
        <w:rPr>
          <w:rFonts w:ascii="Arial Narrow" w:hAnsi="Arial Narrow" w:cs="Times New Roman"/>
          <w:sz w:val="24"/>
          <w:szCs w:val="24"/>
        </w:rPr>
        <w:t xml:space="preserve">. </w:t>
      </w:r>
      <w:r>
        <w:rPr>
          <w:rFonts w:ascii="Arial Narrow" w:hAnsi="Arial Narrow" w:cs="Times New Roman"/>
          <w:sz w:val="24"/>
          <w:szCs w:val="24"/>
        </w:rPr>
        <w:t xml:space="preserve">Ανταγωνισμό στο ρυθμιστικό πλαίσιο, όπως προστασία προσωπικών δεδομένων, διακυβέρνηση </w:t>
      </w:r>
      <w:r>
        <w:rPr>
          <w:rFonts w:ascii="Arial Narrow" w:hAnsi="Arial Narrow" w:cs="Times New Roman"/>
          <w:sz w:val="24"/>
          <w:szCs w:val="24"/>
          <w:lang w:val="en-US"/>
        </w:rPr>
        <w:t>AI</w:t>
      </w:r>
      <w:r w:rsidRPr="00817BA8">
        <w:rPr>
          <w:rFonts w:ascii="Arial Narrow" w:hAnsi="Arial Narrow" w:cs="Times New Roman"/>
          <w:sz w:val="24"/>
          <w:szCs w:val="24"/>
        </w:rPr>
        <w:t xml:space="preserve"> </w:t>
      </w:r>
      <w:r>
        <w:rPr>
          <w:rFonts w:ascii="Arial Narrow" w:hAnsi="Arial Narrow" w:cs="Times New Roman"/>
          <w:sz w:val="24"/>
          <w:szCs w:val="24"/>
        </w:rPr>
        <w:t>&amp; ψηφιακή τεχνολογία.</w:t>
      </w:r>
    </w:p>
    <w:p w14:paraId="7C39EED7" w14:textId="3AC2EF75" w:rsidR="00817BA8" w:rsidRDefault="00817BA8" w:rsidP="00E923A4">
      <w:pPr>
        <w:jc w:val="both"/>
        <w:rPr>
          <w:rFonts w:ascii="Arial Narrow" w:hAnsi="Arial Narrow" w:cs="Times New Roman"/>
          <w:b/>
          <w:color w:val="1F497D" w:themeColor="text2"/>
          <w:sz w:val="24"/>
          <w:szCs w:val="24"/>
        </w:rPr>
      </w:pPr>
      <w:r w:rsidRPr="00817BA8">
        <w:rPr>
          <w:rFonts w:ascii="Arial Narrow" w:hAnsi="Arial Narrow" w:cs="Times New Roman"/>
          <w:b/>
          <w:color w:val="1F497D" w:themeColor="text2"/>
          <w:sz w:val="24"/>
          <w:szCs w:val="24"/>
        </w:rPr>
        <w:t>ΠΡΟΟΠΤΙΚΕΣ ΕΩΣ ΤΟ 2031</w:t>
      </w:r>
    </w:p>
    <w:p w14:paraId="41BAF0E5" w14:textId="093F8C79" w:rsidR="00964443" w:rsidRDefault="00817BA8" w:rsidP="00E923A4">
      <w:pPr>
        <w:jc w:val="both"/>
        <w:rPr>
          <w:rFonts w:ascii="Arial Narrow" w:hAnsi="Arial Narrow" w:cs="Times New Roman"/>
          <w:sz w:val="24"/>
          <w:szCs w:val="24"/>
        </w:rPr>
      </w:pPr>
      <w:r>
        <w:rPr>
          <w:rFonts w:ascii="Arial Narrow" w:hAnsi="Arial Narrow" w:cs="Times New Roman"/>
          <w:sz w:val="24"/>
          <w:szCs w:val="24"/>
        </w:rPr>
        <w:t>Βασικές επιδιώξεις και παράλληλα προκλήσεις είναι η Ψηφιακή Οικονομία έως το 2031 να αποτελεί το 20% και πλέον του ΑΕΠ</w:t>
      </w:r>
      <w:r w:rsidR="00447F24">
        <w:rPr>
          <w:rFonts w:ascii="Arial Narrow" w:hAnsi="Arial Narrow" w:cs="Times New Roman"/>
          <w:sz w:val="24"/>
          <w:szCs w:val="24"/>
        </w:rPr>
        <w:t xml:space="preserve">, να αποτελεί παγκόσμιο κόμβο Τεχνητής Νοημοσύνης, να κατέχει ηγετική θέση στην </w:t>
      </w:r>
      <w:r w:rsidR="00447F24">
        <w:rPr>
          <w:rFonts w:ascii="Arial Narrow" w:hAnsi="Arial Narrow" w:cs="Times New Roman"/>
          <w:sz w:val="24"/>
          <w:szCs w:val="24"/>
          <w:lang w:val="en-US"/>
        </w:rPr>
        <w:t>FinTech</w:t>
      </w:r>
      <w:r w:rsidR="00447F24" w:rsidRPr="00447F24">
        <w:rPr>
          <w:rFonts w:ascii="Arial Narrow" w:hAnsi="Arial Narrow" w:cs="Times New Roman"/>
          <w:sz w:val="24"/>
          <w:szCs w:val="24"/>
        </w:rPr>
        <w:t xml:space="preserve"> </w:t>
      </w:r>
      <w:r w:rsidR="00447F24">
        <w:rPr>
          <w:rFonts w:ascii="Arial Narrow" w:hAnsi="Arial Narrow" w:cs="Times New Roman"/>
          <w:sz w:val="24"/>
          <w:szCs w:val="24"/>
        </w:rPr>
        <w:t xml:space="preserve">αγορά της Μέσης Ανατολής, παγκόσμιο κέντρο για </w:t>
      </w:r>
      <w:r w:rsidR="00447F24">
        <w:rPr>
          <w:rFonts w:ascii="Arial Narrow" w:hAnsi="Arial Narrow" w:cs="Times New Roman"/>
          <w:sz w:val="24"/>
          <w:szCs w:val="24"/>
          <w:lang w:val="en-US"/>
        </w:rPr>
        <w:t>Data</w:t>
      </w:r>
      <w:r w:rsidR="00447F24" w:rsidRPr="00447F24">
        <w:rPr>
          <w:rFonts w:ascii="Arial Narrow" w:hAnsi="Arial Narrow" w:cs="Times New Roman"/>
          <w:sz w:val="24"/>
          <w:szCs w:val="24"/>
        </w:rPr>
        <w:t xml:space="preserve"> </w:t>
      </w:r>
      <w:r w:rsidR="00447F24">
        <w:rPr>
          <w:rFonts w:ascii="Arial Narrow" w:hAnsi="Arial Narrow" w:cs="Times New Roman"/>
          <w:sz w:val="24"/>
          <w:szCs w:val="24"/>
          <w:lang w:val="en-US"/>
        </w:rPr>
        <w:t>Centers</w:t>
      </w:r>
      <w:r w:rsidR="00447F24" w:rsidRPr="00447F24">
        <w:rPr>
          <w:rFonts w:ascii="Arial Narrow" w:hAnsi="Arial Narrow" w:cs="Times New Roman"/>
          <w:sz w:val="24"/>
          <w:szCs w:val="24"/>
        </w:rPr>
        <w:t xml:space="preserve"> &amp; </w:t>
      </w:r>
      <w:r w:rsidR="00447F24">
        <w:rPr>
          <w:rFonts w:ascii="Arial Narrow" w:hAnsi="Arial Narrow" w:cs="Times New Roman"/>
          <w:sz w:val="24"/>
          <w:szCs w:val="24"/>
          <w:lang w:val="en-US"/>
        </w:rPr>
        <w:t>Cloud</w:t>
      </w:r>
      <w:r w:rsidR="00447F24" w:rsidRPr="00447F24">
        <w:rPr>
          <w:rFonts w:ascii="Arial Narrow" w:hAnsi="Arial Narrow" w:cs="Times New Roman"/>
          <w:sz w:val="24"/>
          <w:szCs w:val="24"/>
        </w:rPr>
        <w:t xml:space="preserve"> </w:t>
      </w:r>
      <w:r w:rsidR="00447F24">
        <w:rPr>
          <w:rFonts w:ascii="Arial Narrow" w:hAnsi="Arial Narrow" w:cs="Times New Roman"/>
          <w:sz w:val="24"/>
          <w:szCs w:val="24"/>
          <w:lang w:val="en-US"/>
        </w:rPr>
        <w:t>Computing</w:t>
      </w:r>
      <w:r w:rsidR="00447F24" w:rsidRPr="00447F24">
        <w:rPr>
          <w:rFonts w:ascii="Arial Narrow" w:hAnsi="Arial Narrow" w:cs="Times New Roman"/>
          <w:sz w:val="24"/>
          <w:szCs w:val="24"/>
        </w:rPr>
        <w:t xml:space="preserve">, </w:t>
      </w:r>
      <w:r w:rsidR="00964443">
        <w:rPr>
          <w:rFonts w:ascii="Arial Narrow" w:hAnsi="Arial Narrow" w:cs="Times New Roman"/>
          <w:sz w:val="24"/>
          <w:szCs w:val="24"/>
        </w:rPr>
        <w:t xml:space="preserve">να διαθέτει πλήρως ψηφιοποιημένες δημόσιες υπηρεσίες και να αποτελέσει κέντρο προηγμένων τεχνολογιών και καινοτομίας. </w:t>
      </w:r>
    </w:p>
    <w:p w14:paraId="65FCC3CA" w14:textId="2479A603" w:rsidR="00964443" w:rsidRPr="00964443" w:rsidRDefault="00964443" w:rsidP="00E923A4">
      <w:pPr>
        <w:jc w:val="both"/>
        <w:rPr>
          <w:rFonts w:ascii="Arial Narrow" w:hAnsi="Arial Narrow" w:cs="Times New Roman"/>
          <w:sz w:val="24"/>
          <w:szCs w:val="24"/>
        </w:rPr>
      </w:pPr>
      <w:r>
        <w:rPr>
          <w:rFonts w:ascii="Arial Narrow" w:hAnsi="Arial Narrow" w:cs="Times New Roman"/>
          <w:sz w:val="24"/>
          <w:szCs w:val="24"/>
        </w:rPr>
        <w:t xml:space="preserve">Συμπερασματικά τα ΗΑΕ εξελίσσονται σε λίαν σημαντικό παγκόσμιο ψηφιακό κόμβο, μέσω κυρίως σημαντικών επενδύσεων στη τεχνητή νοημοσύνη, τις ψηφιακές χρηματοοικονομικές υπηρεσίες, τα </w:t>
      </w:r>
      <w:r>
        <w:rPr>
          <w:rFonts w:ascii="Arial Narrow" w:hAnsi="Arial Narrow" w:cs="Times New Roman"/>
          <w:sz w:val="24"/>
          <w:szCs w:val="24"/>
          <w:lang w:val="en-US"/>
        </w:rPr>
        <w:t>Data</w:t>
      </w:r>
      <w:r w:rsidRPr="00964443">
        <w:rPr>
          <w:rFonts w:ascii="Arial Narrow" w:hAnsi="Arial Narrow" w:cs="Times New Roman"/>
          <w:sz w:val="24"/>
          <w:szCs w:val="24"/>
        </w:rPr>
        <w:t xml:space="preserve"> </w:t>
      </w:r>
      <w:r>
        <w:rPr>
          <w:rFonts w:ascii="Arial Narrow" w:hAnsi="Arial Narrow" w:cs="Times New Roman"/>
          <w:sz w:val="24"/>
          <w:szCs w:val="24"/>
          <w:lang w:val="en-US"/>
        </w:rPr>
        <w:t>Centers</w:t>
      </w:r>
      <w:r w:rsidRPr="00964443">
        <w:rPr>
          <w:rFonts w:ascii="Arial Narrow" w:hAnsi="Arial Narrow" w:cs="Times New Roman"/>
          <w:sz w:val="24"/>
          <w:szCs w:val="24"/>
        </w:rPr>
        <w:t xml:space="preserve">, </w:t>
      </w:r>
      <w:r>
        <w:rPr>
          <w:rFonts w:ascii="Arial Narrow" w:hAnsi="Arial Narrow" w:cs="Times New Roman"/>
          <w:sz w:val="24"/>
          <w:szCs w:val="24"/>
          <w:lang w:val="en-US"/>
        </w:rPr>
        <w:t>Cloud</w:t>
      </w:r>
      <w:r w:rsidRPr="00964443">
        <w:rPr>
          <w:rFonts w:ascii="Arial Narrow" w:hAnsi="Arial Narrow" w:cs="Times New Roman"/>
          <w:sz w:val="24"/>
          <w:szCs w:val="24"/>
        </w:rPr>
        <w:t xml:space="preserve"> </w:t>
      </w:r>
      <w:r>
        <w:rPr>
          <w:rFonts w:ascii="Arial Narrow" w:hAnsi="Arial Narrow" w:cs="Times New Roman"/>
          <w:sz w:val="24"/>
          <w:szCs w:val="24"/>
          <w:lang w:val="en-US"/>
        </w:rPr>
        <w:t>computing</w:t>
      </w:r>
      <w:r w:rsidRPr="00964443">
        <w:rPr>
          <w:rFonts w:ascii="Arial Narrow" w:hAnsi="Arial Narrow" w:cs="Times New Roman"/>
          <w:sz w:val="24"/>
          <w:szCs w:val="24"/>
        </w:rPr>
        <w:t xml:space="preserve"> </w:t>
      </w:r>
      <w:r>
        <w:rPr>
          <w:rFonts w:ascii="Arial Narrow" w:hAnsi="Arial Narrow" w:cs="Times New Roman"/>
          <w:sz w:val="24"/>
          <w:szCs w:val="24"/>
        </w:rPr>
        <w:t>&amp; την ηλεκτρονική διακυβέρνηση</w:t>
      </w:r>
      <w:r w:rsidR="00C9688D">
        <w:rPr>
          <w:rFonts w:ascii="Arial Narrow" w:hAnsi="Arial Narrow" w:cs="Times New Roman"/>
          <w:sz w:val="24"/>
          <w:szCs w:val="24"/>
        </w:rPr>
        <w:t>. Η Εθνική Στρατηγική της Ψηφιακής Οικονομίας αναμένεται ότι έως το 2031 θα αποτελέσει βασικό μοχλό της ανάπτυξης της μη πετρελαϊκης οικονομίας της χώρας.</w:t>
      </w:r>
    </w:p>
    <w:p w14:paraId="60EC56D9" w14:textId="59BFE88D" w:rsidR="00EE73BF" w:rsidRDefault="00022BD6" w:rsidP="00022BD6">
      <w:pPr>
        <w:jc w:val="center"/>
        <w:rPr>
          <w:rFonts w:ascii="Arial Narrow" w:hAnsi="Arial Narrow" w:cs="Times New Roman"/>
          <w:b/>
          <w:color w:val="1F497D" w:themeColor="text2"/>
          <w:sz w:val="28"/>
          <w:szCs w:val="28"/>
        </w:rPr>
      </w:pPr>
      <w:r w:rsidRPr="00022BD6">
        <w:rPr>
          <w:rFonts w:ascii="Arial Narrow" w:hAnsi="Arial Narrow" w:cs="Times New Roman"/>
          <w:b/>
          <w:color w:val="1F497D" w:themeColor="text2"/>
          <w:sz w:val="28"/>
          <w:szCs w:val="28"/>
        </w:rPr>
        <w:t xml:space="preserve">28. </w:t>
      </w:r>
      <w:r w:rsidR="00205BE4" w:rsidRPr="00205BE4">
        <w:rPr>
          <w:rFonts w:ascii="Arial Narrow" w:hAnsi="Arial Narrow" w:cs="Times New Roman"/>
          <w:b/>
          <w:color w:val="1F497D" w:themeColor="text2"/>
          <w:sz w:val="28"/>
          <w:szCs w:val="28"/>
        </w:rPr>
        <w:t>Ο ΤΟΜΕΑΣ ΤΗΣ</w:t>
      </w:r>
      <w:bookmarkEnd w:id="6"/>
      <w:r w:rsidR="00AD0EEA">
        <w:rPr>
          <w:rFonts w:ascii="Arial Narrow" w:hAnsi="Arial Narrow" w:cs="Times New Roman"/>
          <w:b/>
          <w:color w:val="1F497D" w:themeColor="text2"/>
          <w:sz w:val="28"/>
          <w:szCs w:val="28"/>
        </w:rPr>
        <w:t xml:space="preserve"> ΠΥΡΗΝΙΚΗΣ ΕΝΕΡΓΕΙΑΣ ΣΤΑ ΗΝΩΜΕΝΑ ΑΡΑΒΙΚΑ ΕΜΙΡΑΤΑ</w:t>
      </w:r>
    </w:p>
    <w:p w14:paraId="7429E089" w14:textId="667BCF27" w:rsidR="00F65569" w:rsidRDefault="00742B3D" w:rsidP="00AD0EEA">
      <w:pPr>
        <w:jc w:val="both"/>
        <w:rPr>
          <w:rFonts w:ascii="Arial Narrow" w:hAnsi="Arial Narrow" w:cs="Times New Roman"/>
          <w:sz w:val="24"/>
          <w:szCs w:val="24"/>
        </w:rPr>
      </w:pPr>
      <w:r>
        <w:rPr>
          <w:rFonts w:ascii="Arial Narrow" w:hAnsi="Arial Narrow" w:cs="Times New Roman"/>
          <w:sz w:val="24"/>
          <w:szCs w:val="24"/>
        </w:rPr>
        <w:t>Τα Ηνωμένα Αραβικά Εμιράτα αποτελούν τη πρώτη στον Αραβικό Κόσμο χώρα που ανέπτυξε και λειτουργεί εμπορ</w:t>
      </w:r>
      <w:r w:rsidR="00F65569">
        <w:rPr>
          <w:rFonts w:ascii="Arial Narrow" w:hAnsi="Arial Narrow" w:cs="Times New Roman"/>
          <w:sz w:val="24"/>
          <w:szCs w:val="24"/>
        </w:rPr>
        <w:t xml:space="preserve">ικό πρόγραμμα πυρηνικής ενέργειας μεγάλης κλίμακας. Η ανάπτυξη της πυρηνικής ενέργειας αποτελεί, μεταξύ των άλλων, έναν από τους σημαντικότερους πυλώνες της στρατηγικής ενεργειακής διαφοροποίησης της χώρας, με στόχο τη μείωση της εξάρτησης από το φ/α, μείωση των εκπομπών </w:t>
      </w:r>
      <w:r w:rsidR="00F65569">
        <w:rPr>
          <w:rFonts w:ascii="Arial Narrow" w:hAnsi="Arial Narrow" w:cs="Times New Roman"/>
          <w:sz w:val="24"/>
          <w:szCs w:val="24"/>
          <w:lang w:val="en-US"/>
        </w:rPr>
        <w:t>CO</w:t>
      </w:r>
      <w:r w:rsidR="00F65569" w:rsidRPr="00F65569">
        <w:rPr>
          <w:rFonts w:ascii="Arial Narrow" w:hAnsi="Arial Narrow" w:cs="Times New Roman"/>
          <w:sz w:val="24"/>
          <w:szCs w:val="24"/>
        </w:rPr>
        <w:t xml:space="preserve">2, </w:t>
      </w:r>
      <w:r w:rsidR="00F65569">
        <w:rPr>
          <w:rFonts w:ascii="Arial Narrow" w:hAnsi="Arial Narrow" w:cs="Times New Roman"/>
          <w:sz w:val="24"/>
          <w:szCs w:val="24"/>
        </w:rPr>
        <w:t>ενίσχυση της ενεργειακής ασφάλειας, υποστήριξη οικονομικής ανάπτυξης, εξασφάλιση σταθερής ηλεκτροπαραγωγής βάσης (</w:t>
      </w:r>
      <w:r w:rsidR="00F65569">
        <w:rPr>
          <w:rFonts w:ascii="Arial Narrow" w:hAnsi="Arial Narrow" w:cs="Times New Roman"/>
          <w:sz w:val="24"/>
          <w:szCs w:val="24"/>
          <w:lang w:val="en-US"/>
        </w:rPr>
        <w:t>baseload</w:t>
      </w:r>
      <w:r w:rsidR="00F65569" w:rsidRPr="00F65569">
        <w:rPr>
          <w:rFonts w:ascii="Arial Narrow" w:hAnsi="Arial Narrow" w:cs="Times New Roman"/>
          <w:sz w:val="24"/>
          <w:szCs w:val="24"/>
        </w:rPr>
        <w:t xml:space="preserve"> </w:t>
      </w:r>
      <w:r w:rsidR="00F65569">
        <w:rPr>
          <w:rFonts w:ascii="Arial Narrow" w:hAnsi="Arial Narrow" w:cs="Times New Roman"/>
          <w:sz w:val="24"/>
          <w:szCs w:val="24"/>
          <w:lang w:val="en-US"/>
        </w:rPr>
        <w:t>power</w:t>
      </w:r>
      <w:r w:rsidR="00F65569" w:rsidRPr="00F65569">
        <w:rPr>
          <w:rFonts w:ascii="Arial Narrow" w:hAnsi="Arial Narrow" w:cs="Times New Roman"/>
          <w:sz w:val="24"/>
          <w:szCs w:val="24"/>
        </w:rPr>
        <w:t xml:space="preserve">). </w:t>
      </w:r>
      <w:r w:rsidR="00F65569">
        <w:rPr>
          <w:rFonts w:ascii="Arial Narrow" w:hAnsi="Arial Narrow" w:cs="Times New Roman"/>
          <w:sz w:val="24"/>
          <w:szCs w:val="24"/>
        </w:rPr>
        <w:t>Η πυρηνική ενέργεια αποτελεί σήμερα τον μεγαλύτερο παραγωγό καθαρής ηλεκτρικής ενέργειας στα ΗΑΕ. Το 2008 η εμιρατινή κυβέρνηση ξεκίνησε την έναρξη του πυρηνικού προγράμματος της χώρας με την επωνυμία</w:t>
      </w:r>
      <w:r w:rsidR="00A312E5">
        <w:rPr>
          <w:rFonts w:ascii="Arial Narrow" w:hAnsi="Arial Narrow" w:cs="Times New Roman"/>
          <w:sz w:val="24"/>
          <w:szCs w:val="24"/>
        </w:rPr>
        <w:t xml:space="preserve"> «</w:t>
      </w:r>
      <w:r w:rsidR="0014472D">
        <w:rPr>
          <w:rFonts w:ascii="Arial Narrow" w:hAnsi="Arial Narrow" w:cs="Times New Roman"/>
          <w:sz w:val="24"/>
          <w:szCs w:val="24"/>
          <w:lang w:val="en-US"/>
        </w:rPr>
        <w:t>Policy</w:t>
      </w:r>
      <w:r w:rsidR="0014472D" w:rsidRPr="0014472D">
        <w:rPr>
          <w:rFonts w:ascii="Arial Narrow" w:hAnsi="Arial Narrow" w:cs="Times New Roman"/>
          <w:sz w:val="24"/>
          <w:szCs w:val="24"/>
        </w:rPr>
        <w:t xml:space="preserve"> </w:t>
      </w:r>
      <w:r w:rsidR="0014472D">
        <w:rPr>
          <w:rFonts w:ascii="Arial Narrow" w:hAnsi="Arial Narrow" w:cs="Times New Roman"/>
          <w:sz w:val="24"/>
          <w:szCs w:val="24"/>
          <w:lang w:val="en-US"/>
        </w:rPr>
        <w:t>of</w:t>
      </w:r>
      <w:r w:rsidR="0014472D" w:rsidRPr="0014472D">
        <w:rPr>
          <w:rFonts w:ascii="Arial Narrow" w:hAnsi="Arial Narrow" w:cs="Times New Roman"/>
          <w:sz w:val="24"/>
          <w:szCs w:val="24"/>
        </w:rPr>
        <w:t xml:space="preserve"> </w:t>
      </w:r>
      <w:r w:rsidR="0014472D">
        <w:rPr>
          <w:rFonts w:ascii="Arial Narrow" w:hAnsi="Arial Narrow" w:cs="Times New Roman"/>
          <w:sz w:val="24"/>
          <w:szCs w:val="24"/>
          <w:lang w:val="en-US"/>
        </w:rPr>
        <w:t>the</w:t>
      </w:r>
      <w:r w:rsidR="0014472D" w:rsidRPr="0014472D">
        <w:rPr>
          <w:rFonts w:ascii="Arial Narrow" w:hAnsi="Arial Narrow" w:cs="Times New Roman"/>
          <w:sz w:val="24"/>
          <w:szCs w:val="24"/>
        </w:rPr>
        <w:t xml:space="preserve"> </w:t>
      </w:r>
      <w:r w:rsidR="0014472D">
        <w:rPr>
          <w:rFonts w:ascii="Arial Narrow" w:hAnsi="Arial Narrow" w:cs="Times New Roman"/>
          <w:sz w:val="24"/>
          <w:szCs w:val="24"/>
          <w:lang w:val="en-US"/>
        </w:rPr>
        <w:t>United</w:t>
      </w:r>
      <w:r w:rsidR="0014472D" w:rsidRPr="0014472D">
        <w:rPr>
          <w:rFonts w:ascii="Arial Narrow" w:hAnsi="Arial Narrow" w:cs="Times New Roman"/>
          <w:sz w:val="24"/>
          <w:szCs w:val="24"/>
        </w:rPr>
        <w:t xml:space="preserve"> </w:t>
      </w:r>
      <w:r w:rsidR="0014472D">
        <w:rPr>
          <w:rFonts w:ascii="Arial Narrow" w:hAnsi="Arial Narrow" w:cs="Times New Roman"/>
          <w:sz w:val="24"/>
          <w:szCs w:val="24"/>
          <w:lang w:val="en-US"/>
        </w:rPr>
        <w:t>Arab</w:t>
      </w:r>
      <w:r w:rsidR="0014472D" w:rsidRPr="0014472D">
        <w:rPr>
          <w:rFonts w:ascii="Arial Narrow" w:hAnsi="Arial Narrow" w:cs="Times New Roman"/>
          <w:sz w:val="24"/>
          <w:szCs w:val="24"/>
        </w:rPr>
        <w:t xml:space="preserve"> </w:t>
      </w:r>
      <w:r w:rsidR="0014472D">
        <w:rPr>
          <w:rFonts w:ascii="Arial Narrow" w:hAnsi="Arial Narrow" w:cs="Times New Roman"/>
          <w:sz w:val="24"/>
          <w:szCs w:val="24"/>
          <w:lang w:val="en-US"/>
        </w:rPr>
        <w:t>Emirates</w:t>
      </w:r>
      <w:r w:rsidR="0014472D" w:rsidRPr="0014472D">
        <w:rPr>
          <w:rFonts w:ascii="Arial Narrow" w:hAnsi="Arial Narrow" w:cs="Times New Roman"/>
          <w:sz w:val="24"/>
          <w:szCs w:val="24"/>
        </w:rPr>
        <w:t xml:space="preserve"> </w:t>
      </w:r>
      <w:r w:rsidR="0014472D">
        <w:rPr>
          <w:rFonts w:ascii="Arial Narrow" w:hAnsi="Arial Narrow" w:cs="Times New Roman"/>
          <w:sz w:val="24"/>
          <w:szCs w:val="24"/>
          <w:lang w:val="en-US"/>
        </w:rPr>
        <w:t>on</w:t>
      </w:r>
      <w:r w:rsidR="0014472D" w:rsidRPr="0014472D">
        <w:rPr>
          <w:rFonts w:ascii="Arial Narrow" w:hAnsi="Arial Narrow" w:cs="Times New Roman"/>
          <w:sz w:val="24"/>
          <w:szCs w:val="24"/>
        </w:rPr>
        <w:t xml:space="preserve"> </w:t>
      </w:r>
      <w:r w:rsidR="0014472D">
        <w:rPr>
          <w:rFonts w:ascii="Arial Narrow" w:hAnsi="Arial Narrow" w:cs="Times New Roman"/>
          <w:sz w:val="24"/>
          <w:szCs w:val="24"/>
          <w:lang w:val="en-US"/>
        </w:rPr>
        <w:t>the</w:t>
      </w:r>
      <w:r w:rsidR="0014472D" w:rsidRPr="0014472D">
        <w:rPr>
          <w:rFonts w:ascii="Arial Narrow" w:hAnsi="Arial Narrow" w:cs="Times New Roman"/>
          <w:sz w:val="24"/>
          <w:szCs w:val="24"/>
        </w:rPr>
        <w:t xml:space="preserve"> </w:t>
      </w:r>
      <w:r w:rsidR="0014472D">
        <w:rPr>
          <w:rFonts w:ascii="Arial Narrow" w:hAnsi="Arial Narrow" w:cs="Times New Roman"/>
          <w:sz w:val="24"/>
          <w:szCs w:val="24"/>
          <w:lang w:val="en-US"/>
        </w:rPr>
        <w:t>Evaluation</w:t>
      </w:r>
      <w:r w:rsidR="0014472D" w:rsidRPr="0014472D">
        <w:rPr>
          <w:rFonts w:ascii="Arial Narrow" w:hAnsi="Arial Narrow" w:cs="Times New Roman"/>
          <w:sz w:val="24"/>
          <w:szCs w:val="24"/>
        </w:rPr>
        <w:t xml:space="preserve"> </w:t>
      </w:r>
      <w:r w:rsidR="0014472D">
        <w:rPr>
          <w:rFonts w:ascii="Arial Narrow" w:hAnsi="Arial Narrow" w:cs="Times New Roman"/>
          <w:sz w:val="24"/>
          <w:szCs w:val="24"/>
          <w:lang w:val="en-US"/>
        </w:rPr>
        <w:t>and</w:t>
      </w:r>
      <w:r w:rsidR="0014472D" w:rsidRPr="0014472D">
        <w:rPr>
          <w:rFonts w:ascii="Arial Narrow" w:hAnsi="Arial Narrow" w:cs="Times New Roman"/>
          <w:sz w:val="24"/>
          <w:szCs w:val="24"/>
        </w:rPr>
        <w:t xml:space="preserve"> </w:t>
      </w:r>
      <w:r w:rsidR="0014472D">
        <w:rPr>
          <w:rFonts w:ascii="Arial Narrow" w:hAnsi="Arial Narrow" w:cs="Times New Roman"/>
          <w:sz w:val="24"/>
          <w:szCs w:val="24"/>
          <w:lang w:val="en-US"/>
        </w:rPr>
        <w:t>Potential</w:t>
      </w:r>
      <w:r w:rsidR="0014472D" w:rsidRPr="0014472D">
        <w:rPr>
          <w:rFonts w:ascii="Arial Narrow" w:hAnsi="Arial Narrow" w:cs="Times New Roman"/>
          <w:sz w:val="24"/>
          <w:szCs w:val="24"/>
        </w:rPr>
        <w:t xml:space="preserve"> </w:t>
      </w:r>
      <w:r w:rsidR="0014472D">
        <w:rPr>
          <w:rFonts w:ascii="Arial Narrow" w:hAnsi="Arial Narrow" w:cs="Times New Roman"/>
          <w:sz w:val="24"/>
          <w:szCs w:val="24"/>
          <w:lang w:val="en-US"/>
        </w:rPr>
        <w:t>Development</w:t>
      </w:r>
      <w:r w:rsidR="0014472D" w:rsidRPr="0014472D">
        <w:rPr>
          <w:rFonts w:ascii="Arial Narrow" w:hAnsi="Arial Narrow" w:cs="Times New Roman"/>
          <w:sz w:val="24"/>
          <w:szCs w:val="24"/>
        </w:rPr>
        <w:t xml:space="preserve"> </w:t>
      </w:r>
      <w:r w:rsidR="0014472D">
        <w:rPr>
          <w:rFonts w:ascii="Arial Narrow" w:hAnsi="Arial Narrow" w:cs="Times New Roman"/>
          <w:sz w:val="24"/>
          <w:szCs w:val="24"/>
          <w:lang w:val="en-US"/>
        </w:rPr>
        <w:t>of</w:t>
      </w:r>
      <w:r w:rsidR="0014472D" w:rsidRPr="0014472D">
        <w:rPr>
          <w:rFonts w:ascii="Arial Narrow" w:hAnsi="Arial Narrow" w:cs="Times New Roman"/>
          <w:sz w:val="24"/>
          <w:szCs w:val="24"/>
        </w:rPr>
        <w:t xml:space="preserve"> </w:t>
      </w:r>
      <w:r w:rsidR="0014472D">
        <w:rPr>
          <w:rFonts w:ascii="Arial Narrow" w:hAnsi="Arial Narrow" w:cs="Times New Roman"/>
          <w:sz w:val="24"/>
          <w:szCs w:val="24"/>
          <w:lang w:val="en-US"/>
        </w:rPr>
        <w:t>Peaceful</w:t>
      </w:r>
      <w:r w:rsidR="0014472D" w:rsidRPr="0014472D">
        <w:rPr>
          <w:rFonts w:ascii="Arial Narrow" w:hAnsi="Arial Narrow" w:cs="Times New Roman"/>
          <w:sz w:val="24"/>
          <w:szCs w:val="24"/>
        </w:rPr>
        <w:t xml:space="preserve"> </w:t>
      </w:r>
      <w:r w:rsidR="0014472D">
        <w:rPr>
          <w:rFonts w:ascii="Arial Narrow" w:hAnsi="Arial Narrow" w:cs="Times New Roman"/>
          <w:sz w:val="24"/>
          <w:szCs w:val="24"/>
          <w:lang w:val="en-US"/>
        </w:rPr>
        <w:t>Nuclear</w:t>
      </w:r>
      <w:r w:rsidR="0014472D" w:rsidRPr="0014472D">
        <w:rPr>
          <w:rFonts w:ascii="Arial Narrow" w:hAnsi="Arial Narrow" w:cs="Times New Roman"/>
          <w:sz w:val="24"/>
          <w:szCs w:val="24"/>
        </w:rPr>
        <w:t xml:space="preserve"> </w:t>
      </w:r>
      <w:r w:rsidR="0014472D">
        <w:rPr>
          <w:rFonts w:ascii="Arial Narrow" w:hAnsi="Arial Narrow" w:cs="Times New Roman"/>
          <w:sz w:val="24"/>
          <w:szCs w:val="24"/>
          <w:lang w:val="en-US"/>
        </w:rPr>
        <w:t>Energy</w:t>
      </w:r>
      <w:r w:rsidR="0014472D">
        <w:rPr>
          <w:rFonts w:ascii="Arial Narrow" w:hAnsi="Arial Narrow" w:cs="Times New Roman"/>
          <w:sz w:val="24"/>
          <w:szCs w:val="24"/>
        </w:rPr>
        <w:t>» με αποκλειστική χρήση της πυρηνικής ενέργειας για ειρηνικούς και μόνο σκοπούς, ενώ το 2009 ιδρύθηκε η «</w:t>
      </w:r>
      <w:r w:rsidR="0014472D">
        <w:rPr>
          <w:rFonts w:ascii="Arial Narrow" w:hAnsi="Arial Narrow" w:cs="Times New Roman"/>
          <w:sz w:val="24"/>
          <w:szCs w:val="24"/>
          <w:lang w:val="en-US"/>
        </w:rPr>
        <w:t>Emirates</w:t>
      </w:r>
      <w:r w:rsidR="0014472D" w:rsidRPr="0014472D">
        <w:rPr>
          <w:rFonts w:ascii="Arial Narrow" w:hAnsi="Arial Narrow" w:cs="Times New Roman"/>
          <w:sz w:val="24"/>
          <w:szCs w:val="24"/>
        </w:rPr>
        <w:t xml:space="preserve"> </w:t>
      </w:r>
      <w:r w:rsidR="0014472D">
        <w:rPr>
          <w:rFonts w:ascii="Arial Narrow" w:hAnsi="Arial Narrow" w:cs="Times New Roman"/>
          <w:sz w:val="24"/>
          <w:szCs w:val="24"/>
          <w:lang w:val="en-US"/>
        </w:rPr>
        <w:t>Nuclear</w:t>
      </w:r>
      <w:r w:rsidR="0014472D" w:rsidRPr="0014472D">
        <w:rPr>
          <w:rFonts w:ascii="Arial Narrow" w:hAnsi="Arial Narrow" w:cs="Times New Roman"/>
          <w:sz w:val="24"/>
          <w:szCs w:val="24"/>
        </w:rPr>
        <w:t xml:space="preserve"> </w:t>
      </w:r>
      <w:r w:rsidR="0014472D">
        <w:rPr>
          <w:rFonts w:ascii="Arial Narrow" w:hAnsi="Arial Narrow" w:cs="Times New Roman"/>
          <w:sz w:val="24"/>
          <w:szCs w:val="24"/>
          <w:lang w:val="en-US"/>
        </w:rPr>
        <w:t>Energy</w:t>
      </w:r>
      <w:r w:rsidR="0014472D" w:rsidRPr="0014472D">
        <w:rPr>
          <w:rFonts w:ascii="Arial Narrow" w:hAnsi="Arial Narrow" w:cs="Times New Roman"/>
          <w:sz w:val="24"/>
          <w:szCs w:val="24"/>
        </w:rPr>
        <w:t xml:space="preserve"> </w:t>
      </w:r>
      <w:r w:rsidR="0014472D">
        <w:rPr>
          <w:rFonts w:ascii="Arial Narrow" w:hAnsi="Arial Narrow" w:cs="Times New Roman"/>
          <w:sz w:val="24"/>
          <w:szCs w:val="24"/>
          <w:lang w:val="en-US"/>
        </w:rPr>
        <w:t>Corporation</w:t>
      </w:r>
      <w:r w:rsidR="0014472D">
        <w:rPr>
          <w:rFonts w:ascii="Arial Narrow" w:hAnsi="Arial Narrow" w:cs="Times New Roman"/>
          <w:sz w:val="24"/>
          <w:szCs w:val="24"/>
        </w:rPr>
        <w:t>», ως ο κρατικός οργανισμός ανάπτυξης και διαχείρισης του πυρηνικού προγράμματος. Το 2010 η κοινοπραξία «</w:t>
      </w:r>
      <w:r w:rsidR="0014472D">
        <w:rPr>
          <w:rFonts w:ascii="Arial Narrow" w:hAnsi="Arial Narrow" w:cs="Times New Roman"/>
          <w:sz w:val="24"/>
          <w:szCs w:val="24"/>
          <w:lang w:val="en-US"/>
        </w:rPr>
        <w:t>Korea</w:t>
      </w:r>
      <w:r w:rsidR="0014472D" w:rsidRPr="0014472D">
        <w:rPr>
          <w:rFonts w:ascii="Arial Narrow" w:hAnsi="Arial Narrow" w:cs="Times New Roman"/>
          <w:sz w:val="24"/>
          <w:szCs w:val="24"/>
        </w:rPr>
        <w:t xml:space="preserve"> </w:t>
      </w:r>
      <w:r w:rsidR="0014472D">
        <w:rPr>
          <w:rFonts w:ascii="Arial Narrow" w:hAnsi="Arial Narrow" w:cs="Times New Roman"/>
          <w:sz w:val="24"/>
          <w:szCs w:val="24"/>
          <w:lang w:val="en-US"/>
        </w:rPr>
        <w:t>Electric</w:t>
      </w:r>
      <w:r w:rsidR="0014472D" w:rsidRPr="0014472D">
        <w:rPr>
          <w:rFonts w:ascii="Arial Narrow" w:hAnsi="Arial Narrow" w:cs="Times New Roman"/>
          <w:sz w:val="24"/>
          <w:szCs w:val="24"/>
        </w:rPr>
        <w:t xml:space="preserve"> </w:t>
      </w:r>
      <w:r w:rsidR="0014472D">
        <w:rPr>
          <w:rFonts w:ascii="Arial Narrow" w:hAnsi="Arial Narrow" w:cs="Times New Roman"/>
          <w:sz w:val="24"/>
          <w:szCs w:val="24"/>
          <w:lang w:val="en-US"/>
        </w:rPr>
        <w:t>Power</w:t>
      </w:r>
      <w:r w:rsidR="0014472D" w:rsidRPr="0014472D">
        <w:rPr>
          <w:rFonts w:ascii="Arial Narrow" w:hAnsi="Arial Narrow" w:cs="Times New Roman"/>
          <w:sz w:val="24"/>
          <w:szCs w:val="24"/>
        </w:rPr>
        <w:t xml:space="preserve"> </w:t>
      </w:r>
      <w:r w:rsidR="0014472D">
        <w:rPr>
          <w:rFonts w:ascii="Arial Narrow" w:hAnsi="Arial Narrow" w:cs="Times New Roman"/>
          <w:sz w:val="24"/>
          <w:szCs w:val="24"/>
          <w:lang w:val="en-US"/>
        </w:rPr>
        <w:t>Corporation</w:t>
      </w:r>
      <w:r w:rsidR="0014472D">
        <w:rPr>
          <w:rFonts w:ascii="Arial Narrow" w:hAnsi="Arial Narrow" w:cs="Times New Roman"/>
          <w:sz w:val="24"/>
          <w:szCs w:val="24"/>
        </w:rPr>
        <w:t xml:space="preserve">» επιλέχθηκε για τη κατασκευή των αντιδραστήρων με τη συμφωνία να φθάνει σε περίπου 20 δις </w:t>
      </w:r>
      <w:r w:rsidR="008B5D9D">
        <w:rPr>
          <w:rFonts w:ascii="Arial Narrow" w:hAnsi="Arial Narrow" w:cs="Times New Roman"/>
          <w:sz w:val="24"/>
          <w:szCs w:val="24"/>
        </w:rPr>
        <w:t>$.</w:t>
      </w:r>
    </w:p>
    <w:p w14:paraId="1F0B667A" w14:textId="3E06E695" w:rsidR="00A4432F" w:rsidRDefault="008B5D9D" w:rsidP="00AD0EEA">
      <w:pPr>
        <w:jc w:val="both"/>
        <w:rPr>
          <w:rFonts w:ascii="Arial Narrow" w:hAnsi="Arial Narrow" w:cs="Times New Roman"/>
          <w:sz w:val="24"/>
          <w:szCs w:val="24"/>
        </w:rPr>
      </w:pPr>
      <w:r>
        <w:rPr>
          <w:rFonts w:ascii="Arial Narrow" w:hAnsi="Arial Narrow" w:cs="Times New Roman"/>
          <w:sz w:val="24"/>
          <w:szCs w:val="24"/>
        </w:rPr>
        <w:t>Ο</w:t>
      </w:r>
      <w:r w:rsidRPr="001726FC">
        <w:rPr>
          <w:rFonts w:ascii="Arial Narrow" w:hAnsi="Arial Narrow" w:cs="Times New Roman"/>
          <w:sz w:val="24"/>
          <w:szCs w:val="24"/>
        </w:rPr>
        <w:t xml:space="preserve"> </w:t>
      </w:r>
      <w:r>
        <w:rPr>
          <w:rFonts w:ascii="Arial Narrow" w:hAnsi="Arial Narrow" w:cs="Times New Roman"/>
          <w:sz w:val="24"/>
          <w:szCs w:val="24"/>
        </w:rPr>
        <w:t>πυρηνικός</w:t>
      </w:r>
      <w:r w:rsidRPr="001726FC">
        <w:rPr>
          <w:rFonts w:ascii="Arial Narrow" w:hAnsi="Arial Narrow" w:cs="Times New Roman"/>
          <w:sz w:val="24"/>
          <w:szCs w:val="24"/>
        </w:rPr>
        <w:t xml:space="preserve"> </w:t>
      </w:r>
      <w:r>
        <w:rPr>
          <w:rFonts w:ascii="Arial Narrow" w:hAnsi="Arial Narrow" w:cs="Times New Roman"/>
          <w:sz w:val="24"/>
          <w:szCs w:val="24"/>
        </w:rPr>
        <w:t>σταθμός</w:t>
      </w:r>
      <w:r w:rsidRPr="001726FC">
        <w:rPr>
          <w:rFonts w:ascii="Arial Narrow" w:hAnsi="Arial Narrow" w:cs="Times New Roman"/>
          <w:sz w:val="24"/>
          <w:szCs w:val="24"/>
        </w:rPr>
        <w:t xml:space="preserve"> </w:t>
      </w:r>
      <w:r>
        <w:rPr>
          <w:rFonts w:ascii="Arial Narrow" w:hAnsi="Arial Narrow" w:cs="Times New Roman"/>
          <w:sz w:val="24"/>
          <w:szCs w:val="24"/>
          <w:lang w:val="en-US"/>
        </w:rPr>
        <w:t>Barakah</w:t>
      </w:r>
      <w:r w:rsidRPr="001726FC">
        <w:rPr>
          <w:rFonts w:ascii="Arial Narrow" w:hAnsi="Arial Narrow" w:cs="Times New Roman"/>
          <w:sz w:val="24"/>
          <w:szCs w:val="24"/>
        </w:rPr>
        <w:t xml:space="preserve"> </w:t>
      </w:r>
      <w:r>
        <w:rPr>
          <w:rFonts w:ascii="Arial Narrow" w:hAnsi="Arial Narrow" w:cs="Times New Roman"/>
          <w:sz w:val="24"/>
          <w:szCs w:val="24"/>
          <w:lang w:val="en-US"/>
        </w:rPr>
        <w:t>Nuclear</w:t>
      </w:r>
      <w:r w:rsidRPr="001726FC">
        <w:rPr>
          <w:rFonts w:ascii="Arial Narrow" w:hAnsi="Arial Narrow" w:cs="Times New Roman"/>
          <w:sz w:val="24"/>
          <w:szCs w:val="24"/>
        </w:rPr>
        <w:t xml:space="preserve"> </w:t>
      </w:r>
      <w:r>
        <w:rPr>
          <w:rFonts w:ascii="Arial Narrow" w:hAnsi="Arial Narrow" w:cs="Times New Roman"/>
          <w:sz w:val="24"/>
          <w:szCs w:val="24"/>
          <w:lang w:val="en-US"/>
        </w:rPr>
        <w:t>Energy</w:t>
      </w:r>
      <w:r w:rsidRPr="001726FC">
        <w:rPr>
          <w:rFonts w:ascii="Arial Narrow" w:hAnsi="Arial Narrow" w:cs="Times New Roman"/>
          <w:sz w:val="24"/>
          <w:szCs w:val="24"/>
        </w:rPr>
        <w:t xml:space="preserve"> </w:t>
      </w:r>
      <w:r>
        <w:rPr>
          <w:rFonts w:ascii="Arial Narrow" w:hAnsi="Arial Narrow" w:cs="Times New Roman"/>
          <w:sz w:val="24"/>
          <w:szCs w:val="24"/>
          <w:lang w:val="en-US"/>
        </w:rPr>
        <w:t>Plant</w:t>
      </w:r>
      <w:r w:rsidRPr="001726FC">
        <w:rPr>
          <w:rFonts w:ascii="Arial Narrow" w:hAnsi="Arial Narrow" w:cs="Times New Roman"/>
          <w:sz w:val="24"/>
          <w:szCs w:val="24"/>
        </w:rPr>
        <w:t>,</w:t>
      </w:r>
      <w:r w:rsidR="001726FC">
        <w:rPr>
          <w:rFonts w:ascii="Arial Narrow" w:hAnsi="Arial Narrow" w:cs="Times New Roman"/>
          <w:sz w:val="24"/>
          <w:szCs w:val="24"/>
        </w:rPr>
        <w:t xml:space="preserve"> βρίσκεται στη περιοχή </w:t>
      </w:r>
      <w:r w:rsidR="001726FC">
        <w:rPr>
          <w:rFonts w:ascii="Arial Narrow" w:hAnsi="Arial Narrow" w:cs="Times New Roman"/>
          <w:sz w:val="24"/>
          <w:szCs w:val="24"/>
          <w:lang w:val="en-US"/>
        </w:rPr>
        <w:t>Al</w:t>
      </w:r>
      <w:r w:rsidR="001726FC" w:rsidRPr="001726FC">
        <w:rPr>
          <w:rFonts w:ascii="Arial Narrow" w:hAnsi="Arial Narrow" w:cs="Times New Roman"/>
          <w:sz w:val="24"/>
          <w:szCs w:val="24"/>
        </w:rPr>
        <w:t xml:space="preserve"> </w:t>
      </w:r>
      <w:r w:rsidR="001726FC">
        <w:rPr>
          <w:rFonts w:ascii="Arial Narrow" w:hAnsi="Arial Narrow" w:cs="Times New Roman"/>
          <w:sz w:val="24"/>
          <w:szCs w:val="24"/>
          <w:lang w:val="en-US"/>
        </w:rPr>
        <w:t>Dhafra</w:t>
      </w:r>
      <w:r w:rsidR="001726FC" w:rsidRPr="001726FC">
        <w:rPr>
          <w:rFonts w:ascii="Arial Narrow" w:hAnsi="Arial Narrow" w:cs="Times New Roman"/>
          <w:sz w:val="24"/>
          <w:szCs w:val="24"/>
        </w:rPr>
        <w:t xml:space="preserve">, </w:t>
      </w:r>
      <w:r w:rsidR="001726FC">
        <w:rPr>
          <w:rFonts w:ascii="Arial Narrow" w:hAnsi="Arial Narrow" w:cs="Times New Roman"/>
          <w:sz w:val="24"/>
          <w:szCs w:val="24"/>
        </w:rPr>
        <w:t xml:space="preserve">περίπου 270 χλμ δυτικά του </w:t>
      </w:r>
      <w:r w:rsidR="001726FC">
        <w:rPr>
          <w:rFonts w:ascii="Arial Narrow" w:hAnsi="Arial Narrow" w:cs="Times New Roman"/>
          <w:sz w:val="24"/>
          <w:szCs w:val="24"/>
          <w:lang w:val="en-US"/>
        </w:rPr>
        <w:t>Abu</w:t>
      </w:r>
      <w:r w:rsidR="001726FC" w:rsidRPr="001726FC">
        <w:rPr>
          <w:rFonts w:ascii="Arial Narrow" w:hAnsi="Arial Narrow" w:cs="Times New Roman"/>
          <w:sz w:val="24"/>
          <w:szCs w:val="24"/>
        </w:rPr>
        <w:t xml:space="preserve"> </w:t>
      </w:r>
      <w:r w:rsidR="001726FC">
        <w:rPr>
          <w:rFonts w:ascii="Arial Narrow" w:hAnsi="Arial Narrow" w:cs="Times New Roman"/>
          <w:sz w:val="24"/>
          <w:szCs w:val="24"/>
        </w:rPr>
        <w:t>–</w:t>
      </w:r>
      <w:r w:rsidR="001726FC" w:rsidRPr="001726FC">
        <w:rPr>
          <w:rFonts w:ascii="Arial Narrow" w:hAnsi="Arial Narrow" w:cs="Times New Roman"/>
          <w:sz w:val="24"/>
          <w:szCs w:val="24"/>
        </w:rPr>
        <w:t xml:space="preserve"> </w:t>
      </w:r>
      <w:r w:rsidR="001726FC">
        <w:rPr>
          <w:rFonts w:ascii="Arial Narrow" w:hAnsi="Arial Narrow" w:cs="Times New Roman"/>
          <w:sz w:val="24"/>
          <w:szCs w:val="24"/>
          <w:lang w:val="en-US"/>
        </w:rPr>
        <w:t>Dhabi</w:t>
      </w:r>
      <w:r w:rsidR="001726FC" w:rsidRPr="001726FC">
        <w:rPr>
          <w:rFonts w:ascii="Arial Narrow" w:hAnsi="Arial Narrow" w:cs="Times New Roman"/>
          <w:sz w:val="24"/>
          <w:szCs w:val="24"/>
        </w:rPr>
        <w:t xml:space="preserve">. </w:t>
      </w:r>
      <w:r w:rsidR="001726FC">
        <w:rPr>
          <w:rFonts w:ascii="Arial Narrow" w:hAnsi="Arial Narrow" w:cs="Times New Roman"/>
          <w:sz w:val="24"/>
          <w:szCs w:val="24"/>
          <w:lang w:val="en-US"/>
        </w:rPr>
        <w:t>O</w:t>
      </w:r>
      <w:r w:rsidR="001726FC">
        <w:rPr>
          <w:rFonts w:ascii="Arial Narrow" w:hAnsi="Arial Narrow" w:cs="Times New Roman"/>
          <w:sz w:val="24"/>
          <w:szCs w:val="24"/>
        </w:rPr>
        <w:t xml:space="preserve"> συγκεκριμένος σταθμός διαθέτει 4 αντιδραστήρες, τύπου </w:t>
      </w:r>
      <w:r w:rsidR="001726FC">
        <w:rPr>
          <w:rFonts w:ascii="Arial Narrow" w:hAnsi="Arial Narrow" w:cs="Times New Roman"/>
          <w:sz w:val="24"/>
          <w:szCs w:val="24"/>
          <w:lang w:val="en-US"/>
        </w:rPr>
        <w:t>APR</w:t>
      </w:r>
      <w:r w:rsidR="001726FC" w:rsidRPr="00DB5D1D">
        <w:rPr>
          <w:rFonts w:ascii="Arial Narrow" w:hAnsi="Arial Narrow" w:cs="Times New Roman"/>
          <w:sz w:val="24"/>
          <w:szCs w:val="24"/>
        </w:rPr>
        <w:t xml:space="preserve">-1400, </w:t>
      </w:r>
      <w:r w:rsidR="00DB5D1D">
        <w:rPr>
          <w:rFonts w:ascii="Arial Narrow" w:hAnsi="Arial Narrow" w:cs="Times New Roman"/>
          <w:sz w:val="24"/>
          <w:szCs w:val="24"/>
        </w:rPr>
        <w:t xml:space="preserve">με ισχύ ανά μονάδα 1.400 </w:t>
      </w:r>
      <w:r w:rsidR="00DB5D1D">
        <w:rPr>
          <w:rFonts w:ascii="Arial Narrow" w:hAnsi="Arial Narrow" w:cs="Times New Roman"/>
          <w:sz w:val="24"/>
          <w:szCs w:val="24"/>
          <w:lang w:val="en-US"/>
        </w:rPr>
        <w:t>MW</w:t>
      </w:r>
      <w:r w:rsidR="00DB5D1D">
        <w:rPr>
          <w:rFonts w:ascii="Arial Narrow" w:hAnsi="Arial Narrow" w:cs="Times New Roman"/>
          <w:sz w:val="24"/>
          <w:szCs w:val="24"/>
        </w:rPr>
        <w:t xml:space="preserve"> &amp; συνολική ισχύ 5.600 </w:t>
      </w:r>
      <w:r w:rsidR="00DB5D1D">
        <w:rPr>
          <w:rFonts w:ascii="Arial Narrow" w:hAnsi="Arial Narrow" w:cs="Times New Roman"/>
          <w:sz w:val="24"/>
          <w:szCs w:val="24"/>
          <w:lang w:val="en-US"/>
        </w:rPr>
        <w:t>MW</w:t>
      </w:r>
      <w:r w:rsidR="00DB5D1D" w:rsidRPr="00DB5D1D">
        <w:rPr>
          <w:rFonts w:ascii="Arial Narrow" w:hAnsi="Arial Narrow" w:cs="Times New Roman"/>
          <w:sz w:val="24"/>
          <w:szCs w:val="24"/>
        </w:rPr>
        <w:t xml:space="preserve"> </w:t>
      </w:r>
      <w:r w:rsidR="00DB5D1D">
        <w:rPr>
          <w:rFonts w:ascii="Arial Narrow" w:hAnsi="Arial Narrow" w:cs="Times New Roman"/>
          <w:sz w:val="24"/>
          <w:szCs w:val="24"/>
        </w:rPr>
        <w:t xml:space="preserve">και με εκτειμώμενη διάρκεια ζωής τα 60 έτη και εμπορική λειτουργία 2020 έως 2024. Ο </w:t>
      </w:r>
      <w:r w:rsidR="00DB5D1D">
        <w:rPr>
          <w:rFonts w:ascii="Arial Narrow" w:hAnsi="Arial Narrow" w:cs="Times New Roman"/>
          <w:sz w:val="24"/>
          <w:szCs w:val="24"/>
          <w:lang w:val="en-US"/>
        </w:rPr>
        <w:t>APR</w:t>
      </w:r>
      <w:r w:rsidR="00A63B4B" w:rsidRPr="00A63B4B">
        <w:rPr>
          <w:rFonts w:ascii="Arial Narrow" w:hAnsi="Arial Narrow" w:cs="Times New Roman"/>
          <w:sz w:val="24"/>
          <w:szCs w:val="24"/>
        </w:rPr>
        <w:t xml:space="preserve">-1400 </w:t>
      </w:r>
      <w:r w:rsidR="00A63B4B">
        <w:rPr>
          <w:rFonts w:ascii="Arial Narrow" w:hAnsi="Arial Narrow" w:cs="Times New Roman"/>
          <w:sz w:val="24"/>
          <w:szCs w:val="24"/>
        </w:rPr>
        <w:t>είναι προηγμένος αντιδραστήρας τρίτης γενιάς (</w:t>
      </w:r>
      <w:r w:rsidR="00A63B4B">
        <w:rPr>
          <w:rFonts w:ascii="Arial Narrow" w:hAnsi="Arial Narrow" w:cs="Times New Roman"/>
          <w:sz w:val="24"/>
          <w:szCs w:val="24"/>
          <w:lang w:val="en-US"/>
        </w:rPr>
        <w:t>Generation</w:t>
      </w:r>
      <w:r w:rsidR="00A63B4B" w:rsidRPr="00A63B4B">
        <w:rPr>
          <w:rFonts w:ascii="Arial Narrow" w:hAnsi="Arial Narrow" w:cs="Times New Roman"/>
          <w:sz w:val="24"/>
          <w:szCs w:val="24"/>
        </w:rPr>
        <w:t xml:space="preserve"> </w:t>
      </w:r>
      <w:r w:rsidR="00A63B4B">
        <w:rPr>
          <w:rFonts w:ascii="Arial Narrow" w:hAnsi="Arial Narrow" w:cs="Times New Roman"/>
          <w:sz w:val="24"/>
          <w:szCs w:val="24"/>
          <w:lang w:val="en-US"/>
        </w:rPr>
        <w:t>III</w:t>
      </w:r>
      <w:r w:rsidR="00A63B4B" w:rsidRPr="00A63B4B">
        <w:rPr>
          <w:rFonts w:ascii="Arial Narrow" w:hAnsi="Arial Narrow" w:cs="Times New Roman"/>
          <w:sz w:val="24"/>
          <w:szCs w:val="24"/>
        </w:rPr>
        <w:t xml:space="preserve">+), </w:t>
      </w:r>
      <w:r w:rsidR="00A63B4B">
        <w:rPr>
          <w:rFonts w:ascii="Arial Narrow" w:hAnsi="Arial Narrow" w:cs="Times New Roman"/>
          <w:sz w:val="24"/>
          <w:szCs w:val="24"/>
        </w:rPr>
        <w:t>με κύρια χαρακτηριστικά το πεπιεσμένο ύδωρ (</w:t>
      </w:r>
      <w:r w:rsidR="00A63B4B">
        <w:rPr>
          <w:rFonts w:ascii="Arial Narrow" w:hAnsi="Arial Narrow" w:cs="Times New Roman"/>
          <w:sz w:val="24"/>
          <w:szCs w:val="24"/>
          <w:lang w:val="en-US"/>
        </w:rPr>
        <w:t>PWR</w:t>
      </w:r>
      <w:r w:rsidR="00A63B4B" w:rsidRPr="00A63B4B">
        <w:rPr>
          <w:rFonts w:ascii="Arial Narrow" w:hAnsi="Arial Narrow" w:cs="Times New Roman"/>
          <w:sz w:val="24"/>
          <w:szCs w:val="24"/>
        </w:rPr>
        <w:t xml:space="preserve">), </w:t>
      </w:r>
      <w:r w:rsidR="00817A5F">
        <w:rPr>
          <w:rFonts w:ascii="Arial Narrow" w:hAnsi="Arial Narrow" w:cs="Times New Roman"/>
          <w:sz w:val="24"/>
          <w:szCs w:val="24"/>
        </w:rPr>
        <w:t xml:space="preserve">παθητικά και ενεργητικά συστήματα ασφαλείας, διπλό περίβλημα προστασίας, αντοχή σε ακραία καιρικά φαινόμενα &amp; ψηφιακά συστήματα ελέγχου. Ο ίδιος τύπος αντιδραστήρας χρησιμοποιείται και στη Νότια Κορέα. Το χρονοδιάγραμμα λειτουργίας ξεκινά από το 2021 με τη κατασκευή </w:t>
      </w:r>
      <w:r w:rsidR="00817A5F">
        <w:rPr>
          <w:rFonts w:ascii="Arial Narrow" w:hAnsi="Arial Narrow" w:cs="Times New Roman"/>
          <w:sz w:val="24"/>
          <w:szCs w:val="24"/>
          <w:lang w:val="en-US"/>
        </w:rPr>
        <w:t>Barakah</w:t>
      </w:r>
      <w:r w:rsidR="00817A5F" w:rsidRPr="00817A5F">
        <w:rPr>
          <w:rFonts w:ascii="Arial Narrow" w:hAnsi="Arial Narrow" w:cs="Times New Roman"/>
          <w:sz w:val="24"/>
          <w:szCs w:val="24"/>
        </w:rPr>
        <w:t xml:space="preserve"> </w:t>
      </w:r>
      <w:r w:rsidR="00817A5F">
        <w:rPr>
          <w:rFonts w:ascii="Arial Narrow" w:hAnsi="Arial Narrow" w:cs="Times New Roman"/>
          <w:sz w:val="24"/>
          <w:szCs w:val="24"/>
          <w:lang w:val="en-US"/>
        </w:rPr>
        <w:t>Unit</w:t>
      </w:r>
      <w:r w:rsidR="00817A5F" w:rsidRPr="00817A5F">
        <w:rPr>
          <w:rFonts w:ascii="Arial Narrow" w:hAnsi="Arial Narrow" w:cs="Times New Roman"/>
          <w:sz w:val="24"/>
          <w:szCs w:val="24"/>
        </w:rPr>
        <w:t xml:space="preserve"> 1, 2022 </w:t>
      </w:r>
      <w:r w:rsidR="00817A5F">
        <w:rPr>
          <w:rFonts w:ascii="Arial Narrow" w:hAnsi="Arial Narrow" w:cs="Times New Roman"/>
          <w:sz w:val="24"/>
          <w:szCs w:val="24"/>
          <w:lang w:val="en-US"/>
        </w:rPr>
        <w:t>Barakah</w:t>
      </w:r>
      <w:r w:rsidR="00817A5F" w:rsidRPr="00817A5F">
        <w:rPr>
          <w:rFonts w:ascii="Arial Narrow" w:hAnsi="Arial Narrow" w:cs="Times New Roman"/>
          <w:sz w:val="24"/>
          <w:szCs w:val="24"/>
        </w:rPr>
        <w:t xml:space="preserve"> </w:t>
      </w:r>
      <w:r w:rsidR="00817A5F">
        <w:rPr>
          <w:rFonts w:ascii="Arial Narrow" w:hAnsi="Arial Narrow" w:cs="Times New Roman"/>
          <w:sz w:val="24"/>
          <w:szCs w:val="24"/>
          <w:lang w:val="en-US"/>
        </w:rPr>
        <w:t>Unit</w:t>
      </w:r>
      <w:r w:rsidR="00817A5F" w:rsidRPr="00817A5F">
        <w:rPr>
          <w:rFonts w:ascii="Arial Narrow" w:hAnsi="Arial Narrow" w:cs="Times New Roman"/>
          <w:sz w:val="24"/>
          <w:szCs w:val="24"/>
        </w:rPr>
        <w:t xml:space="preserve"> 2, 2023 </w:t>
      </w:r>
      <w:r w:rsidR="00817A5F">
        <w:rPr>
          <w:rFonts w:ascii="Arial Narrow" w:hAnsi="Arial Narrow" w:cs="Times New Roman"/>
          <w:sz w:val="24"/>
          <w:szCs w:val="24"/>
          <w:lang w:val="en-US"/>
        </w:rPr>
        <w:t>Barakah</w:t>
      </w:r>
      <w:r w:rsidR="00817A5F" w:rsidRPr="00817A5F">
        <w:rPr>
          <w:rFonts w:ascii="Arial Narrow" w:hAnsi="Arial Narrow" w:cs="Times New Roman"/>
          <w:sz w:val="24"/>
          <w:szCs w:val="24"/>
        </w:rPr>
        <w:t xml:space="preserve"> </w:t>
      </w:r>
      <w:r w:rsidR="00817A5F">
        <w:rPr>
          <w:rFonts w:ascii="Arial Narrow" w:hAnsi="Arial Narrow" w:cs="Times New Roman"/>
          <w:sz w:val="24"/>
          <w:szCs w:val="24"/>
          <w:lang w:val="en-US"/>
        </w:rPr>
        <w:t>Unit</w:t>
      </w:r>
      <w:r w:rsidR="00817A5F" w:rsidRPr="00817A5F">
        <w:rPr>
          <w:rFonts w:ascii="Arial Narrow" w:hAnsi="Arial Narrow" w:cs="Times New Roman"/>
          <w:sz w:val="24"/>
          <w:szCs w:val="24"/>
        </w:rPr>
        <w:t xml:space="preserve"> 3 &amp; 2024 </w:t>
      </w:r>
      <w:r w:rsidR="00817A5F">
        <w:rPr>
          <w:rFonts w:ascii="Arial Narrow" w:hAnsi="Arial Narrow" w:cs="Times New Roman"/>
          <w:sz w:val="24"/>
          <w:szCs w:val="24"/>
          <w:lang w:val="en-US"/>
        </w:rPr>
        <w:t>Barakah</w:t>
      </w:r>
      <w:r w:rsidR="00817A5F" w:rsidRPr="00817A5F">
        <w:rPr>
          <w:rFonts w:ascii="Arial Narrow" w:hAnsi="Arial Narrow" w:cs="Times New Roman"/>
          <w:sz w:val="24"/>
          <w:szCs w:val="24"/>
        </w:rPr>
        <w:t xml:space="preserve"> </w:t>
      </w:r>
      <w:r w:rsidR="00817A5F">
        <w:rPr>
          <w:rFonts w:ascii="Arial Narrow" w:hAnsi="Arial Narrow" w:cs="Times New Roman"/>
          <w:sz w:val="24"/>
          <w:szCs w:val="24"/>
          <w:lang w:val="en-US"/>
        </w:rPr>
        <w:t>Unit</w:t>
      </w:r>
      <w:r w:rsidR="00817A5F" w:rsidRPr="00817A5F">
        <w:rPr>
          <w:rFonts w:ascii="Arial Narrow" w:hAnsi="Arial Narrow" w:cs="Times New Roman"/>
          <w:sz w:val="24"/>
          <w:szCs w:val="24"/>
        </w:rPr>
        <w:t xml:space="preserve"> 4. </w:t>
      </w:r>
      <w:r w:rsidR="006951C4">
        <w:rPr>
          <w:rFonts w:ascii="Arial Narrow" w:hAnsi="Arial Narrow" w:cs="Times New Roman"/>
          <w:sz w:val="24"/>
          <w:szCs w:val="24"/>
        </w:rPr>
        <w:t xml:space="preserve">Με τη λειτουργία και των τεσσάρων μονάδων ολοκληρώθηκε το μεγαλύτερο ενεργειακό έργο στην ιστορία των ΗΑΕ. </w:t>
      </w:r>
      <w:r w:rsidR="00A4432F">
        <w:rPr>
          <w:rFonts w:ascii="Arial Narrow" w:hAnsi="Arial Narrow" w:cs="Times New Roman"/>
          <w:sz w:val="24"/>
          <w:szCs w:val="24"/>
        </w:rPr>
        <w:t xml:space="preserve">Η πυρηνική ενέργεια συμβάλει παράλληλα και στη παραγωγή ηλεκτρικής ενέργειας με παραγόμενη ενέργεια περίπου 40 </w:t>
      </w:r>
      <w:r w:rsidR="00A4432F">
        <w:rPr>
          <w:rFonts w:ascii="Arial Narrow" w:hAnsi="Arial Narrow" w:cs="Times New Roman"/>
          <w:sz w:val="24"/>
          <w:szCs w:val="24"/>
          <w:lang w:val="en-US"/>
        </w:rPr>
        <w:t>TWh</w:t>
      </w:r>
      <w:r w:rsidR="00A4432F" w:rsidRPr="00A4432F">
        <w:rPr>
          <w:rFonts w:ascii="Arial Narrow" w:hAnsi="Arial Narrow" w:cs="Times New Roman"/>
          <w:sz w:val="24"/>
          <w:szCs w:val="24"/>
        </w:rPr>
        <w:t xml:space="preserve"> </w:t>
      </w:r>
      <w:r w:rsidR="00A4432F">
        <w:rPr>
          <w:rFonts w:ascii="Arial Narrow" w:hAnsi="Arial Narrow" w:cs="Times New Roman"/>
          <w:sz w:val="24"/>
          <w:szCs w:val="24"/>
        </w:rPr>
        <w:t xml:space="preserve">ετησίως, κάλυψη εθνικών αναγκών κατά 25% και με παραγόμενη ηλεκτρική ενέργεια &gt;40% του συνόλου. Περίπου ένα στα τέσσερα νοικοκυριά και επιχειρήσεις στα ΗΑΕ τροφοδοτούνται από πυρηνική ενέργεια. Σημαντική τέλος είναι και η συνεισφορά της πυρηνικής ενέργειας στο περιβάλλον. Η λειτουργία του πυρηνικού σταθμού </w:t>
      </w:r>
      <w:r w:rsidR="00A4432F">
        <w:rPr>
          <w:rFonts w:ascii="Arial Narrow" w:hAnsi="Arial Narrow" w:cs="Times New Roman"/>
          <w:sz w:val="24"/>
          <w:szCs w:val="24"/>
          <w:lang w:val="en-US"/>
        </w:rPr>
        <w:t>Barakah</w:t>
      </w:r>
      <w:r w:rsidR="00F33491">
        <w:rPr>
          <w:rFonts w:ascii="Arial Narrow" w:hAnsi="Arial Narrow" w:cs="Times New Roman"/>
          <w:sz w:val="24"/>
          <w:szCs w:val="24"/>
        </w:rPr>
        <w:t xml:space="preserve"> μειώνει τις εκπομπές κατά 22 εκατ. τόνους </w:t>
      </w:r>
      <w:r w:rsidR="00F33491">
        <w:rPr>
          <w:rFonts w:ascii="Arial Narrow" w:hAnsi="Arial Narrow" w:cs="Times New Roman"/>
          <w:sz w:val="24"/>
          <w:szCs w:val="24"/>
          <w:lang w:val="en-US"/>
        </w:rPr>
        <w:t>CO</w:t>
      </w:r>
      <w:r w:rsidR="00F33491" w:rsidRPr="00F33491">
        <w:rPr>
          <w:rFonts w:ascii="Arial Narrow" w:hAnsi="Arial Narrow" w:cs="Times New Roman"/>
          <w:sz w:val="24"/>
          <w:szCs w:val="24"/>
        </w:rPr>
        <w:t>2,</w:t>
      </w:r>
      <w:r w:rsidR="00F33491">
        <w:rPr>
          <w:rFonts w:ascii="Arial Narrow" w:hAnsi="Arial Narrow" w:cs="Times New Roman"/>
          <w:sz w:val="24"/>
          <w:szCs w:val="24"/>
        </w:rPr>
        <w:t xml:space="preserve"> σε ετήσια βάση, ισοδύναμο με απομάκρυνση 4,8 εκατ. αυτοκινήτων περίπου και φύτευση άνω των 300 εκατ.δένδρων, αποτελώντας τη σημαντικότερη δράση απανθρακοποίησης στη Μέση Ανατολή. </w:t>
      </w:r>
    </w:p>
    <w:p w14:paraId="29C8A651" w14:textId="3BFF4613" w:rsidR="00F33491" w:rsidRDefault="00F33491" w:rsidP="00AD0EEA">
      <w:pPr>
        <w:jc w:val="both"/>
        <w:rPr>
          <w:rFonts w:ascii="Arial Narrow" w:hAnsi="Arial Narrow" w:cs="Times New Roman"/>
          <w:sz w:val="24"/>
          <w:szCs w:val="24"/>
        </w:rPr>
      </w:pPr>
      <w:r>
        <w:rPr>
          <w:rFonts w:ascii="Arial Narrow" w:hAnsi="Arial Narrow" w:cs="Times New Roman"/>
          <w:sz w:val="24"/>
          <w:szCs w:val="24"/>
        </w:rPr>
        <w:t>Στις οικονομικές επιπτώσεις εντάσσονται οι επενδύσεις με συνολικό κόστος έργου 24 έως 25 δις $</w:t>
      </w:r>
      <w:r w:rsidR="00316322">
        <w:rPr>
          <w:rFonts w:ascii="Arial Narrow" w:hAnsi="Arial Narrow" w:cs="Times New Roman"/>
          <w:sz w:val="24"/>
          <w:szCs w:val="24"/>
        </w:rPr>
        <w:t>, τοπική προστιθέμενη αξία &gt;7 δις δολάρια και συμβάσεις σε εταιρείες ΗΑΕ &gt;2.000 εταιρείες.</w:t>
      </w:r>
    </w:p>
    <w:p w14:paraId="4B302C48" w14:textId="5AB3DA15" w:rsidR="00316322" w:rsidRDefault="00316322" w:rsidP="00AD0EEA">
      <w:pPr>
        <w:jc w:val="both"/>
        <w:rPr>
          <w:rFonts w:ascii="Arial Narrow" w:hAnsi="Arial Narrow" w:cs="Times New Roman"/>
          <w:sz w:val="24"/>
          <w:szCs w:val="24"/>
        </w:rPr>
      </w:pPr>
      <w:r>
        <w:rPr>
          <w:rFonts w:ascii="Arial Narrow" w:hAnsi="Arial Narrow" w:cs="Times New Roman"/>
          <w:sz w:val="24"/>
          <w:szCs w:val="24"/>
        </w:rPr>
        <w:t>Στις Θέσεις εργασίας περιλαμβάνονται οι άμεσες θέσεις εργασίας &gt;3.000 και έμμεσες θέσεις εργασίας &gt;10.000.</w:t>
      </w:r>
    </w:p>
    <w:p w14:paraId="16E17A91" w14:textId="526573E1" w:rsidR="00652C39" w:rsidRDefault="00316322" w:rsidP="00AD0EEA">
      <w:pPr>
        <w:jc w:val="both"/>
        <w:rPr>
          <w:rFonts w:ascii="Arial Narrow" w:hAnsi="Arial Narrow" w:cs="Times New Roman"/>
          <w:sz w:val="24"/>
          <w:szCs w:val="24"/>
        </w:rPr>
      </w:pPr>
      <w:r>
        <w:rPr>
          <w:rFonts w:ascii="Arial Narrow" w:hAnsi="Arial Narrow" w:cs="Times New Roman"/>
          <w:sz w:val="24"/>
          <w:szCs w:val="24"/>
        </w:rPr>
        <w:t>Στο ρυθμιστικό πλαίσιο η εποπτεία ασκείται από</w:t>
      </w:r>
      <w:r w:rsidR="00064833">
        <w:rPr>
          <w:rFonts w:ascii="Arial Narrow" w:hAnsi="Arial Narrow" w:cs="Times New Roman"/>
          <w:sz w:val="24"/>
          <w:szCs w:val="24"/>
        </w:rPr>
        <w:t xml:space="preserve"> «</w:t>
      </w:r>
      <w:r w:rsidR="00064833">
        <w:rPr>
          <w:rFonts w:ascii="Arial Narrow" w:hAnsi="Arial Narrow" w:cs="Times New Roman"/>
          <w:sz w:val="24"/>
          <w:szCs w:val="24"/>
          <w:lang w:val="en-US"/>
        </w:rPr>
        <w:t>FEDERAL</w:t>
      </w:r>
      <w:r w:rsidR="00064833" w:rsidRPr="00064833">
        <w:rPr>
          <w:rFonts w:ascii="Arial Narrow" w:hAnsi="Arial Narrow" w:cs="Times New Roman"/>
          <w:sz w:val="24"/>
          <w:szCs w:val="24"/>
        </w:rPr>
        <w:t xml:space="preserve"> </w:t>
      </w:r>
      <w:r w:rsidR="00064833">
        <w:rPr>
          <w:rFonts w:ascii="Arial Narrow" w:hAnsi="Arial Narrow" w:cs="Times New Roman"/>
          <w:sz w:val="24"/>
          <w:szCs w:val="24"/>
          <w:lang w:val="en-US"/>
        </w:rPr>
        <w:t>AUTHORITY</w:t>
      </w:r>
      <w:r w:rsidR="00064833" w:rsidRPr="00064833">
        <w:rPr>
          <w:rFonts w:ascii="Arial Narrow" w:hAnsi="Arial Narrow" w:cs="Times New Roman"/>
          <w:sz w:val="24"/>
          <w:szCs w:val="24"/>
        </w:rPr>
        <w:t xml:space="preserve"> </w:t>
      </w:r>
      <w:r w:rsidR="00064833">
        <w:rPr>
          <w:rFonts w:ascii="Arial Narrow" w:hAnsi="Arial Narrow" w:cs="Times New Roman"/>
          <w:sz w:val="24"/>
          <w:szCs w:val="24"/>
          <w:lang w:val="en-US"/>
        </w:rPr>
        <w:t>FOR</w:t>
      </w:r>
      <w:r w:rsidR="00064833" w:rsidRPr="00064833">
        <w:rPr>
          <w:rFonts w:ascii="Arial Narrow" w:hAnsi="Arial Narrow" w:cs="Times New Roman"/>
          <w:sz w:val="24"/>
          <w:szCs w:val="24"/>
        </w:rPr>
        <w:t xml:space="preserve"> </w:t>
      </w:r>
      <w:r w:rsidR="00064833">
        <w:rPr>
          <w:rFonts w:ascii="Arial Narrow" w:hAnsi="Arial Narrow" w:cs="Times New Roman"/>
          <w:sz w:val="24"/>
          <w:szCs w:val="24"/>
          <w:lang w:val="en-US"/>
        </w:rPr>
        <w:t>NUCLEAR</w:t>
      </w:r>
      <w:r w:rsidR="00064833" w:rsidRPr="00064833">
        <w:rPr>
          <w:rFonts w:ascii="Arial Narrow" w:hAnsi="Arial Narrow" w:cs="Times New Roman"/>
          <w:sz w:val="24"/>
          <w:szCs w:val="24"/>
        </w:rPr>
        <w:t xml:space="preserve"> </w:t>
      </w:r>
      <w:r w:rsidR="00064833">
        <w:rPr>
          <w:rFonts w:ascii="Arial Narrow" w:hAnsi="Arial Narrow" w:cs="Times New Roman"/>
          <w:sz w:val="24"/>
          <w:szCs w:val="24"/>
          <w:lang w:val="en-US"/>
        </w:rPr>
        <w:t>REGULATION</w:t>
      </w:r>
      <w:r w:rsidR="00064833">
        <w:rPr>
          <w:rFonts w:ascii="Arial Narrow" w:hAnsi="Arial Narrow" w:cs="Times New Roman"/>
          <w:sz w:val="24"/>
          <w:szCs w:val="24"/>
        </w:rPr>
        <w:t xml:space="preserve">» με κύριες αρμοδιότητες έκδοση αδειών, έλεγχος ασφάλειας, ραδιοπροστασία, διαχείριση αποβλήτων και επιθεωρήσεις. Η </w:t>
      </w:r>
      <w:r w:rsidR="00064833">
        <w:rPr>
          <w:rFonts w:ascii="Arial Narrow" w:hAnsi="Arial Narrow" w:cs="Times New Roman"/>
          <w:sz w:val="24"/>
          <w:szCs w:val="24"/>
          <w:lang w:val="en-US"/>
        </w:rPr>
        <w:t>FANR</w:t>
      </w:r>
      <w:r w:rsidR="00064833" w:rsidRPr="00064833">
        <w:rPr>
          <w:rFonts w:ascii="Arial Narrow" w:hAnsi="Arial Narrow" w:cs="Times New Roman"/>
          <w:sz w:val="24"/>
          <w:szCs w:val="24"/>
        </w:rPr>
        <w:t xml:space="preserve"> </w:t>
      </w:r>
      <w:r w:rsidR="00064833">
        <w:rPr>
          <w:rFonts w:ascii="Arial Narrow" w:hAnsi="Arial Narrow" w:cs="Times New Roman"/>
          <w:sz w:val="24"/>
          <w:szCs w:val="24"/>
        </w:rPr>
        <w:t>θεωρείται από τους περισσότερο αυστηρούς πυρηνικούς σταθμούς παγκοσμίως. Τα</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rPr>
        <w:t>ΗΑΕ</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rPr>
        <w:t>συνεργάζονται</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rPr>
        <w:t>στενά</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rPr>
        <w:t>με</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rPr>
        <w:t>την</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rPr>
        <w:t>Διεθνή</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rPr>
        <w:t>Οργάνωση</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rPr>
        <w:t>Ατομικής</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rPr>
        <w:t>Ενέργειας</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lang w:val="en-US"/>
        </w:rPr>
        <w:t>INTERNATIONAL</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lang w:val="en-US"/>
        </w:rPr>
        <w:t>ATOMIC</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lang w:val="en-US"/>
        </w:rPr>
        <w:t>ENERGY</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lang w:val="en-US"/>
        </w:rPr>
        <w:t>AGENCY</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rPr>
        <w:t>και</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rPr>
        <w:t>έχουν</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rPr>
        <w:t>υιοθετήσει</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lang w:val="en-US"/>
        </w:rPr>
        <w:t>Additional</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lang w:val="en-US"/>
        </w:rPr>
        <w:t>Protocol</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lang w:val="en-US"/>
        </w:rPr>
        <w:t>Comprehensive</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lang w:val="en-US"/>
        </w:rPr>
        <w:t>Safeguards</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lang w:val="en-US"/>
        </w:rPr>
        <w:t>Agreement</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lang w:val="en-US"/>
        </w:rPr>
        <w:t>Convention</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lang w:val="en-US"/>
        </w:rPr>
        <w:t>on</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lang w:val="en-US"/>
        </w:rPr>
        <w:t>Nuclear</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lang w:val="en-US"/>
        </w:rPr>
        <w:t>Safety</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lang w:val="en-US"/>
        </w:rPr>
        <w:t>Joint</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lang w:val="en-US"/>
        </w:rPr>
        <w:t>Convention</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lang w:val="en-US"/>
        </w:rPr>
        <w:t>on</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lang w:val="en-US"/>
        </w:rPr>
        <w:t>Radioactive</w:t>
      </w:r>
      <w:r w:rsidR="00064833" w:rsidRPr="00D9598E">
        <w:rPr>
          <w:rFonts w:ascii="Arial Narrow" w:hAnsi="Arial Narrow" w:cs="Times New Roman"/>
          <w:sz w:val="24"/>
          <w:szCs w:val="24"/>
          <w:lang w:val="en-AE"/>
        </w:rPr>
        <w:t xml:space="preserve"> </w:t>
      </w:r>
      <w:r w:rsidR="00064833">
        <w:rPr>
          <w:rFonts w:ascii="Arial Narrow" w:hAnsi="Arial Narrow" w:cs="Times New Roman"/>
          <w:sz w:val="24"/>
          <w:szCs w:val="24"/>
          <w:lang w:val="en-US"/>
        </w:rPr>
        <w:t>Waste</w:t>
      </w:r>
      <w:r w:rsidR="00064833" w:rsidRPr="00D9598E">
        <w:rPr>
          <w:rFonts w:ascii="Arial Narrow" w:hAnsi="Arial Narrow" w:cs="Times New Roman"/>
          <w:sz w:val="24"/>
          <w:szCs w:val="24"/>
          <w:lang w:val="en-AE"/>
        </w:rPr>
        <w:t xml:space="preserve">. </w:t>
      </w:r>
      <w:r w:rsidR="00C82EC4">
        <w:rPr>
          <w:rFonts w:ascii="Arial Narrow" w:hAnsi="Arial Narrow" w:cs="Times New Roman"/>
          <w:sz w:val="24"/>
          <w:szCs w:val="24"/>
        </w:rPr>
        <w:t xml:space="preserve">Τα ΗΑΕ θεωρούνται διεθνές πρότυπο για την ειρηνική ανάπτυξη και χρήση πυρηνικής ενέργειας. </w:t>
      </w:r>
      <w:r w:rsidR="00082F8C">
        <w:rPr>
          <w:rFonts w:ascii="Arial Narrow" w:hAnsi="Arial Narrow" w:cs="Times New Roman"/>
          <w:sz w:val="24"/>
          <w:szCs w:val="24"/>
        </w:rPr>
        <w:t xml:space="preserve">Δύο άλλα ζητήματα τα οποία τα ΗΑΕ αντιμετωπίζουν με απόλυτη ευλάβεια και τον δέοντα επαγγελματισμό είναι η διαχείριση των πυρηνικών καυσίμων και των ραδιενεργών αποβλήτων, η εκπαίδευση του ανθρώπινου δυναμικού, η έρευνα και ανάπτυξη, η πυρηνική ενέργεια και το υδρογόνο και η πυρηνική ενέργεια και ενεργειακή ασφάλεια. </w:t>
      </w:r>
    </w:p>
    <w:p w14:paraId="191B6C96" w14:textId="2BB5F960" w:rsidR="00082F8C" w:rsidRDefault="00082F8C" w:rsidP="00AD0EEA">
      <w:pPr>
        <w:jc w:val="both"/>
        <w:rPr>
          <w:rFonts w:ascii="Arial Narrow" w:hAnsi="Arial Narrow" w:cs="Times New Roman"/>
          <w:sz w:val="24"/>
          <w:szCs w:val="24"/>
        </w:rPr>
      </w:pPr>
      <w:r>
        <w:rPr>
          <w:rFonts w:ascii="Arial Narrow" w:hAnsi="Arial Narrow" w:cs="Times New Roman"/>
          <w:sz w:val="24"/>
          <w:szCs w:val="24"/>
        </w:rPr>
        <w:t>Στα πυρηνικά καύσιμα τα ΗΑΕ ακολουθούν το λεγόμενο «</w:t>
      </w:r>
      <w:r>
        <w:rPr>
          <w:rFonts w:ascii="Arial Narrow" w:hAnsi="Arial Narrow" w:cs="Times New Roman"/>
          <w:sz w:val="24"/>
          <w:szCs w:val="24"/>
          <w:lang w:val="en-US"/>
        </w:rPr>
        <w:t>Gold</w:t>
      </w:r>
      <w:r w:rsidRPr="00082F8C">
        <w:rPr>
          <w:rFonts w:ascii="Arial Narrow" w:hAnsi="Arial Narrow" w:cs="Times New Roman"/>
          <w:sz w:val="24"/>
          <w:szCs w:val="24"/>
        </w:rPr>
        <w:t xml:space="preserve"> </w:t>
      </w:r>
      <w:r>
        <w:rPr>
          <w:rFonts w:ascii="Arial Narrow" w:hAnsi="Arial Narrow" w:cs="Times New Roman"/>
          <w:sz w:val="24"/>
          <w:szCs w:val="24"/>
          <w:lang w:val="en-US"/>
        </w:rPr>
        <w:t>Standard</w:t>
      </w:r>
      <w:r w:rsidRPr="00082F8C">
        <w:rPr>
          <w:rFonts w:ascii="Arial Narrow" w:hAnsi="Arial Narrow" w:cs="Times New Roman"/>
          <w:sz w:val="24"/>
          <w:szCs w:val="24"/>
        </w:rPr>
        <w:t xml:space="preserve"> </w:t>
      </w:r>
      <w:r>
        <w:rPr>
          <w:rFonts w:ascii="Arial Narrow" w:hAnsi="Arial Narrow" w:cs="Times New Roman"/>
          <w:sz w:val="24"/>
          <w:szCs w:val="24"/>
          <w:lang w:val="en-US"/>
        </w:rPr>
        <w:t>Policy</w:t>
      </w:r>
      <w:r>
        <w:rPr>
          <w:rFonts w:ascii="Arial Narrow" w:hAnsi="Arial Narrow" w:cs="Times New Roman"/>
          <w:sz w:val="24"/>
          <w:szCs w:val="24"/>
        </w:rPr>
        <w:t>»</w:t>
      </w:r>
      <w:r w:rsidR="0002120C">
        <w:rPr>
          <w:rFonts w:ascii="Arial Narrow" w:hAnsi="Arial Narrow" w:cs="Times New Roman"/>
          <w:sz w:val="24"/>
          <w:szCs w:val="24"/>
        </w:rPr>
        <w:t>, όπου η χώρα δεν εμπλουτίζει ουράνιο, δεν</w:t>
      </w:r>
      <w:r w:rsidR="0034456E">
        <w:rPr>
          <w:rFonts w:ascii="Arial Narrow" w:hAnsi="Arial Narrow" w:cs="Times New Roman"/>
          <w:sz w:val="24"/>
          <w:szCs w:val="24"/>
        </w:rPr>
        <w:t xml:space="preserve"> επανεπεξεργάζεται πυρηνικά καύσιμα, εισάγει πλήρως το καύσιμο με κύριους προμηθευτές τη Νότια Κορέα, Ηνωμένες Πολιτείες, Γαλλία και Καναδάς. Η διαχείριση ραδιενεργών αποβλήτων αφορά τα απόβλητα χαμηλής και μέσης ραδιενέργειας και τα υψηλής ραδιενέργειας. Για τα χαμηλής και μέσης ραδιενέργειας υπάρχουν ειδικές εγκαταστάσεις αποθήκευσης υπό μακροχρόνια παρακολούθηση. Για τα υψηλής ραδιενέργειας Τα χρησιμοποιούμενα καύσιμα παραμένουν προσωρινά αποθηκευμένα εντός του σταθμού μέχρι τη λήψη τελικής απόφασης για μόνιμη διάθεση. Στην εκπαίδευση ανθρώπινου δυναμικού σημαντικό ρόλο διαδραματίζουν το </w:t>
      </w:r>
      <w:r w:rsidR="0034456E">
        <w:rPr>
          <w:rFonts w:ascii="Arial Narrow" w:hAnsi="Arial Narrow" w:cs="Times New Roman"/>
          <w:sz w:val="24"/>
          <w:szCs w:val="24"/>
          <w:lang w:val="en-US"/>
        </w:rPr>
        <w:t>Khalifa</w:t>
      </w:r>
      <w:r w:rsidR="0034456E" w:rsidRPr="0034456E">
        <w:rPr>
          <w:rFonts w:ascii="Arial Narrow" w:hAnsi="Arial Narrow" w:cs="Times New Roman"/>
          <w:sz w:val="24"/>
          <w:szCs w:val="24"/>
        </w:rPr>
        <w:t xml:space="preserve"> </w:t>
      </w:r>
      <w:r w:rsidR="0034456E">
        <w:rPr>
          <w:rFonts w:ascii="Arial Narrow" w:hAnsi="Arial Narrow" w:cs="Times New Roman"/>
          <w:sz w:val="24"/>
          <w:szCs w:val="24"/>
          <w:lang w:val="en-US"/>
        </w:rPr>
        <w:t>University</w:t>
      </w:r>
      <w:r w:rsidR="0034456E" w:rsidRPr="0034456E">
        <w:rPr>
          <w:rFonts w:ascii="Arial Narrow" w:hAnsi="Arial Narrow" w:cs="Times New Roman"/>
          <w:sz w:val="24"/>
          <w:szCs w:val="24"/>
        </w:rPr>
        <w:t xml:space="preserve"> &amp; </w:t>
      </w:r>
      <w:r w:rsidR="0034456E">
        <w:rPr>
          <w:rFonts w:ascii="Arial Narrow" w:hAnsi="Arial Narrow" w:cs="Times New Roman"/>
          <w:sz w:val="24"/>
          <w:szCs w:val="24"/>
          <w:lang w:val="en-US"/>
        </w:rPr>
        <w:t>Emirates</w:t>
      </w:r>
      <w:r w:rsidR="0034456E" w:rsidRPr="0034456E">
        <w:rPr>
          <w:rFonts w:ascii="Arial Narrow" w:hAnsi="Arial Narrow" w:cs="Times New Roman"/>
          <w:sz w:val="24"/>
          <w:szCs w:val="24"/>
        </w:rPr>
        <w:t xml:space="preserve"> </w:t>
      </w:r>
      <w:r w:rsidR="0034456E">
        <w:rPr>
          <w:rFonts w:ascii="Arial Narrow" w:hAnsi="Arial Narrow" w:cs="Times New Roman"/>
          <w:sz w:val="24"/>
          <w:szCs w:val="24"/>
          <w:lang w:val="en-US"/>
        </w:rPr>
        <w:t>Nuclear</w:t>
      </w:r>
      <w:r w:rsidR="0034456E" w:rsidRPr="0034456E">
        <w:rPr>
          <w:rFonts w:ascii="Arial Narrow" w:hAnsi="Arial Narrow" w:cs="Times New Roman"/>
          <w:sz w:val="24"/>
          <w:szCs w:val="24"/>
        </w:rPr>
        <w:t xml:space="preserve"> </w:t>
      </w:r>
      <w:r w:rsidR="0034456E">
        <w:rPr>
          <w:rFonts w:ascii="Arial Narrow" w:hAnsi="Arial Narrow" w:cs="Times New Roman"/>
          <w:sz w:val="24"/>
          <w:szCs w:val="24"/>
          <w:lang w:val="en-US"/>
        </w:rPr>
        <w:t>Technology</w:t>
      </w:r>
      <w:r w:rsidR="0034456E" w:rsidRPr="0034456E">
        <w:rPr>
          <w:rFonts w:ascii="Arial Narrow" w:hAnsi="Arial Narrow" w:cs="Times New Roman"/>
          <w:sz w:val="24"/>
          <w:szCs w:val="24"/>
        </w:rPr>
        <w:t xml:space="preserve"> </w:t>
      </w:r>
      <w:r w:rsidR="0034456E">
        <w:rPr>
          <w:rFonts w:ascii="Arial Narrow" w:hAnsi="Arial Narrow" w:cs="Times New Roman"/>
          <w:sz w:val="24"/>
          <w:szCs w:val="24"/>
          <w:lang w:val="en-US"/>
        </w:rPr>
        <w:t>Center</w:t>
      </w:r>
      <w:r w:rsidR="0034456E" w:rsidRPr="0034456E">
        <w:rPr>
          <w:rFonts w:ascii="Arial Narrow" w:hAnsi="Arial Narrow" w:cs="Times New Roman"/>
          <w:sz w:val="24"/>
          <w:szCs w:val="24"/>
        </w:rPr>
        <w:t xml:space="preserve">, </w:t>
      </w:r>
      <w:r w:rsidR="0034456E">
        <w:rPr>
          <w:rFonts w:ascii="Arial Narrow" w:hAnsi="Arial Narrow" w:cs="Times New Roman"/>
          <w:sz w:val="24"/>
          <w:szCs w:val="24"/>
        </w:rPr>
        <w:t>όπου έχουν εκπαιδευτεί χιλιάδες εμιρατινοί μηχανικοί και επιστήμονες. Στην έρευνα και την ανάπτυξη περιλαμβάνονται η πυρηνική ασφάλεια, τα προηγμένα καύσιμα, οι μικροί αρθρωτοί αντιδραστήρες (</w:t>
      </w:r>
      <w:r w:rsidR="0034456E">
        <w:rPr>
          <w:rFonts w:ascii="Arial Narrow" w:hAnsi="Arial Narrow" w:cs="Times New Roman"/>
          <w:sz w:val="24"/>
          <w:szCs w:val="24"/>
          <w:lang w:val="en-US"/>
        </w:rPr>
        <w:t>SMRs</w:t>
      </w:r>
      <w:r w:rsidR="0034456E" w:rsidRPr="0034456E">
        <w:rPr>
          <w:rFonts w:ascii="Arial Narrow" w:hAnsi="Arial Narrow" w:cs="Times New Roman"/>
          <w:sz w:val="24"/>
          <w:szCs w:val="24"/>
        </w:rPr>
        <w:t xml:space="preserve">), </w:t>
      </w:r>
      <w:r w:rsidR="0034456E">
        <w:rPr>
          <w:rFonts w:ascii="Arial Narrow" w:hAnsi="Arial Narrow" w:cs="Times New Roman"/>
          <w:sz w:val="24"/>
          <w:szCs w:val="24"/>
        </w:rPr>
        <w:t xml:space="preserve">η παραγωγή υδρογόνου μέσω πυρηνικής ενέργειας και η αφαλάτωση με πυρηνική ενέργεια. </w:t>
      </w:r>
    </w:p>
    <w:p w14:paraId="70D2F780" w14:textId="6487423F" w:rsidR="008D74B4" w:rsidRDefault="00A1474B" w:rsidP="00022BD6">
      <w:pPr>
        <w:jc w:val="both"/>
        <w:rPr>
          <w:rFonts w:ascii="Arial Narrow" w:hAnsi="Arial Narrow" w:cs="Times New Roman"/>
          <w:sz w:val="24"/>
          <w:szCs w:val="24"/>
        </w:rPr>
      </w:pPr>
      <w:r>
        <w:rPr>
          <w:rFonts w:ascii="Arial Narrow" w:hAnsi="Arial Narrow" w:cs="Times New Roman"/>
          <w:sz w:val="24"/>
          <w:szCs w:val="24"/>
        </w:rPr>
        <w:t>Η εμιρατινή κυβέρνηση εξετάζει τη χρήση πυρηνικής ενέργειας για πράσινο υδρογόνο, ροζ υδρογόνο (</w:t>
      </w:r>
      <w:r w:rsidR="001F78EE">
        <w:rPr>
          <w:rFonts w:ascii="Arial Narrow" w:hAnsi="Arial Narrow" w:cs="Times New Roman"/>
          <w:sz w:val="24"/>
          <w:szCs w:val="24"/>
          <w:lang w:val="en-US"/>
        </w:rPr>
        <w:t>nuclear</w:t>
      </w:r>
      <w:r w:rsidR="001F78EE" w:rsidRPr="001F78EE">
        <w:rPr>
          <w:rFonts w:ascii="Arial Narrow" w:hAnsi="Arial Narrow" w:cs="Times New Roman"/>
          <w:sz w:val="24"/>
          <w:szCs w:val="24"/>
        </w:rPr>
        <w:t xml:space="preserve"> </w:t>
      </w:r>
      <w:r w:rsidR="001F78EE">
        <w:rPr>
          <w:rFonts w:ascii="Arial Narrow" w:hAnsi="Arial Narrow" w:cs="Times New Roman"/>
          <w:sz w:val="24"/>
          <w:szCs w:val="24"/>
          <w:lang w:val="en-US"/>
        </w:rPr>
        <w:t>hydrogen</w:t>
      </w:r>
      <w:r w:rsidR="001F78EE" w:rsidRPr="001F78EE">
        <w:rPr>
          <w:rFonts w:ascii="Arial Narrow" w:hAnsi="Arial Narrow" w:cs="Times New Roman"/>
          <w:sz w:val="24"/>
          <w:szCs w:val="24"/>
        </w:rPr>
        <w:t xml:space="preserve">), </w:t>
      </w:r>
      <w:r w:rsidR="001F78EE">
        <w:rPr>
          <w:rFonts w:ascii="Arial Narrow" w:hAnsi="Arial Narrow" w:cs="Times New Roman"/>
          <w:sz w:val="24"/>
          <w:szCs w:val="24"/>
        </w:rPr>
        <w:t>αφαλάτωση νερού χαμηλού ανθρακικού αποτυπώματος. Η σύνδεση πυρηνικής ενέργειας και υδρογόνου αποτελεί στρατηγική προτεραιότητα των ΗΑΕ μέχρι το 2050.</w:t>
      </w:r>
      <w:r w:rsidR="00D9598E" w:rsidRPr="00D9598E">
        <w:rPr>
          <w:rFonts w:ascii="Arial Narrow" w:hAnsi="Arial Narrow" w:cs="Times New Roman"/>
          <w:sz w:val="24"/>
          <w:szCs w:val="24"/>
        </w:rPr>
        <w:t xml:space="preserve"> </w:t>
      </w:r>
      <w:r w:rsidR="00D9598E">
        <w:rPr>
          <w:rFonts w:ascii="Arial Narrow" w:hAnsi="Arial Narrow" w:cs="Times New Roman"/>
          <w:sz w:val="24"/>
          <w:szCs w:val="24"/>
        </w:rPr>
        <w:t xml:space="preserve">Το πυρυνικό πρόγραμμα για την ενεργειακή ασφάλεια επιτρέπει μείωση κατανάλωσης φ/α, σύμφωνα με την οποία εκτιμάται ότι εξοικονομούνται ετησίως ποσότητες φ/α αξίας δις $. Επίσης προβλέπει και σταθερή παραγωγή σε αντίθεση με την ηλιακή και αιολική ενέργεια, ενώ οι πυρηνικοί σταθμοί λειτοργούν 24 ώρες ημερησίως, 365 ημέρες ετησίως και με συντελεστή διαθεσιμότητας άνω του 90%. Τα σχέδια της εμιρατινής κυβέρνησης έως το 2050 συνοψίζονται στα εξής: βελτιστοποίηση λειτουργίας του πυρηνικού σταθμού </w:t>
      </w:r>
      <w:r w:rsidR="00D9598E">
        <w:rPr>
          <w:rFonts w:ascii="Arial Narrow" w:hAnsi="Arial Narrow" w:cs="Times New Roman"/>
          <w:sz w:val="24"/>
          <w:szCs w:val="24"/>
          <w:lang w:val="en-US"/>
        </w:rPr>
        <w:t>Barakah</w:t>
      </w:r>
      <w:r w:rsidR="00D9598E" w:rsidRPr="00D9598E">
        <w:rPr>
          <w:rFonts w:ascii="Arial Narrow" w:hAnsi="Arial Narrow" w:cs="Times New Roman"/>
          <w:sz w:val="24"/>
          <w:szCs w:val="24"/>
        </w:rPr>
        <w:t xml:space="preserve">, </w:t>
      </w:r>
      <w:r w:rsidR="008D74B4">
        <w:rPr>
          <w:rFonts w:ascii="Arial Narrow" w:hAnsi="Arial Narrow" w:cs="Times New Roman"/>
          <w:sz w:val="24"/>
          <w:szCs w:val="24"/>
        </w:rPr>
        <w:t xml:space="preserve">ανάπτυξη </w:t>
      </w:r>
      <w:r w:rsidR="008D74B4">
        <w:rPr>
          <w:rFonts w:ascii="Arial Narrow" w:hAnsi="Arial Narrow" w:cs="Times New Roman"/>
          <w:sz w:val="24"/>
          <w:szCs w:val="24"/>
          <w:lang w:val="en-US"/>
        </w:rPr>
        <w:t>SMRs</w:t>
      </w:r>
      <w:r w:rsidR="008D74B4" w:rsidRPr="008D74B4">
        <w:rPr>
          <w:rFonts w:ascii="Arial Narrow" w:hAnsi="Arial Narrow" w:cs="Times New Roman"/>
          <w:sz w:val="24"/>
          <w:szCs w:val="24"/>
        </w:rPr>
        <w:t xml:space="preserve"> (</w:t>
      </w:r>
      <w:r w:rsidR="008D74B4">
        <w:rPr>
          <w:rFonts w:ascii="Arial Narrow" w:hAnsi="Arial Narrow" w:cs="Times New Roman"/>
          <w:sz w:val="24"/>
          <w:szCs w:val="24"/>
          <w:lang w:val="en-US"/>
        </w:rPr>
        <w:t>Small</w:t>
      </w:r>
      <w:r w:rsidR="008D74B4" w:rsidRPr="008D74B4">
        <w:rPr>
          <w:rFonts w:ascii="Arial Narrow" w:hAnsi="Arial Narrow" w:cs="Times New Roman"/>
          <w:sz w:val="24"/>
          <w:szCs w:val="24"/>
        </w:rPr>
        <w:t xml:space="preserve"> </w:t>
      </w:r>
      <w:r w:rsidR="008D74B4">
        <w:rPr>
          <w:rFonts w:ascii="Arial Narrow" w:hAnsi="Arial Narrow" w:cs="Times New Roman"/>
          <w:sz w:val="24"/>
          <w:szCs w:val="24"/>
          <w:lang w:val="en-US"/>
        </w:rPr>
        <w:t>Modular</w:t>
      </w:r>
      <w:r w:rsidR="008D74B4" w:rsidRPr="008D74B4">
        <w:rPr>
          <w:rFonts w:ascii="Arial Narrow" w:hAnsi="Arial Narrow" w:cs="Times New Roman"/>
          <w:sz w:val="24"/>
          <w:szCs w:val="24"/>
        </w:rPr>
        <w:t xml:space="preserve"> </w:t>
      </w:r>
      <w:r w:rsidR="008D74B4">
        <w:rPr>
          <w:rFonts w:ascii="Arial Narrow" w:hAnsi="Arial Narrow" w:cs="Times New Roman"/>
          <w:sz w:val="24"/>
          <w:szCs w:val="24"/>
          <w:lang w:val="en-US"/>
        </w:rPr>
        <w:t>Reactors</w:t>
      </w:r>
      <w:r w:rsidR="008D74B4" w:rsidRPr="008D74B4">
        <w:rPr>
          <w:rFonts w:ascii="Arial Narrow" w:hAnsi="Arial Narrow" w:cs="Times New Roman"/>
          <w:sz w:val="24"/>
          <w:szCs w:val="24"/>
        </w:rPr>
        <w:t xml:space="preserve">), </w:t>
      </w:r>
      <w:r w:rsidR="008D74B4">
        <w:rPr>
          <w:rFonts w:ascii="Arial Narrow" w:hAnsi="Arial Narrow" w:cs="Times New Roman"/>
          <w:sz w:val="24"/>
          <w:szCs w:val="24"/>
        </w:rPr>
        <w:t>ενσωμάτωση με παραγωγή υδρογόνου, υποστήριξη βιομηχανικών εγκαταστάσεων χαμηλών εκπομπών και περαιτέρω ενίσχυση του εθνικού δικτύου ηλεκτρισμο</w:t>
      </w:r>
      <w:r w:rsidR="008D6086">
        <w:rPr>
          <w:rFonts w:ascii="Arial Narrow" w:hAnsi="Arial Narrow" w:cs="Times New Roman"/>
          <w:sz w:val="24"/>
          <w:szCs w:val="24"/>
        </w:rPr>
        <w:t xml:space="preserve">ύ. Η στρατηγικη σημασία για τα ΗΑΕ της πυρηνικής ενέργειας παρέχει περίπου το 25% της ηλεκτρικής ενέργειας της χώρας, παράγει πάνω από το 40% της καθαρής ηλεκτρικής ενέργειας, μειώνει σημαντικά τις εκπομπές </w:t>
      </w:r>
      <w:r w:rsidR="0067170A">
        <w:rPr>
          <w:rFonts w:ascii="Arial Narrow" w:hAnsi="Arial Narrow" w:cs="Times New Roman"/>
          <w:sz w:val="24"/>
          <w:szCs w:val="24"/>
          <w:lang w:val="en-US"/>
        </w:rPr>
        <w:t>CO</w:t>
      </w:r>
      <w:r w:rsidR="0067170A" w:rsidRPr="0067170A">
        <w:rPr>
          <w:rFonts w:ascii="Arial Narrow" w:hAnsi="Arial Narrow" w:cs="Times New Roman"/>
          <w:sz w:val="24"/>
          <w:szCs w:val="24"/>
        </w:rPr>
        <w:t xml:space="preserve">2, </w:t>
      </w:r>
      <w:r w:rsidR="0067170A">
        <w:rPr>
          <w:rFonts w:ascii="Arial Narrow" w:hAnsi="Arial Narrow" w:cs="Times New Roman"/>
          <w:sz w:val="24"/>
          <w:szCs w:val="24"/>
        </w:rPr>
        <w:t xml:space="preserve">ενισχύει την ενεργειακή ανεξαρτησία, υποστηρίζει τη στρατηγική </w:t>
      </w:r>
      <w:r w:rsidR="008155FA">
        <w:rPr>
          <w:rFonts w:ascii="Arial Narrow" w:hAnsi="Arial Narrow" w:cs="Times New Roman"/>
          <w:sz w:val="24"/>
          <w:szCs w:val="24"/>
          <w:lang w:val="en-US"/>
        </w:rPr>
        <w:t>Net</w:t>
      </w:r>
      <w:r w:rsidR="008155FA" w:rsidRPr="008155FA">
        <w:rPr>
          <w:rFonts w:ascii="Arial Narrow" w:hAnsi="Arial Narrow" w:cs="Times New Roman"/>
          <w:sz w:val="24"/>
          <w:szCs w:val="24"/>
        </w:rPr>
        <w:t xml:space="preserve"> </w:t>
      </w:r>
      <w:r w:rsidR="008155FA">
        <w:rPr>
          <w:rFonts w:ascii="Arial Narrow" w:hAnsi="Arial Narrow" w:cs="Times New Roman"/>
          <w:sz w:val="24"/>
          <w:szCs w:val="24"/>
          <w:lang w:val="en-US"/>
        </w:rPr>
        <w:t>Zero</w:t>
      </w:r>
      <w:r w:rsidR="008155FA" w:rsidRPr="008155FA">
        <w:rPr>
          <w:rFonts w:ascii="Arial Narrow" w:hAnsi="Arial Narrow" w:cs="Times New Roman"/>
          <w:sz w:val="24"/>
          <w:szCs w:val="24"/>
        </w:rPr>
        <w:t xml:space="preserve"> 2050 </w:t>
      </w:r>
      <w:r w:rsidR="008155FA">
        <w:rPr>
          <w:rFonts w:ascii="Arial Narrow" w:hAnsi="Arial Narrow" w:cs="Times New Roman"/>
          <w:sz w:val="24"/>
          <w:szCs w:val="24"/>
        </w:rPr>
        <w:t xml:space="preserve">και παράλληλα τοποθετεί τα ΗΑΕ στη πρώτη γραμμή της πυρηνικής τεχνολογίας στον αραβικό κόσμο. </w:t>
      </w:r>
    </w:p>
    <w:p w14:paraId="34054DF1" w14:textId="0623A35B" w:rsidR="008155FA" w:rsidRDefault="008155FA" w:rsidP="00022BD6">
      <w:pPr>
        <w:jc w:val="both"/>
        <w:rPr>
          <w:rFonts w:ascii="Arial Narrow" w:hAnsi="Arial Narrow" w:cs="Times New Roman"/>
          <w:b/>
          <w:sz w:val="24"/>
          <w:szCs w:val="24"/>
        </w:rPr>
      </w:pPr>
      <w:r w:rsidRPr="008155FA">
        <w:rPr>
          <w:rFonts w:ascii="Arial Narrow" w:hAnsi="Arial Narrow" w:cs="Times New Roman"/>
          <w:b/>
          <w:sz w:val="24"/>
          <w:szCs w:val="24"/>
        </w:rPr>
        <w:t xml:space="preserve">Το πυρηνικό πρόγραμμα των ΗΑΕ αποτελεί </w:t>
      </w:r>
      <w:r>
        <w:rPr>
          <w:rFonts w:ascii="Arial Narrow" w:hAnsi="Arial Narrow" w:cs="Times New Roman"/>
          <w:b/>
          <w:sz w:val="24"/>
          <w:szCs w:val="24"/>
        </w:rPr>
        <w:t xml:space="preserve">ένα από τα πλέον επιτυχημένα και ταχύτερα αναπτυσσόμενα προγράμματα πυρηνικής ενέργειας διεθνώς. Με επίκεντρο τον πυρηνικό σταθμό </w:t>
      </w:r>
      <w:r>
        <w:rPr>
          <w:rFonts w:ascii="Arial Narrow" w:hAnsi="Arial Narrow" w:cs="Times New Roman"/>
          <w:b/>
          <w:sz w:val="24"/>
          <w:szCs w:val="24"/>
          <w:lang w:val="en-US"/>
        </w:rPr>
        <w:t>Barakah</w:t>
      </w:r>
      <w:r w:rsidRPr="008155FA">
        <w:rPr>
          <w:rFonts w:ascii="Arial Narrow" w:hAnsi="Arial Narrow" w:cs="Times New Roman"/>
          <w:b/>
          <w:sz w:val="24"/>
          <w:szCs w:val="24"/>
        </w:rPr>
        <w:t xml:space="preserve"> </w:t>
      </w:r>
      <w:r>
        <w:rPr>
          <w:rFonts w:ascii="Arial Narrow" w:hAnsi="Arial Narrow" w:cs="Times New Roman"/>
          <w:b/>
          <w:sz w:val="24"/>
          <w:szCs w:val="24"/>
          <w:lang w:val="en-US"/>
        </w:rPr>
        <w:t>Nuclear</w:t>
      </w:r>
      <w:r w:rsidRPr="008155FA">
        <w:rPr>
          <w:rFonts w:ascii="Arial Narrow" w:hAnsi="Arial Narrow" w:cs="Times New Roman"/>
          <w:b/>
          <w:sz w:val="24"/>
          <w:szCs w:val="24"/>
        </w:rPr>
        <w:t xml:space="preserve"> </w:t>
      </w:r>
      <w:r>
        <w:rPr>
          <w:rFonts w:ascii="Arial Narrow" w:hAnsi="Arial Narrow" w:cs="Times New Roman"/>
          <w:b/>
          <w:sz w:val="24"/>
          <w:szCs w:val="24"/>
          <w:lang w:val="en-US"/>
        </w:rPr>
        <w:t>Energy</w:t>
      </w:r>
      <w:r w:rsidRPr="008155FA">
        <w:rPr>
          <w:rFonts w:ascii="Arial Narrow" w:hAnsi="Arial Narrow" w:cs="Times New Roman"/>
          <w:b/>
          <w:sz w:val="24"/>
          <w:szCs w:val="24"/>
        </w:rPr>
        <w:t xml:space="preserve"> </w:t>
      </w:r>
      <w:r>
        <w:rPr>
          <w:rFonts w:ascii="Arial Narrow" w:hAnsi="Arial Narrow" w:cs="Times New Roman"/>
          <w:b/>
          <w:sz w:val="24"/>
          <w:szCs w:val="24"/>
          <w:lang w:val="en-US"/>
        </w:rPr>
        <w:t>Plant</w:t>
      </w:r>
      <w:r w:rsidRPr="008155FA">
        <w:rPr>
          <w:rFonts w:ascii="Arial Narrow" w:hAnsi="Arial Narrow" w:cs="Times New Roman"/>
          <w:b/>
          <w:sz w:val="24"/>
          <w:szCs w:val="24"/>
        </w:rPr>
        <w:t xml:space="preserve">, </w:t>
      </w:r>
      <w:r>
        <w:rPr>
          <w:rFonts w:ascii="Arial Narrow" w:hAnsi="Arial Narrow" w:cs="Times New Roman"/>
          <w:b/>
          <w:sz w:val="24"/>
          <w:szCs w:val="24"/>
        </w:rPr>
        <w:t xml:space="preserve">ισχύος 5.600 </w:t>
      </w:r>
      <w:r>
        <w:rPr>
          <w:rFonts w:ascii="Arial Narrow" w:hAnsi="Arial Narrow" w:cs="Times New Roman"/>
          <w:b/>
          <w:sz w:val="24"/>
          <w:szCs w:val="24"/>
          <w:lang w:val="en-US"/>
        </w:rPr>
        <w:t>MW</w:t>
      </w:r>
      <w:r w:rsidRPr="008155FA">
        <w:rPr>
          <w:rFonts w:ascii="Arial Narrow" w:hAnsi="Arial Narrow" w:cs="Times New Roman"/>
          <w:b/>
          <w:sz w:val="24"/>
          <w:szCs w:val="24"/>
        </w:rPr>
        <w:t xml:space="preserve">, </w:t>
      </w:r>
      <w:r>
        <w:rPr>
          <w:rFonts w:ascii="Arial Narrow" w:hAnsi="Arial Narrow" w:cs="Times New Roman"/>
          <w:b/>
          <w:sz w:val="24"/>
          <w:szCs w:val="24"/>
        </w:rPr>
        <w:t>τα ΗΑΕ έχουν επιτύχει να μετασχηματίσουν το ενεργειακό τους μίγμα, να μειώσουν τις εκπομπές αερίων του θερμοκηπίου και να ενισχύσουν τη μακροπρόθεσμη ενεργειακή τους ασφάλεια. Το πρόγραμμα θεωρείται διεθνώς πρότυπο για την ασφαλή, διαφανή και ειρηνική ανάπτυξη της πυρηνικής ενέργειας στον 21</w:t>
      </w:r>
      <w:r w:rsidRPr="008155FA">
        <w:rPr>
          <w:rFonts w:ascii="Arial Narrow" w:hAnsi="Arial Narrow" w:cs="Times New Roman"/>
          <w:b/>
          <w:sz w:val="24"/>
          <w:szCs w:val="24"/>
          <w:vertAlign w:val="superscript"/>
        </w:rPr>
        <w:t>ο</w:t>
      </w:r>
      <w:r>
        <w:rPr>
          <w:rFonts w:ascii="Arial Narrow" w:hAnsi="Arial Narrow" w:cs="Times New Roman"/>
          <w:b/>
          <w:sz w:val="24"/>
          <w:szCs w:val="24"/>
        </w:rPr>
        <w:t xml:space="preserve"> αιώνα.</w:t>
      </w:r>
    </w:p>
    <w:p w14:paraId="203E8A17" w14:textId="0E37A26B" w:rsidR="008155FA" w:rsidRDefault="00022BD6" w:rsidP="00022BD6">
      <w:pPr>
        <w:jc w:val="center"/>
        <w:rPr>
          <w:rFonts w:ascii="Arial Narrow" w:hAnsi="Arial Narrow" w:cs="Times New Roman"/>
          <w:b/>
          <w:color w:val="1F497D" w:themeColor="text2"/>
          <w:sz w:val="28"/>
          <w:szCs w:val="28"/>
        </w:rPr>
      </w:pPr>
      <w:r w:rsidRPr="00022BD6">
        <w:rPr>
          <w:rFonts w:ascii="Arial Narrow" w:hAnsi="Arial Narrow" w:cs="Times New Roman"/>
          <w:b/>
          <w:color w:val="1F497D" w:themeColor="text2"/>
          <w:sz w:val="28"/>
          <w:szCs w:val="28"/>
        </w:rPr>
        <w:t xml:space="preserve">29. </w:t>
      </w:r>
      <w:r w:rsidR="008155FA">
        <w:rPr>
          <w:rFonts w:ascii="Arial Narrow" w:hAnsi="Arial Narrow" w:cs="Times New Roman"/>
          <w:b/>
          <w:color w:val="1F497D" w:themeColor="text2"/>
          <w:sz w:val="28"/>
          <w:szCs w:val="28"/>
        </w:rPr>
        <w:t>Ο ΤΟΜΕΑΣ ΤΗΣ ΥΓΕΙΑΣ ΣΤΑ ΗΝΩΜΕΝΑ ΑΡΑΒΙΚΑ ΕΜΙΡΑΤΑ</w:t>
      </w:r>
    </w:p>
    <w:p w14:paraId="43E60531" w14:textId="1DE02BE0" w:rsidR="008155FA" w:rsidRDefault="008155FA" w:rsidP="00AD0EEA">
      <w:pPr>
        <w:jc w:val="both"/>
        <w:rPr>
          <w:rFonts w:ascii="Arial Narrow" w:hAnsi="Arial Narrow" w:cs="Times New Roman"/>
          <w:sz w:val="24"/>
          <w:szCs w:val="24"/>
        </w:rPr>
      </w:pPr>
      <w:r>
        <w:rPr>
          <w:rFonts w:ascii="Arial Narrow" w:hAnsi="Arial Narrow" w:cs="Times New Roman"/>
          <w:sz w:val="24"/>
          <w:szCs w:val="24"/>
        </w:rPr>
        <w:t>Τα τελευταία 20 χρόνια, τα ΗΑΕ έχουν μετασχηματίσει το σύστημα υγείας από ένα κυρίως δημόσιο μοντέλο σε ένα ολοκληρωμένο οικοσύστημα υψηλής ποιότητας,</w:t>
      </w:r>
      <w:r w:rsidR="008B6D21">
        <w:rPr>
          <w:rFonts w:ascii="Arial Narrow" w:hAnsi="Arial Narrow" w:cs="Times New Roman"/>
          <w:sz w:val="24"/>
          <w:szCs w:val="24"/>
        </w:rPr>
        <w:t xml:space="preserve"> όπου συνυπάρχουν δημόσιοι και ιδιωτικοί πάροχοι, υποχρεωτική ασφάλιση υγείας, προηγμένες ψηφιακές υπηρεσίες και έντονη επενδυτική δραστηριότητα. Ο κλάδος χαρακτηρίζεται από ταχεία αύξηση των δημόσιων και ιδιωτικών επενδύσεων, υψηλή συμμετοχή του ιδιωτικού τομέα, εκτεταμένη εφαρμογή ψηφιακών τεχνολογιών, ανάπτυξη ιατρικού τουρισμού, υποχρεωτική ασφάλιση υγείας &amp; έντονη αξιοποίηση τεχνητής νοημοσύνης και γονιδιωματικής. Η συνολική δαπάνη υγείας υπερβαίνει τα 90 δις </w:t>
      </w:r>
      <w:r w:rsidR="008B6D21">
        <w:rPr>
          <w:rFonts w:ascii="Arial Narrow" w:hAnsi="Arial Narrow" w:cs="Times New Roman"/>
          <w:sz w:val="24"/>
          <w:szCs w:val="24"/>
          <w:lang w:val="en-US"/>
        </w:rPr>
        <w:t>AED</w:t>
      </w:r>
      <w:r w:rsidR="008B6D21" w:rsidRPr="00554568">
        <w:rPr>
          <w:rFonts w:ascii="Arial Narrow" w:hAnsi="Arial Narrow" w:cs="Times New Roman"/>
          <w:sz w:val="24"/>
          <w:szCs w:val="24"/>
        </w:rPr>
        <w:t xml:space="preserve"> (</w:t>
      </w:r>
      <w:r w:rsidR="00554568">
        <w:rPr>
          <w:rFonts w:ascii="Arial Narrow" w:hAnsi="Arial Narrow" w:cs="Times New Roman"/>
          <w:sz w:val="24"/>
          <w:szCs w:val="24"/>
        </w:rPr>
        <w:t>Ντίρχαμ) ετησίως, ενώ αντιστοιχεί περίπου στο 5% του ΑΕΠ, με ανοδική πορεία λόγω της πληθυσμιακής αύξησης, της γήρανσης του πληθυσμού και της διεύρυνσης των ασφαλιστικών καλύψεων. Το σύστημα υγείας διοικείται από διαφορετικές αρχές, σε ομοσπονδιακό επίπεδο από το Υπουργείο Υγείας και Πρόληψης (</w:t>
      </w:r>
      <w:r w:rsidR="00554568">
        <w:rPr>
          <w:rFonts w:ascii="Arial Narrow" w:hAnsi="Arial Narrow" w:cs="Times New Roman"/>
          <w:sz w:val="24"/>
          <w:szCs w:val="24"/>
          <w:lang w:val="en-US"/>
        </w:rPr>
        <w:t>MoHAP</w:t>
      </w:r>
      <w:r w:rsidR="00554568" w:rsidRPr="00554568">
        <w:rPr>
          <w:rFonts w:ascii="Arial Narrow" w:hAnsi="Arial Narrow" w:cs="Times New Roman"/>
          <w:sz w:val="24"/>
          <w:szCs w:val="24"/>
        </w:rPr>
        <w:t xml:space="preserve">) </w:t>
      </w:r>
      <w:r w:rsidR="00554568">
        <w:rPr>
          <w:rFonts w:ascii="Arial Narrow" w:hAnsi="Arial Narrow" w:cs="Times New Roman"/>
          <w:sz w:val="24"/>
          <w:szCs w:val="24"/>
        </w:rPr>
        <w:t xml:space="preserve">και το </w:t>
      </w:r>
      <w:r w:rsidR="00554568">
        <w:rPr>
          <w:rFonts w:ascii="Arial Narrow" w:hAnsi="Arial Narrow" w:cs="Times New Roman"/>
          <w:sz w:val="24"/>
          <w:szCs w:val="24"/>
          <w:lang w:val="en-US"/>
        </w:rPr>
        <w:t>EMIRATES</w:t>
      </w:r>
      <w:r w:rsidR="00554568" w:rsidRPr="00554568">
        <w:rPr>
          <w:rFonts w:ascii="Arial Narrow" w:hAnsi="Arial Narrow" w:cs="Times New Roman"/>
          <w:sz w:val="24"/>
          <w:szCs w:val="24"/>
        </w:rPr>
        <w:t xml:space="preserve"> </w:t>
      </w:r>
      <w:r w:rsidR="00554568">
        <w:rPr>
          <w:rFonts w:ascii="Arial Narrow" w:hAnsi="Arial Narrow" w:cs="Times New Roman"/>
          <w:sz w:val="24"/>
          <w:szCs w:val="24"/>
          <w:lang w:val="en-US"/>
        </w:rPr>
        <w:t>DRUG</w:t>
      </w:r>
      <w:r w:rsidR="00554568" w:rsidRPr="00554568">
        <w:rPr>
          <w:rFonts w:ascii="Arial Narrow" w:hAnsi="Arial Narrow" w:cs="Times New Roman"/>
          <w:sz w:val="24"/>
          <w:szCs w:val="24"/>
        </w:rPr>
        <w:t xml:space="preserve"> </w:t>
      </w:r>
      <w:r w:rsidR="00554568">
        <w:rPr>
          <w:rFonts w:ascii="Arial Narrow" w:hAnsi="Arial Narrow" w:cs="Times New Roman"/>
          <w:sz w:val="24"/>
          <w:szCs w:val="24"/>
          <w:lang w:val="en-US"/>
        </w:rPr>
        <w:t>ESTABLISHMENT</w:t>
      </w:r>
      <w:r w:rsidR="00554568" w:rsidRPr="00554568">
        <w:rPr>
          <w:rFonts w:ascii="Arial Narrow" w:hAnsi="Arial Narrow" w:cs="Times New Roman"/>
          <w:sz w:val="24"/>
          <w:szCs w:val="24"/>
        </w:rPr>
        <w:t xml:space="preserve">, </w:t>
      </w:r>
      <w:r w:rsidR="00554568">
        <w:rPr>
          <w:rFonts w:ascii="Arial Narrow" w:hAnsi="Arial Narrow" w:cs="Times New Roman"/>
          <w:sz w:val="24"/>
          <w:szCs w:val="24"/>
          <w:lang w:val="en-US"/>
        </w:rPr>
        <w:t>Department</w:t>
      </w:r>
      <w:r w:rsidR="00554568" w:rsidRPr="00554568">
        <w:rPr>
          <w:rFonts w:ascii="Arial Narrow" w:hAnsi="Arial Narrow" w:cs="Times New Roman"/>
          <w:sz w:val="24"/>
          <w:szCs w:val="24"/>
        </w:rPr>
        <w:t xml:space="preserve"> </w:t>
      </w:r>
      <w:r w:rsidR="00554568">
        <w:rPr>
          <w:rFonts w:ascii="Arial Narrow" w:hAnsi="Arial Narrow" w:cs="Times New Roman"/>
          <w:sz w:val="24"/>
          <w:szCs w:val="24"/>
          <w:lang w:val="en-US"/>
        </w:rPr>
        <w:t>of</w:t>
      </w:r>
      <w:r w:rsidR="00554568" w:rsidRPr="00554568">
        <w:rPr>
          <w:rFonts w:ascii="Arial Narrow" w:hAnsi="Arial Narrow" w:cs="Times New Roman"/>
          <w:sz w:val="24"/>
          <w:szCs w:val="24"/>
        </w:rPr>
        <w:t xml:space="preserve"> </w:t>
      </w:r>
      <w:r w:rsidR="00554568">
        <w:rPr>
          <w:rFonts w:ascii="Arial Narrow" w:hAnsi="Arial Narrow" w:cs="Times New Roman"/>
          <w:sz w:val="24"/>
          <w:szCs w:val="24"/>
          <w:lang w:val="en-US"/>
        </w:rPr>
        <w:t>Health</w:t>
      </w:r>
      <w:r w:rsidR="00554568" w:rsidRPr="00554568">
        <w:rPr>
          <w:rFonts w:ascii="Arial Narrow" w:hAnsi="Arial Narrow" w:cs="Times New Roman"/>
          <w:sz w:val="24"/>
          <w:szCs w:val="24"/>
        </w:rPr>
        <w:t xml:space="preserve"> </w:t>
      </w:r>
      <w:r w:rsidR="00554568">
        <w:rPr>
          <w:rFonts w:ascii="Arial Narrow" w:hAnsi="Arial Narrow" w:cs="Times New Roman"/>
          <w:sz w:val="24"/>
          <w:szCs w:val="24"/>
          <w:lang w:val="en-US"/>
        </w:rPr>
        <w:t>Abu</w:t>
      </w:r>
      <w:r w:rsidR="00554568" w:rsidRPr="00554568">
        <w:rPr>
          <w:rFonts w:ascii="Arial Narrow" w:hAnsi="Arial Narrow" w:cs="Times New Roman"/>
          <w:sz w:val="24"/>
          <w:szCs w:val="24"/>
        </w:rPr>
        <w:t xml:space="preserve"> </w:t>
      </w:r>
      <w:r w:rsidR="00554568">
        <w:rPr>
          <w:rFonts w:ascii="Arial Narrow" w:hAnsi="Arial Narrow" w:cs="Times New Roman"/>
          <w:sz w:val="24"/>
          <w:szCs w:val="24"/>
          <w:lang w:val="en-US"/>
        </w:rPr>
        <w:t>Dhabi</w:t>
      </w:r>
      <w:r w:rsidR="00554568" w:rsidRPr="00554568">
        <w:rPr>
          <w:rFonts w:ascii="Arial Narrow" w:hAnsi="Arial Narrow" w:cs="Times New Roman"/>
          <w:sz w:val="24"/>
          <w:szCs w:val="24"/>
        </w:rPr>
        <w:t xml:space="preserve"> (</w:t>
      </w:r>
      <w:r w:rsidR="00554568">
        <w:rPr>
          <w:rFonts w:ascii="Arial Narrow" w:hAnsi="Arial Narrow" w:cs="Times New Roman"/>
          <w:sz w:val="24"/>
          <w:szCs w:val="24"/>
          <w:lang w:val="en-US"/>
        </w:rPr>
        <w:t>DoH</w:t>
      </w:r>
      <w:r w:rsidR="00554568" w:rsidRPr="00554568">
        <w:rPr>
          <w:rFonts w:ascii="Arial Narrow" w:hAnsi="Arial Narrow" w:cs="Times New Roman"/>
          <w:sz w:val="24"/>
          <w:szCs w:val="24"/>
        </w:rPr>
        <w:t xml:space="preserve">), </w:t>
      </w:r>
      <w:r w:rsidR="00554568">
        <w:rPr>
          <w:rFonts w:ascii="Arial Narrow" w:hAnsi="Arial Narrow" w:cs="Times New Roman"/>
          <w:sz w:val="24"/>
          <w:szCs w:val="24"/>
          <w:lang w:val="en-US"/>
        </w:rPr>
        <w:t>Dubai</w:t>
      </w:r>
      <w:r w:rsidR="00554568" w:rsidRPr="00554568">
        <w:rPr>
          <w:rFonts w:ascii="Arial Narrow" w:hAnsi="Arial Narrow" w:cs="Times New Roman"/>
          <w:sz w:val="24"/>
          <w:szCs w:val="24"/>
        </w:rPr>
        <w:t xml:space="preserve"> </w:t>
      </w:r>
      <w:r w:rsidR="00554568">
        <w:rPr>
          <w:rFonts w:ascii="Arial Narrow" w:hAnsi="Arial Narrow" w:cs="Times New Roman"/>
          <w:sz w:val="24"/>
          <w:szCs w:val="24"/>
          <w:lang w:val="en-US"/>
        </w:rPr>
        <w:t>Academic</w:t>
      </w:r>
      <w:r w:rsidR="00554568" w:rsidRPr="00554568">
        <w:rPr>
          <w:rFonts w:ascii="Arial Narrow" w:hAnsi="Arial Narrow" w:cs="Times New Roman"/>
          <w:sz w:val="24"/>
          <w:szCs w:val="24"/>
        </w:rPr>
        <w:t xml:space="preserve"> </w:t>
      </w:r>
      <w:r w:rsidR="00554568">
        <w:rPr>
          <w:rFonts w:ascii="Arial Narrow" w:hAnsi="Arial Narrow" w:cs="Times New Roman"/>
          <w:sz w:val="24"/>
          <w:szCs w:val="24"/>
          <w:lang w:val="en-US"/>
        </w:rPr>
        <w:t>Health</w:t>
      </w:r>
      <w:r w:rsidR="00554568" w:rsidRPr="00554568">
        <w:rPr>
          <w:rFonts w:ascii="Arial Narrow" w:hAnsi="Arial Narrow" w:cs="Times New Roman"/>
          <w:sz w:val="24"/>
          <w:szCs w:val="24"/>
        </w:rPr>
        <w:t xml:space="preserve"> </w:t>
      </w:r>
      <w:r w:rsidR="00554568">
        <w:rPr>
          <w:rFonts w:ascii="Arial Narrow" w:hAnsi="Arial Narrow" w:cs="Times New Roman"/>
          <w:sz w:val="24"/>
          <w:szCs w:val="24"/>
          <w:lang w:val="en-US"/>
        </w:rPr>
        <w:t>System</w:t>
      </w:r>
      <w:r w:rsidR="00554568" w:rsidRPr="00554568">
        <w:rPr>
          <w:rFonts w:ascii="Arial Narrow" w:hAnsi="Arial Narrow" w:cs="Times New Roman"/>
          <w:sz w:val="24"/>
          <w:szCs w:val="24"/>
        </w:rPr>
        <w:t xml:space="preserve"> </w:t>
      </w:r>
      <w:r w:rsidR="00554568">
        <w:rPr>
          <w:rFonts w:ascii="Arial Narrow" w:hAnsi="Arial Narrow" w:cs="Times New Roman"/>
          <w:sz w:val="24"/>
          <w:szCs w:val="24"/>
        </w:rPr>
        <w:t>–</w:t>
      </w:r>
      <w:r w:rsidR="00554568" w:rsidRPr="00554568">
        <w:rPr>
          <w:rFonts w:ascii="Arial Narrow" w:hAnsi="Arial Narrow" w:cs="Times New Roman"/>
          <w:sz w:val="24"/>
          <w:szCs w:val="24"/>
        </w:rPr>
        <w:t xml:space="preserve"> </w:t>
      </w:r>
      <w:r w:rsidR="00554568">
        <w:rPr>
          <w:rFonts w:ascii="Arial Narrow" w:hAnsi="Arial Narrow" w:cs="Times New Roman"/>
          <w:sz w:val="24"/>
          <w:szCs w:val="24"/>
          <w:lang w:val="en-US"/>
        </w:rPr>
        <w:t>Dubai</w:t>
      </w:r>
      <w:r w:rsidR="00554568" w:rsidRPr="00554568">
        <w:rPr>
          <w:rFonts w:ascii="Arial Narrow" w:hAnsi="Arial Narrow" w:cs="Times New Roman"/>
          <w:sz w:val="24"/>
          <w:szCs w:val="24"/>
        </w:rPr>
        <w:t xml:space="preserve"> </w:t>
      </w:r>
      <w:r w:rsidR="00554568">
        <w:rPr>
          <w:rFonts w:ascii="Arial Narrow" w:hAnsi="Arial Narrow" w:cs="Times New Roman"/>
          <w:sz w:val="24"/>
          <w:szCs w:val="24"/>
          <w:lang w:val="en-US"/>
        </w:rPr>
        <w:t>Health</w:t>
      </w:r>
      <w:r w:rsidR="00554568" w:rsidRPr="00554568">
        <w:rPr>
          <w:rFonts w:ascii="Arial Narrow" w:hAnsi="Arial Narrow" w:cs="Times New Roman"/>
          <w:sz w:val="24"/>
          <w:szCs w:val="24"/>
        </w:rPr>
        <w:t xml:space="preserve">. </w:t>
      </w:r>
      <w:r w:rsidR="00554568">
        <w:rPr>
          <w:rFonts w:ascii="Arial Narrow" w:hAnsi="Arial Narrow" w:cs="Times New Roman"/>
          <w:sz w:val="24"/>
          <w:szCs w:val="24"/>
        </w:rPr>
        <w:t xml:space="preserve">Κάθε αρχή διαθέτει δικό της κανονιστικό πλαίσιο αδειοδότησης </w:t>
      </w:r>
      <w:r w:rsidR="004B0EE7">
        <w:rPr>
          <w:rFonts w:ascii="Arial Narrow" w:hAnsi="Arial Narrow" w:cs="Times New Roman"/>
          <w:sz w:val="24"/>
          <w:szCs w:val="24"/>
        </w:rPr>
        <w:t xml:space="preserve">και εποπτείας, αν και βρίσκεται σε εξέλιξη η δημιουργία ενιαίας ψηφιακής </w:t>
      </w:r>
      <w:r w:rsidR="006443F2">
        <w:rPr>
          <w:rFonts w:ascii="Arial Narrow" w:hAnsi="Arial Narrow" w:cs="Times New Roman"/>
          <w:sz w:val="24"/>
          <w:szCs w:val="24"/>
        </w:rPr>
        <w:t xml:space="preserve">πλατφόρμας αδειοδότησης επαγγελματιών υγείας σε εθνικό επίπεδο. </w:t>
      </w:r>
    </w:p>
    <w:p w14:paraId="3BFFF04A" w14:textId="2CBE88B5" w:rsidR="006775F9" w:rsidRDefault="006775F9" w:rsidP="00AD0EEA">
      <w:pPr>
        <w:jc w:val="both"/>
        <w:rPr>
          <w:rFonts w:ascii="Arial Narrow" w:hAnsi="Arial Narrow" w:cs="Times New Roman"/>
          <w:sz w:val="24"/>
          <w:szCs w:val="24"/>
        </w:rPr>
      </w:pPr>
      <w:r>
        <w:rPr>
          <w:rFonts w:ascii="Arial Narrow" w:hAnsi="Arial Narrow" w:cs="Times New Roman"/>
          <w:sz w:val="24"/>
          <w:szCs w:val="24"/>
        </w:rPr>
        <w:t xml:space="preserve">Η αγορά υγείας αποτελεί μία από τις μεγαλύτερες αγορές υπηρεσιών των ΗΑΕ. Οι συνολικές δαπάνες υγείας εκτιμόνται σε &gt;90 δις </w:t>
      </w:r>
      <w:r>
        <w:rPr>
          <w:rFonts w:ascii="Arial Narrow" w:hAnsi="Arial Narrow" w:cs="Times New Roman"/>
          <w:sz w:val="24"/>
          <w:szCs w:val="24"/>
          <w:lang w:val="en-US"/>
        </w:rPr>
        <w:t>AED</w:t>
      </w:r>
      <w:r w:rsidRPr="0079786D">
        <w:rPr>
          <w:rFonts w:ascii="Arial Narrow" w:hAnsi="Arial Narrow" w:cs="Times New Roman"/>
          <w:sz w:val="24"/>
          <w:szCs w:val="24"/>
        </w:rPr>
        <w:t xml:space="preserve"> (</w:t>
      </w:r>
      <w:r w:rsidR="0079786D">
        <w:rPr>
          <w:rFonts w:ascii="Arial Narrow" w:hAnsi="Arial Narrow" w:cs="Times New Roman"/>
          <w:sz w:val="24"/>
          <w:szCs w:val="24"/>
        </w:rPr>
        <w:t>Ντίρχαμ), ενώ η συμμετοχή στο ΑΕΠ ανέρχεται σε 5%. Για το χρονικό διάστημα 2025-2029 προβλέπεται ετήσια αύξηση κατά 4,6%. Υπό ανάπτυξη έργα εκτιμώνται &gt;700 και οι προβλεπόμενες επενδύσεις ανέρχονται σε &gt;60 δις $</w:t>
      </w:r>
      <w:r w:rsidR="009B21A8">
        <w:rPr>
          <w:rFonts w:ascii="Arial Narrow" w:hAnsi="Arial Narrow" w:cs="Times New Roman"/>
          <w:sz w:val="24"/>
          <w:szCs w:val="24"/>
        </w:rPr>
        <w:t>.</w:t>
      </w:r>
    </w:p>
    <w:p w14:paraId="07D7DBDE" w14:textId="481E5EF1" w:rsidR="0049716C" w:rsidRDefault="009B21A8" w:rsidP="00AD0EEA">
      <w:pPr>
        <w:jc w:val="both"/>
        <w:rPr>
          <w:rFonts w:ascii="Arial Narrow" w:hAnsi="Arial Narrow" w:cs="Times New Roman"/>
          <w:sz w:val="24"/>
          <w:szCs w:val="24"/>
        </w:rPr>
      </w:pPr>
      <w:r>
        <w:rPr>
          <w:rFonts w:ascii="Arial Narrow" w:hAnsi="Arial Narrow" w:cs="Times New Roman"/>
          <w:sz w:val="24"/>
          <w:szCs w:val="24"/>
        </w:rPr>
        <w:t xml:space="preserve">Το σύστημα υγείας αποτελείται από τον δημόσιο τομέα (νοσοκομεία, κέντρα πρωτοβάθμιας περίθαλψης και εξειδικευμένα ιατρικά κέντρα και τον ιδιωτικό τομέα, όπου περισσότερο από το ήμισυ των υπηρεσιών υγείας παρέχεται από ιδιωτικούς ομίλους </w:t>
      </w:r>
      <w:r w:rsidR="0049716C" w:rsidRPr="0049716C">
        <w:rPr>
          <w:rFonts w:ascii="Arial Narrow" w:hAnsi="Arial Narrow" w:cs="Times New Roman"/>
          <w:sz w:val="24"/>
          <w:szCs w:val="24"/>
        </w:rPr>
        <w:t>(</w:t>
      </w:r>
      <w:r w:rsidR="0049716C">
        <w:rPr>
          <w:rFonts w:ascii="Arial Narrow" w:hAnsi="Arial Narrow" w:cs="Times New Roman"/>
          <w:sz w:val="24"/>
          <w:szCs w:val="24"/>
          <w:lang w:val="en-US"/>
        </w:rPr>
        <w:t>PureHealth</w:t>
      </w:r>
      <w:r w:rsidR="0049716C" w:rsidRPr="0049716C">
        <w:rPr>
          <w:rFonts w:ascii="Arial Narrow" w:hAnsi="Arial Narrow" w:cs="Times New Roman"/>
          <w:sz w:val="24"/>
          <w:szCs w:val="24"/>
        </w:rPr>
        <w:t xml:space="preserve">, </w:t>
      </w:r>
      <w:r w:rsidR="0049716C">
        <w:rPr>
          <w:rFonts w:ascii="Arial Narrow" w:hAnsi="Arial Narrow" w:cs="Times New Roman"/>
          <w:sz w:val="24"/>
          <w:szCs w:val="24"/>
          <w:lang w:val="en-US"/>
        </w:rPr>
        <w:t>SEHA</w:t>
      </w:r>
      <w:r w:rsidR="0049716C" w:rsidRPr="0049716C">
        <w:rPr>
          <w:rFonts w:ascii="Arial Narrow" w:hAnsi="Arial Narrow" w:cs="Times New Roman"/>
          <w:sz w:val="24"/>
          <w:szCs w:val="24"/>
        </w:rPr>
        <w:t xml:space="preserve">, </w:t>
      </w:r>
      <w:r w:rsidR="0049716C">
        <w:rPr>
          <w:rFonts w:ascii="Arial Narrow" w:hAnsi="Arial Narrow" w:cs="Times New Roman"/>
          <w:sz w:val="24"/>
          <w:szCs w:val="24"/>
          <w:lang w:val="en-US"/>
        </w:rPr>
        <w:t>Mediclinic</w:t>
      </w:r>
      <w:r w:rsidR="0049716C" w:rsidRPr="0049716C">
        <w:rPr>
          <w:rFonts w:ascii="Arial Narrow" w:hAnsi="Arial Narrow" w:cs="Times New Roman"/>
          <w:sz w:val="24"/>
          <w:szCs w:val="24"/>
        </w:rPr>
        <w:t xml:space="preserve"> </w:t>
      </w:r>
      <w:r w:rsidR="0049716C">
        <w:rPr>
          <w:rFonts w:ascii="Arial Narrow" w:hAnsi="Arial Narrow" w:cs="Times New Roman"/>
          <w:sz w:val="24"/>
          <w:szCs w:val="24"/>
          <w:lang w:val="en-US"/>
        </w:rPr>
        <w:t>Middle</w:t>
      </w:r>
      <w:r w:rsidR="0049716C" w:rsidRPr="0049716C">
        <w:rPr>
          <w:rFonts w:ascii="Arial Narrow" w:hAnsi="Arial Narrow" w:cs="Times New Roman"/>
          <w:sz w:val="24"/>
          <w:szCs w:val="24"/>
        </w:rPr>
        <w:t xml:space="preserve"> </w:t>
      </w:r>
      <w:r w:rsidR="0049716C">
        <w:rPr>
          <w:rFonts w:ascii="Arial Narrow" w:hAnsi="Arial Narrow" w:cs="Times New Roman"/>
          <w:sz w:val="24"/>
          <w:szCs w:val="24"/>
          <w:lang w:val="en-US"/>
        </w:rPr>
        <w:t>East</w:t>
      </w:r>
      <w:r w:rsidR="0049716C" w:rsidRPr="0049716C">
        <w:rPr>
          <w:rFonts w:ascii="Arial Narrow" w:hAnsi="Arial Narrow" w:cs="Times New Roman"/>
          <w:sz w:val="24"/>
          <w:szCs w:val="24"/>
        </w:rPr>
        <w:t xml:space="preserve">, </w:t>
      </w:r>
      <w:r w:rsidR="0049716C">
        <w:rPr>
          <w:rFonts w:ascii="Arial Narrow" w:hAnsi="Arial Narrow" w:cs="Times New Roman"/>
          <w:sz w:val="24"/>
          <w:szCs w:val="24"/>
          <w:lang w:val="en-US"/>
        </w:rPr>
        <w:t>NMC</w:t>
      </w:r>
      <w:r w:rsidR="0049716C" w:rsidRPr="0049716C">
        <w:rPr>
          <w:rFonts w:ascii="Arial Narrow" w:hAnsi="Arial Narrow" w:cs="Times New Roman"/>
          <w:sz w:val="24"/>
          <w:szCs w:val="24"/>
        </w:rPr>
        <w:t xml:space="preserve"> </w:t>
      </w:r>
      <w:r w:rsidR="0049716C">
        <w:rPr>
          <w:rFonts w:ascii="Arial Narrow" w:hAnsi="Arial Narrow" w:cs="Times New Roman"/>
          <w:sz w:val="24"/>
          <w:szCs w:val="24"/>
          <w:lang w:val="en-US"/>
        </w:rPr>
        <w:t>HealthCare</w:t>
      </w:r>
      <w:r w:rsidR="0049716C" w:rsidRPr="0049716C">
        <w:rPr>
          <w:rFonts w:ascii="Arial Narrow" w:hAnsi="Arial Narrow" w:cs="Times New Roman"/>
          <w:sz w:val="24"/>
          <w:szCs w:val="24"/>
        </w:rPr>
        <w:t xml:space="preserve">, </w:t>
      </w:r>
      <w:r w:rsidR="0049716C">
        <w:rPr>
          <w:rFonts w:ascii="Arial Narrow" w:hAnsi="Arial Narrow" w:cs="Times New Roman"/>
          <w:sz w:val="24"/>
          <w:szCs w:val="24"/>
          <w:lang w:val="en-US"/>
        </w:rPr>
        <w:t>Burjeel</w:t>
      </w:r>
      <w:r w:rsidR="0049716C" w:rsidRPr="0049716C">
        <w:rPr>
          <w:rFonts w:ascii="Arial Narrow" w:hAnsi="Arial Narrow" w:cs="Times New Roman"/>
          <w:sz w:val="24"/>
          <w:szCs w:val="24"/>
        </w:rPr>
        <w:t xml:space="preserve"> </w:t>
      </w:r>
      <w:r w:rsidR="0049716C">
        <w:rPr>
          <w:rFonts w:ascii="Arial Narrow" w:hAnsi="Arial Narrow" w:cs="Times New Roman"/>
          <w:sz w:val="24"/>
          <w:szCs w:val="24"/>
          <w:lang w:val="en-US"/>
        </w:rPr>
        <w:t>Holdings</w:t>
      </w:r>
      <w:r w:rsidR="0049716C" w:rsidRPr="0049716C">
        <w:rPr>
          <w:rFonts w:ascii="Arial Narrow" w:hAnsi="Arial Narrow" w:cs="Times New Roman"/>
          <w:sz w:val="24"/>
          <w:szCs w:val="24"/>
        </w:rPr>
        <w:t xml:space="preserve"> &amp; </w:t>
      </w:r>
      <w:r w:rsidR="0049716C">
        <w:rPr>
          <w:rFonts w:ascii="Arial Narrow" w:hAnsi="Arial Narrow" w:cs="Times New Roman"/>
          <w:sz w:val="24"/>
          <w:szCs w:val="24"/>
          <w:lang w:val="en-US"/>
        </w:rPr>
        <w:t>Aster</w:t>
      </w:r>
      <w:r w:rsidR="0049716C" w:rsidRPr="0049716C">
        <w:rPr>
          <w:rFonts w:ascii="Arial Narrow" w:hAnsi="Arial Narrow" w:cs="Times New Roman"/>
          <w:sz w:val="24"/>
          <w:szCs w:val="24"/>
        </w:rPr>
        <w:t xml:space="preserve"> </w:t>
      </w:r>
      <w:r w:rsidR="0049716C">
        <w:rPr>
          <w:rFonts w:ascii="Arial Narrow" w:hAnsi="Arial Narrow" w:cs="Times New Roman"/>
          <w:sz w:val="24"/>
          <w:szCs w:val="24"/>
          <w:lang w:val="en-US"/>
        </w:rPr>
        <w:t>DM</w:t>
      </w:r>
      <w:r w:rsidR="0049716C" w:rsidRPr="0049716C">
        <w:rPr>
          <w:rFonts w:ascii="Arial Narrow" w:hAnsi="Arial Narrow" w:cs="Times New Roman"/>
          <w:sz w:val="24"/>
          <w:szCs w:val="24"/>
        </w:rPr>
        <w:t xml:space="preserve"> </w:t>
      </w:r>
      <w:r w:rsidR="0049716C">
        <w:rPr>
          <w:rFonts w:ascii="Arial Narrow" w:hAnsi="Arial Narrow" w:cs="Times New Roman"/>
          <w:sz w:val="24"/>
          <w:szCs w:val="24"/>
          <w:lang w:val="en-US"/>
        </w:rPr>
        <w:t>Healthcare</w:t>
      </w:r>
      <w:r w:rsidR="0049716C" w:rsidRPr="0049716C">
        <w:rPr>
          <w:rFonts w:ascii="Arial Narrow" w:hAnsi="Arial Narrow" w:cs="Times New Roman"/>
          <w:sz w:val="24"/>
          <w:szCs w:val="24"/>
        </w:rPr>
        <w:t xml:space="preserve">). </w:t>
      </w:r>
      <w:r w:rsidR="0049716C">
        <w:rPr>
          <w:rFonts w:ascii="Arial Narrow" w:hAnsi="Arial Narrow" w:cs="Times New Roman"/>
          <w:sz w:val="24"/>
          <w:szCs w:val="24"/>
        </w:rPr>
        <w:t xml:space="preserve">Τα ιδιωτικά κέντρα και οι ιδιωτικοί όμιλοι συνεχίζουν να επεκτείνονται μέσω συγχωνεύσεων, εξαγορών και νέων επενδύσεων. </w:t>
      </w:r>
    </w:p>
    <w:p w14:paraId="4735482D" w14:textId="60054F3F" w:rsidR="0049716C" w:rsidRDefault="0049716C" w:rsidP="00AD0EEA">
      <w:pPr>
        <w:jc w:val="both"/>
        <w:rPr>
          <w:rFonts w:ascii="Arial Narrow" w:hAnsi="Arial Narrow" w:cs="Times New Roman"/>
          <w:sz w:val="24"/>
          <w:szCs w:val="24"/>
        </w:rPr>
      </w:pPr>
      <w:r>
        <w:rPr>
          <w:rFonts w:ascii="Arial Narrow" w:hAnsi="Arial Narrow" w:cs="Times New Roman"/>
          <w:sz w:val="24"/>
          <w:szCs w:val="24"/>
        </w:rPr>
        <w:t>Όσον αφορά τις υποδομές στο Ντουμπάϊ λειτουργούν περίπου 5.800 αδειοδοτημένες μονάδες υγείας, 55 Νοσοκομεία, 60 κέντρα ημερήσιας νοσηλίας, 68 εξειδικευμένες κλινικές, 222 κέντρα κατοίκον νοσηλείας και περισσότερες από 100 μονάδες εναλλακτικής ιατρικής. Στο εμιράτο του Αμπού – Ντάμπι λειτουργούν περισσότερα από 65 νοσοκομεία, περισσότερες από 8.900 νοσοκομειακές κλίνες, περισσότερα από 1.500 ιατρικά κέντρα και</w:t>
      </w:r>
      <w:r w:rsidR="00357661">
        <w:rPr>
          <w:rFonts w:ascii="Arial Narrow" w:hAnsi="Arial Narrow" w:cs="Times New Roman"/>
          <w:sz w:val="24"/>
          <w:szCs w:val="24"/>
        </w:rPr>
        <w:t xml:space="preserve"> περισσότερες από 770 κλινικές. </w:t>
      </w:r>
    </w:p>
    <w:p w14:paraId="46BE0E3F" w14:textId="7649F34E" w:rsidR="00357661" w:rsidRDefault="00357661" w:rsidP="00AD0EEA">
      <w:pPr>
        <w:jc w:val="both"/>
        <w:rPr>
          <w:rFonts w:ascii="Arial Narrow" w:hAnsi="Arial Narrow" w:cs="Times New Roman"/>
          <w:sz w:val="24"/>
          <w:szCs w:val="24"/>
        </w:rPr>
      </w:pPr>
      <w:r>
        <w:rPr>
          <w:rFonts w:ascii="Arial Narrow" w:hAnsi="Arial Narrow" w:cs="Times New Roman"/>
          <w:sz w:val="24"/>
          <w:szCs w:val="24"/>
        </w:rPr>
        <w:t>Όσον αφορά τη χρηματοδότηση του συστήματος υγείας, αυτή προέρχεται από τον κρατικό προϋπολογισμό, ιδιτωτικών ασφαλιστικών εταιρειών, εργοδοτικής ασφάλισης, ιδιωτικών πληρωμών &amp; συμπράξεων δημόσιου και ιδιωτικού τομέα (</w:t>
      </w:r>
      <w:r>
        <w:rPr>
          <w:rFonts w:ascii="Arial Narrow" w:hAnsi="Arial Narrow" w:cs="Times New Roman"/>
          <w:sz w:val="24"/>
          <w:szCs w:val="24"/>
          <w:lang w:val="en-US"/>
        </w:rPr>
        <w:t>PPP</w:t>
      </w:r>
      <w:r w:rsidRPr="00357661">
        <w:rPr>
          <w:rFonts w:ascii="Arial Narrow" w:hAnsi="Arial Narrow" w:cs="Times New Roman"/>
          <w:sz w:val="24"/>
          <w:szCs w:val="24"/>
        </w:rPr>
        <w:t xml:space="preserve">). </w:t>
      </w:r>
      <w:r>
        <w:rPr>
          <w:rFonts w:ascii="Arial Narrow" w:hAnsi="Arial Narrow" w:cs="Times New Roman"/>
          <w:sz w:val="24"/>
          <w:szCs w:val="24"/>
          <w:lang w:val="en-US"/>
        </w:rPr>
        <w:t>H</w:t>
      </w:r>
      <w:r w:rsidRPr="00357661">
        <w:rPr>
          <w:rFonts w:ascii="Arial Narrow" w:hAnsi="Arial Narrow" w:cs="Times New Roman"/>
          <w:sz w:val="24"/>
          <w:szCs w:val="24"/>
        </w:rPr>
        <w:t xml:space="preserve"> </w:t>
      </w:r>
      <w:r>
        <w:rPr>
          <w:rFonts w:ascii="Arial Narrow" w:hAnsi="Arial Narrow" w:cs="Times New Roman"/>
          <w:sz w:val="24"/>
          <w:szCs w:val="24"/>
        </w:rPr>
        <w:t xml:space="preserve">υποχρεωτική ασφάλιση υγείας εφαρμόζεται πλέον σε όλη τη χώρα, ενισχύοντας τη σταθερότητα της αγοράς και τη ζήτηση υπηρεσιών υγείας. Τα ΗΑΕ συγκαταλέγονται επίσης μεταξύ των πλέον ψηφιοποιημένων συστημάτων υγείας. Οι εφαρμογές αφορούν τον ηλεκτρονικό ιατριακό φάκελλο, την τηλεϊατρική, τα </w:t>
      </w:r>
      <w:r>
        <w:rPr>
          <w:rFonts w:ascii="Arial Narrow" w:hAnsi="Arial Narrow" w:cs="Times New Roman"/>
          <w:sz w:val="24"/>
          <w:szCs w:val="24"/>
          <w:lang w:val="en-US"/>
        </w:rPr>
        <w:t>AI</w:t>
      </w:r>
      <w:r w:rsidRPr="00357661">
        <w:rPr>
          <w:rFonts w:ascii="Arial Narrow" w:hAnsi="Arial Narrow" w:cs="Times New Roman"/>
          <w:sz w:val="24"/>
          <w:szCs w:val="24"/>
        </w:rPr>
        <w:t xml:space="preserve"> </w:t>
      </w:r>
      <w:r>
        <w:rPr>
          <w:rFonts w:ascii="Arial Narrow" w:hAnsi="Arial Narrow" w:cs="Times New Roman"/>
          <w:sz w:val="24"/>
          <w:szCs w:val="24"/>
          <w:lang w:val="en-US"/>
        </w:rPr>
        <w:t>Diagnostics</w:t>
      </w:r>
      <w:r w:rsidRPr="00357661">
        <w:rPr>
          <w:rFonts w:ascii="Arial Narrow" w:hAnsi="Arial Narrow" w:cs="Times New Roman"/>
          <w:sz w:val="24"/>
          <w:szCs w:val="24"/>
        </w:rPr>
        <w:t xml:space="preserve">, </w:t>
      </w:r>
      <w:r>
        <w:rPr>
          <w:rFonts w:ascii="Arial Narrow" w:hAnsi="Arial Narrow" w:cs="Times New Roman"/>
          <w:sz w:val="24"/>
          <w:szCs w:val="24"/>
          <w:lang w:val="en-US"/>
        </w:rPr>
        <w:t>Big</w:t>
      </w:r>
      <w:r w:rsidRPr="00357661">
        <w:rPr>
          <w:rFonts w:ascii="Arial Narrow" w:hAnsi="Arial Narrow" w:cs="Times New Roman"/>
          <w:sz w:val="24"/>
          <w:szCs w:val="24"/>
        </w:rPr>
        <w:t xml:space="preserve"> </w:t>
      </w:r>
      <w:r>
        <w:rPr>
          <w:rFonts w:ascii="Arial Narrow" w:hAnsi="Arial Narrow" w:cs="Times New Roman"/>
          <w:sz w:val="24"/>
          <w:szCs w:val="24"/>
          <w:lang w:val="en-US"/>
        </w:rPr>
        <w:t>Data</w:t>
      </w:r>
      <w:r w:rsidRPr="00357661">
        <w:rPr>
          <w:rFonts w:ascii="Arial Narrow" w:hAnsi="Arial Narrow" w:cs="Times New Roman"/>
          <w:sz w:val="24"/>
          <w:szCs w:val="24"/>
        </w:rPr>
        <w:t xml:space="preserve">, </w:t>
      </w:r>
      <w:r>
        <w:rPr>
          <w:rFonts w:ascii="Arial Narrow" w:hAnsi="Arial Narrow" w:cs="Times New Roman"/>
          <w:sz w:val="24"/>
          <w:szCs w:val="24"/>
          <w:lang w:val="en-US"/>
        </w:rPr>
        <w:t>Cloud</w:t>
      </w:r>
      <w:r w:rsidRPr="00357661">
        <w:rPr>
          <w:rFonts w:ascii="Arial Narrow" w:hAnsi="Arial Narrow" w:cs="Times New Roman"/>
          <w:sz w:val="24"/>
          <w:szCs w:val="24"/>
        </w:rPr>
        <w:t xml:space="preserve"> </w:t>
      </w:r>
      <w:r>
        <w:rPr>
          <w:rFonts w:ascii="Arial Narrow" w:hAnsi="Arial Narrow" w:cs="Times New Roman"/>
          <w:sz w:val="24"/>
          <w:szCs w:val="24"/>
          <w:lang w:val="en-US"/>
        </w:rPr>
        <w:t>Healthcare</w:t>
      </w:r>
      <w:r w:rsidRPr="00357661">
        <w:rPr>
          <w:rFonts w:ascii="Arial Narrow" w:hAnsi="Arial Narrow" w:cs="Times New Roman"/>
          <w:sz w:val="24"/>
          <w:szCs w:val="24"/>
        </w:rPr>
        <w:t xml:space="preserve">, </w:t>
      </w:r>
      <w:r>
        <w:rPr>
          <w:rFonts w:ascii="Arial Narrow" w:hAnsi="Arial Narrow" w:cs="Times New Roman"/>
          <w:sz w:val="24"/>
          <w:szCs w:val="24"/>
          <w:lang w:val="en-US"/>
        </w:rPr>
        <w:t>Mobile</w:t>
      </w:r>
      <w:r w:rsidRPr="00357661">
        <w:rPr>
          <w:rFonts w:ascii="Arial Narrow" w:hAnsi="Arial Narrow" w:cs="Times New Roman"/>
          <w:sz w:val="24"/>
          <w:szCs w:val="24"/>
        </w:rPr>
        <w:t xml:space="preserve"> </w:t>
      </w:r>
      <w:r>
        <w:rPr>
          <w:rFonts w:ascii="Arial Narrow" w:hAnsi="Arial Narrow" w:cs="Times New Roman"/>
          <w:sz w:val="24"/>
          <w:szCs w:val="24"/>
          <w:lang w:val="en-US"/>
        </w:rPr>
        <w:t>Health</w:t>
      </w:r>
      <w:r w:rsidRPr="00357661">
        <w:rPr>
          <w:rFonts w:ascii="Arial Narrow" w:hAnsi="Arial Narrow" w:cs="Times New Roman"/>
          <w:sz w:val="24"/>
          <w:szCs w:val="24"/>
        </w:rPr>
        <w:t xml:space="preserve">, </w:t>
      </w:r>
      <w:r>
        <w:rPr>
          <w:rFonts w:ascii="Arial Narrow" w:hAnsi="Arial Narrow" w:cs="Times New Roman"/>
          <w:sz w:val="24"/>
          <w:szCs w:val="24"/>
          <w:lang w:val="en-US"/>
        </w:rPr>
        <w:t>Wearables</w:t>
      </w:r>
      <w:r w:rsidRPr="00357661">
        <w:rPr>
          <w:rFonts w:ascii="Arial Narrow" w:hAnsi="Arial Narrow" w:cs="Times New Roman"/>
          <w:sz w:val="24"/>
          <w:szCs w:val="24"/>
        </w:rPr>
        <w:t xml:space="preserve">, </w:t>
      </w:r>
      <w:r>
        <w:rPr>
          <w:rFonts w:ascii="Arial Narrow" w:hAnsi="Arial Narrow" w:cs="Times New Roman"/>
          <w:sz w:val="24"/>
          <w:szCs w:val="24"/>
          <w:lang w:val="en-US"/>
        </w:rPr>
        <w:t>Robotics</w:t>
      </w:r>
      <w:r w:rsidRPr="00357661">
        <w:rPr>
          <w:rFonts w:ascii="Arial Narrow" w:hAnsi="Arial Narrow" w:cs="Times New Roman"/>
          <w:sz w:val="24"/>
          <w:szCs w:val="24"/>
        </w:rPr>
        <w:t xml:space="preserve">, </w:t>
      </w:r>
      <w:r>
        <w:rPr>
          <w:rFonts w:ascii="Arial Narrow" w:hAnsi="Arial Narrow" w:cs="Times New Roman"/>
          <w:sz w:val="24"/>
          <w:szCs w:val="24"/>
          <w:lang w:val="en-US"/>
        </w:rPr>
        <w:t>Blockchain</w:t>
      </w:r>
      <w:r w:rsidRPr="00357661">
        <w:rPr>
          <w:rFonts w:ascii="Arial Narrow" w:hAnsi="Arial Narrow" w:cs="Times New Roman"/>
          <w:sz w:val="24"/>
          <w:szCs w:val="24"/>
        </w:rPr>
        <w:t xml:space="preserve">. </w:t>
      </w:r>
      <w:r>
        <w:rPr>
          <w:rFonts w:ascii="Arial Narrow" w:hAnsi="Arial Narrow" w:cs="Times New Roman"/>
          <w:sz w:val="24"/>
          <w:szCs w:val="24"/>
        </w:rPr>
        <w:t xml:space="preserve">Το Αμπου – Ντάμπι χρησιμοποιεί το σύστημα </w:t>
      </w:r>
      <w:r>
        <w:rPr>
          <w:rFonts w:ascii="Arial Narrow" w:hAnsi="Arial Narrow" w:cs="Times New Roman"/>
          <w:sz w:val="24"/>
          <w:szCs w:val="24"/>
          <w:lang w:val="en-US"/>
        </w:rPr>
        <w:t>Malaffi</w:t>
      </w:r>
      <w:r w:rsidRPr="00357661">
        <w:rPr>
          <w:rFonts w:ascii="Arial Narrow" w:hAnsi="Arial Narrow" w:cs="Times New Roman"/>
          <w:sz w:val="24"/>
          <w:szCs w:val="24"/>
        </w:rPr>
        <w:t xml:space="preserve">, </w:t>
      </w:r>
      <w:r>
        <w:rPr>
          <w:rFonts w:ascii="Arial Narrow" w:hAnsi="Arial Narrow" w:cs="Times New Roman"/>
          <w:sz w:val="24"/>
          <w:szCs w:val="24"/>
        </w:rPr>
        <w:t xml:space="preserve">ενώ το Ντουμπάϊ επεκτείνει ολοκληρωμένες ψηφιακές υπηρεσίες μέσω της </w:t>
      </w:r>
      <w:r>
        <w:rPr>
          <w:rFonts w:ascii="Arial Narrow" w:hAnsi="Arial Narrow" w:cs="Times New Roman"/>
          <w:sz w:val="24"/>
          <w:szCs w:val="24"/>
          <w:lang w:val="en-US"/>
        </w:rPr>
        <w:t>DHA</w:t>
      </w:r>
      <w:r w:rsidRPr="00357661">
        <w:rPr>
          <w:rFonts w:ascii="Arial Narrow" w:hAnsi="Arial Narrow" w:cs="Times New Roman"/>
          <w:sz w:val="24"/>
          <w:szCs w:val="24"/>
        </w:rPr>
        <w:t xml:space="preserve">. </w:t>
      </w:r>
      <w:r w:rsidR="00986ED3">
        <w:rPr>
          <w:rFonts w:ascii="Arial Narrow" w:hAnsi="Arial Narrow" w:cs="Times New Roman"/>
          <w:sz w:val="24"/>
          <w:szCs w:val="24"/>
        </w:rPr>
        <w:t xml:space="preserve">Παράλληλα η κυβέρνηση προχωρά σε σημαντικές επενδύσεις στην </w:t>
      </w:r>
      <w:r w:rsidR="00986ED3">
        <w:rPr>
          <w:rFonts w:ascii="Arial Narrow" w:hAnsi="Arial Narrow" w:cs="Times New Roman"/>
          <w:sz w:val="24"/>
          <w:szCs w:val="24"/>
          <w:lang w:val="en-US"/>
        </w:rPr>
        <w:t>AI</w:t>
      </w:r>
      <w:r w:rsidR="00986ED3" w:rsidRPr="00986ED3">
        <w:rPr>
          <w:rFonts w:ascii="Arial Narrow" w:hAnsi="Arial Narrow" w:cs="Times New Roman"/>
          <w:sz w:val="24"/>
          <w:szCs w:val="24"/>
        </w:rPr>
        <w:t xml:space="preserve">, </w:t>
      </w:r>
      <w:r w:rsidR="00986ED3">
        <w:rPr>
          <w:rFonts w:ascii="Arial Narrow" w:hAnsi="Arial Narrow" w:cs="Times New Roman"/>
          <w:sz w:val="24"/>
          <w:szCs w:val="24"/>
        </w:rPr>
        <w:t>με τις κυριώτερες εφαρμογές να περιλαμβάνουν διάγνωση καρκίνου, πρόβλεψη διαβήτη, καρδιολογική ανάλυση, ακτινολογία, εξατομικευμένη ιατρικ</w:t>
      </w:r>
      <w:r w:rsidR="00AF4175">
        <w:rPr>
          <w:rFonts w:ascii="Arial Narrow" w:hAnsi="Arial Narrow" w:cs="Times New Roman"/>
          <w:sz w:val="24"/>
          <w:szCs w:val="24"/>
        </w:rPr>
        <w:t xml:space="preserve">ή &amp; γονιδιωματική. Το Αμπου Ντάμπι έχει ήδη αναπτύξει εργαλεία </w:t>
      </w:r>
      <w:r w:rsidR="00AF4175">
        <w:rPr>
          <w:rFonts w:ascii="Arial Narrow" w:hAnsi="Arial Narrow" w:cs="Times New Roman"/>
          <w:sz w:val="24"/>
          <w:szCs w:val="24"/>
          <w:lang w:val="en-US"/>
        </w:rPr>
        <w:t>AI</w:t>
      </w:r>
      <w:r w:rsidR="00AF4175" w:rsidRPr="00AF4175">
        <w:rPr>
          <w:rFonts w:ascii="Arial Narrow" w:hAnsi="Arial Narrow" w:cs="Times New Roman"/>
          <w:sz w:val="24"/>
          <w:szCs w:val="24"/>
        </w:rPr>
        <w:t xml:space="preserve"> </w:t>
      </w:r>
      <w:r w:rsidR="00AF4175">
        <w:rPr>
          <w:rFonts w:ascii="Arial Narrow" w:hAnsi="Arial Narrow" w:cs="Times New Roman"/>
          <w:sz w:val="24"/>
          <w:szCs w:val="24"/>
        </w:rPr>
        <w:t xml:space="preserve">για την έγκαιρη διάγνωση χρόνιων νοσημάτων. </w:t>
      </w:r>
    </w:p>
    <w:p w14:paraId="7AD85201" w14:textId="214BD00C" w:rsidR="00D864E8" w:rsidRDefault="00AF4175" w:rsidP="00AD0EEA">
      <w:pPr>
        <w:jc w:val="both"/>
        <w:rPr>
          <w:rFonts w:ascii="Arial Narrow" w:hAnsi="Arial Narrow" w:cs="Times New Roman"/>
          <w:sz w:val="24"/>
          <w:szCs w:val="24"/>
        </w:rPr>
      </w:pPr>
      <w:r>
        <w:rPr>
          <w:rFonts w:ascii="Arial Narrow" w:hAnsi="Arial Narrow" w:cs="Times New Roman"/>
          <w:sz w:val="24"/>
          <w:szCs w:val="24"/>
        </w:rPr>
        <w:t xml:space="preserve">Στον φαρμακευτικό τομέα η κυβέρνηση επιδιώκει αύξηση της τοπικής παραγωγής, προσέλκυση διεθνών φαρμακοβιομηχανιών, ανάπτυξη βιοτεχνολογίας, παραγωγή βιοφαρμάκων &amp; δημιουργία κέντρων έρευνας. Στον ιατρικο τουρισμό το Ντουμπάϊ αποτελεί έναν από τους σημαντικότερους προορισμούς ιατρικού τουρισμού. Οι βασικές υπηρεσίες περιλαμβάνουν ορθοπεδική, καρδιοχειρουργική, πλαστική χειρουργική, οδοντιατρική, γονιμότητα, οφθαλμολογία και ογκολογία. Ο φαρμακευτικός κλάδος απασχολεί εκατοντάδες χιλιάδες επαγγελματίες, ενώ συνεχείς ανάγκες υπάρχουν για ιατρούς, νοσηλευτές, βιοϊατρικούς μηχανικούς, ειδικούς σε </w:t>
      </w:r>
      <w:r>
        <w:rPr>
          <w:rFonts w:ascii="Arial Narrow" w:hAnsi="Arial Narrow" w:cs="Times New Roman"/>
          <w:sz w:val="24"/>
          <w:szCs w:val="24"/>
          <w:lang w:val="en-US"/>
        </w:rPr>
        <w:t>AI</w:t>
      </w:r>
      <w:r w:rsidR="00D864E8">
        <w:rPr>
          <w:rFonts w:ascii="Arial Narrow" w:hAnsi="Arial Narrow" w:cs="Times New Roman"/>
          <w:sz w:val="24"/>
          <w:szCs w:val="24"/>
        </w:rPr>
        <w:t xml:space="preserve">, βιοπληροφορικούς &amp; φαρμακοποιούς. </w:t>
      </w:r>
    </w:p>
    <w:p w14:paraId="74791E85" w14:textId="14BAC717" w:rsidR="00D864E8" w:rsidRDefault="00D864E8" w:rsidP="00AD0EEA">
      <w:pPr>
        <w:jc w:val="both"/>
        <w:rPr>
          <w:rFonts w:ascii="Arial Narrow" w:hAnsi="Arial Narrow" w:cs="Times New Roman"/>
          <w:sz w:val="24"/>
          <w:szCs w:val="24"/>
        </w:rPr>
      </w:pPr>
      <w:r>
        <w:rPr>
          <w:rFonts w:ascii="Arial Narrow" w:hAnsi="Arial Narrow" w:cs="Times New Roman"/>
          <w:sz w:val="24"/>
          <w:szCs w:val="24"/>
        </w:rPr>
        <w:t>Ως δυνατά σημεία του φαρμακευτικού κλάδου είναι οι σύγχρονες υποδομές, η υψηλή κρατική χρηματοδότηση, η ψηφιοποίηση, η υψηλή ποιότητα υπηρεσιών &amp; η πολιτική σταθερότητα. Ως αδυναμίες της φαρμακευτικής αγοράς καταγράφονται η μεγάλη εξάρτηση από αλλοδαπό ανθρώπινο δυναμικό, το υψηλό λειτουργικό κόστος και η περιορισμένη εγχώρια φαρμακευτική παραγωγή και τέλος, ως απειλές καταγράφονται η αύξηση κόστους υγείας, η έλλειψη εξειδικευμένου προσωπικού, οι συνεχείς γεωπολτικές εντάσεις και η κυβερνοασφάλεια στο τομέα της υγείας. Βασικές κατευθύνσεις ανάπτυξης θεωρούνται αύξηση των ιδιωτικών επενδύσεων, πλήρης ψηφιοποίηση των υπηρεσιών, επέκταση της τεχνητής νοημοσύνης, ανάπτυξη της γονιδιωματικής, ενίσχυση της βιοφαρμακευτικής παραγωγής, επέκταση του ιατρικού τουρισμού, δημιουργία «έξυπνων» νοσοκομείων και βελτίωση της βιωσιμότητας του συστήματος υγείας. Οι στόχοι αυτοί εντάσσονται στο εθνικό όραμα</w:t>
      </w:r>
      <w:r w:rsidR="00754F2A">
        <w:rPr>
          <w:rFonts w:ascii="Arial Narrow" w:hAnsi="Arial Narrow" w:cs="Times New Roman"/>
          <w:sz w:val="24"/>
          <w:szCs w:val="24"/>
        </w:rPr>
        <w:t xml:space="preserve"> «</w:t>
      </w:r>
      <w:r w:rsidR="00F01F6F">
        <w:rPr>
          <w:rFonts w:ascii="Arial Narrow" w:hAnsi="Arial Narrow" w:cs="Times New Roman"/>
          <w:sz w:val="24"/>
          <w:szCs w:val="24"/>
          <w:lang w:val="en-US"/>
        </w:rPr>
        <w:t>We</w:t>
      </w:r>
      <w:r w:rsidR="00F01F6F" w:rsidRPr="00F01F6F">
        <w:rPr>
          <w:rFonts w:ascii="Arial Narrow" w:hAnsi="Arial Narrow" w:cs="Times New Roman"/>
          <w:sz w:val="24"/>
          <w:szCs w:val="24"/>
        </w:rPr>
        <w:t xml:space="preserve"> </w:t>
      </w:r>
      <w:r w:rsidR="00F01F6F">
        <w:rPr>
          <w:rFonts w:ascii="Arial Narrow" w:hAnsi="Arial Narrow" w:cs="Times New Roman"/>
          <w:sz w:val="24"/>
          <w:szCs w:val="24"/>
          <w:lang w:val="en-US"/>
        </w:rPr>
        <w:t>the</w:t>
      </w:r>
      <w:r w:rsidR="00F01F6F" w:rsidRPr="00F01F6F">
        <w:rPr>
          <w:rFonts w:ascii="Arial Narrow" w:hAnsi="Arial Narrow" w:cs="Times New Roman"/>
          <w:sz w:val="24"/>
          <w:szCs w:val="24"/>
        </w:rPr>
        <w:t xml:space="preserve"> </w:t>
      </w:r>
      <w:r w:rsidR="00F01F6F">
        <w:rPr>
          <w:rFonts w:ascii="Arial Narrow" w:hAnsi="Arial Narrow" w:cs="Times New Roman"/>
          <w:sz w:val="24"/>
          <w:szCs w:val="24"/>
          <w:lang w:val="en-US"/>
        </w:rPr>
        <w:t>UAE</w:t>
      </w:r>
      <w:r w:rsidR="00F01F6F" w:rsidRPr="00F01F6F">
        <w:rPr>
          <w:rFonts w:ascii="Arial Narrow" w:hAnsi="Arial Narrow" w:cs="Times New Roman"/>
          <w:sz w:val="24"/>
          <w:szCs w:val="24"/>
        </w:rPr>
        <w:t xml:space="preserve"> 2031</w:t>
      </w:r>
      <w:r w:rsidR="00F01F6F">
        <w:rPr>
          <w:rFonts w:ascii="Arial Narrow" w:hAnsi="Arial Narrow" w:cs="Times New Roman"/>
          <w:sz w:val="24"/>
          <w:szCs w:val="24"/>
        </w:rPr>
        <w:t xml:space="preserve">» και στις ομοσπονδιακές </w:t>
      </w:r>
      <w:r w:rsidR="006B3321">
        <w:rPr>
          <w:rFonts w:ascii="Arial Narrow" w:hAnsi="Arial Narrow" w:cs="Times New Roman"/>
          <w:sz w:val="24"/>
          <w:szCs w:val="24"/>
        </w:rPr>
        <w:t>στρατηγικές για την υγεία.</w:t>
      </w:r>
    </w:p>
    <w:p w14:paraId="6BCE9463" w14:textId="59369F6F" w:rsidR="00357661" w:rsidRDefault="006B3321" w:rsidP="00AD0EEA">
      <w:pPr>
        <w:jc w:val="both"/>
        <w:rPr>
          <w:rFonts w:ascii="Arial Narrow" w:hAnsi="Arial Narrow" w:cs="Times New Roman"/>
          <w:b/>
          <w:sz w:val="24"/>
          <w:szCs w:val="24"/>
        </w:rPr>
      </w:pPr>
      <w:r>
        <w:rPr>
          <w:rFonts w:ascii="Arial Narrow" w:hAnsi="Arial Narrow" w:cs="Times New Roman"/>
          <w:b/>
          <w:sz w:val="24"/>
          <w:szCs w:val="24"/>
        </w:rPr>
        <w:t>Η συνδυασμένη στήριξη του κράτους, η αυξανόμενη συμμετοχή του ιδιωτικού τομέα, η καθολική εφαρμογή της ασφάλισης υγείας, οι σημαντικές επενδύσεις σε ψηφιακές τεχνολογίες και τεχνητή νοημοσύνη</w:t>
      </w:r>
      <w:r w:rsidR="005C02A3">
        <w:rPr>
          <w:rFonts w:ascii="Arial Narrow" w:hAnsi="Arial Narrow" w:cs="Times New Roman"/>
          <w:b/>
          <w:sz w:val="24"/>
          <w:szCs w:val="24"/>
        </w:rPr>
        <w:t xml:space="preserve">, καθώς και η φιλοδοξία της χώρας να εξελιχθεί σε διεθνή κόμβο ιατρικών υπηρεσιών και βιοεπιστημών, δημιουργούν ισχυρές προοπτικές ανάπτυξης έως το 2031. </w:t>
      </w:r>
    </w:p>
    <w:p w14:paraId="1F8F54BF" w14:textId="24B0A815" w:rsidR="002E382A" w:rsidRDefault="00022BD6" w:rsidP="00022BD6">
      <w:pPr>
        <w:jc w:val="center"/>
        <w:rPr>
          <w:rFonts w:ascii="Arial Narrow" w:hAnsi="Arial Narrow" w:cs="Times New Roman"/>
          <w:b/>
          <w:color w:val="1F497D" w:themeColor="text2"/>
          <w:sz w:val="28"/>
          <w:szCs w:val="28"/>
        </w:rPr>
      </w:pPr>
      <w:r>
        <w:rPr>
          <w:rFonts w:ascii="Arial Narrow" w:hAnsi="Arial Narrow" w:cs="Times New Roman"/>
          <w:b/>
          <w:color w:val="1F497D" w:themeColor="text2"/>
          <w:sz w:val="28"/>
          <w:szCs w:val="28"/>
          <w:lang w:val="en-US"/>
        </w:rPr>
        <w:t xml:space="preserve">30. </w:t>
      </w:r>
      <w:r w:rsidR="002E382A" w:rsidRPr="002E382A">
        <w:rPr>
          <w:rFonts w:ascii="Arial Narrow" w:hAnsi="Arial Narrow" w:cs="Times New Roman"/>
          <w:b/>
          <w:color w:val="1F497D" w:themeColor="text2"/>
          <w:sz w:val="28"/>
          <w:szCs w:val="28"/>
        </w:rPr>
        <w:t>ΟΙΚΟΝΟΜΙΑ ΕΠΤΑ ΕΜΙΡΑΤΩΝ</w:t>
      </w:r>
    </w:p>
    <w:p w14:paraId="1F7CC3BC" w14:textId="7C9C0DF0" w:rsidR="002E382A" w:rsidRDefault="00022BD6" w:rsidP="00AD0EEA">
      <w:pPr>
        <w:jc w:val="both"/>
        <w:rPr>
          <w:rFonts w:ascii="Arial Narrow" w:hAnsi="Arial Narrow" w:cs="Times New Roman"/>
          <w:b/>
          <w:color w:val="1F497D" w:themeColor="text2"/>
          <w:sz w:val="28"/>
          <w:szCs w:val="28"/>
        </w:rPr>
      </w:pPr>
      <w:r w:rsidRPr="00022BD6">
        <w:rPr>
          <w:rFonts w:ascii="Arial Narrow" w:hAnsi="Arial Narrow" w:cs="Times New Roman"/>
          <w:b/>
          <w:color w:val="1F497D" w:themeColor="text2"/>
          <w:sz w:val="28"/>
          <w:szCs w:val="28"/>
        </w:rPr>
        <w:t xml:space="preserve">30.1. </w:t>
      </w:r>
      <w:r w:rsidR="002E382A" w:rsidRPr="002E382A">
        <w:rPr>
          <w:rFonts w:ascii="Arial Narrow" w:hAnsi="Arial Narrow" w:cs="Times New Roman"/>
          <w:b/>
          <w:color w:val="1F497D" w:themeColor="text2"/>
          <w:sz w:val="28"/>
          <w:szCs w:val="28"/>
        </w:rPr>
        <w:t xml:space="preserve">ΕΜΙΡΑΤΑ ΑΜΠΟΥ ΝΤΑΜΠΙ ΚΑΙ ΝΤΟΥΜΠΑΪ </w:t>
      </w:r>
    </w:p>
    <w:p w14:paraId="3ECC2834" w14:textId="0824B086" w:rsidR="007600A1" w:rsidRDefault="00BD6F26" w:rsidP="00AD0EEA">
      <w:pPr>
        <w:jc w:val="both"/>
        <w:rPr>
          <w:rFonts w:ascii="Arial Narrow" w:hAnsi="Arial Narrow" w:cs="Times New Roman"/>
          <w:sz w:val="24"/>
          <w:szCs w:val="24"/>
        </w:rPr>
      </w:pPr>
      <w:r>
        <w:rPr>
          <w:rFonts w:ascii="Arial Narrow" w:hAnsi="Arial Narrow" w:cs="Times New Roman"/>
          <w:sz w:val="24"/>
          <w:szCs w:val="24"/>
        </w:rPr>
        <w:t xml:space="preserve">Τα Εμιράτα του Αμπου – Ντάμπι και του Ντουμπάϊ αποτελούν τους δύο σημαντικότερους οικονομικούς πυλώνες των Ηνωμένων Αραβικών Εμιράτων. Παρόλο που ανήκουν στην ίδια Ομοσπονδία, ακολουθούν διαφορετικά αναπτυξιακά πρότυπα και συμπληρωματικές στρατηγικές. Η συμμετοχή τους στο ΑΕΠ της χώρας για μεν το Αμπου – Ντάμπι κατέχει ποσοστό 55% έως και 60% περίπου, για δε το Ντουμπάϊ </w:t>
      </w:r>
      <w:r w:rsidR="00DE3504">
        <w:rPr>
          <w:rFonts w:ascii="Arial Narrow" w:hAnsi="Arial Narrow" w:cs="Times New Roman"/>
          <w:sz w:val="24"/>
          <w:szCs w:val="24"/>
        </w:rPr>
        <w:t>26% έως και 28% του ΑΕΠ. Σε έκταση το Αμπού – Ντάμπι κατέχει 67.340 τετρ. χλμ., το Ντουμπάϊ κατέχει 4.114 τετρ. χλμ., με πληθυσμό (στοιχεία 2025) το Αμπου – Ντάμπι με περίπου 4,6 εκατ</w:t>
      </w:r>
      <w:r w:rsidR="005618F1">
        <w:rPr>
          <w:rFonts w:ascii="Arial Narrow" w:hAnsi="Arial Narrow" w:cs="Times New Roman"/>
          <w:sz w:val="24"/>
          <w:szCs w:val="24"/>
        </w:rPr>
        <w:t>., και το Ντουμπάϊ με 4,6 εκατ. Πηγές πλούτου για μεν το Αμπου – Ντάμπι πετρέλαιο, φ/α &amp; κρατικές επενδύσεις, για δε το Ντουμπάϊ υπηρεσίες, εμπόριο, τουρισμός &amp; χρηματοοικονομικά.</w:t>
      </w:r>
    </w:p>
    <w:p w14:paraId="17CF7D66" w14:textId="053AEE99" w:rsidR="005618F1" w:rsidRPr="00446F28" w:rsidRDefault="00022BD6" w:rsidP="00AD0EEA">
      <w:pPr>
        <w:jc w:val="both"/>
        <w:rPr>
          <w:rFonts w:ascii="Arial Narrow" w:hAnsi="Arial Narrow" w:cs="Times New Roman"/>
          <w:sz w:val="24"/>
          <w:szCs w:val="24"/>
        </w:rPr>
      </w:pPr>
      <w:r w:rsidRPr="00022BD6">
        <w:rPr>
          <w:rFonts w:ascii="Arial Narrow" w:hAnsi="Arial Narrow" w:cs="Times New Roman"/>
          <w:b/>
          <w:sz w:val="28"/>
          <w:szCs w:val="28"/>
          <w:lang w:val="en-US"/>
        </w:rPr>
        <w:t xml:space="preserve">30.2. </w:t>
      </w:r>
      <w:r w:rsidR="005618F1" w:rsidRPr="00022BD6">
        <w:rPr>
          <w:rFonts w:ascii="Arial Narrow" w:hAnsi="Arial Narrow" w:cs="Times New Roman"/>
          <w:b/>
          <w:color w:val="1F497D" w:themeColor="text2"/>
          <w:sz w:val="28"/>
          <w:szCs w:val="28"/>
        </w:rPr>
        <w:t>ΕΜΙΡΑΤΟ</w:t>
      </w:r>
      <w:r w:rsidR="005618F1" w:rsidRPr="005618F1">
        <w:rPr>
          <w:rFonts w:ascii="Arial Narrow" w:hAnsi="Arial Narrow" w:cs="Times New Roman"/>
          <w:b/>
          <w:color w:val="1F497D" w:themeColor="text2"/>
          <w:sz w:val="28"/>
          <w:szCs w:val="28"/>
        </w:rPr>
        <w:t xml:space="preserve"> ΤΟΥ ΑΜΠΟΥ ΝΤΑΜΠΙ </w:t>
      </w:r>
    </w:p>
    <w:p w14:paraId="3CA55AEE" w14:textId="4AB1FEA4" w:rsidR="003F5F83" w:rsidRDefault="003F5F83" w:rsidP="00AD0EEA">
      <w:pPr>
        <w:jc w:val="both"/>
        <w:rPr>
          <w:rFonts w:ascii="Arial Narrow" w:hAnsi="Arial Narrow" w:cs="Times New Roman"/>
          <w:b/>
          <w:sz w:val="24"/>
          <w:szCs w:val="24"/>
        </w:rPr>
      </w:pPr>
      <w:r>
        <w:rPr>
          <w:rFonts w:ascii="Arial Narrow" w:hAnsi="Arial Narrow" w:cs="Times New Roman"/>
          <w:sz w:val="24"/>
          <w:szCs w:val="24"/>
        </w:rPr>
        <w:t>Το Εμιράτο του Ντουμπάϊ, αποτελεί το  μεγαλύτερο Εμιράτο (87% της συνολικής έκτασης των ΗΑΕ και είναι η πρωτεύουσα της χώρας. Συγχρόνως διαθέτει</w:t>
      </w:r>
      <w:r w:rsidR="00C31454">
        <w:rPr>
          <w:rFonts w:ascii="Arial Narrow" w:hAnsi="Arial Narrow" w:cs="Times New Roman"/>
          <w:sz w:val="24"/>
          <w:szCs w:val="24"/>
        </w:rPr>
        <w:t xml:space="preserve"> περίπου το 90%</w:t>
      </w:r>
      <w:r w:rsidR="00B8036C">
        <w:rPr>
          <w:rFonts w:ascii="Arial Narrow" w:hAnsi="Arial Narrow" w:cs="Times New Roman"/>
          <w:sz w:val="24"/>
          <w:szCs w:val="24"/>
        </w:rPr>
        <w:t xml:space="preserve"> των αποθεμάτων πετρελαίου των ΗΑΕ, φιλοξενεί την Ομοσπονδιακή Κυβέρνηση και θεωρείται το οικονομικά</w:t>
      </w:r>
      <w:r w:rsidR="00CA4137">
        <w:rPr>
          <w:rFonts w:ascii="Arial Narrow" w:hAnsi="Arial Narrow" w:cs="Times New Roman"/>
          <w:sz w:val="24"/>
          <w:szCs w:val="24"/>
        </w:rPr>
        <w:t xml:space="preserve"> το ισχυρότερο Εμιράτο. </w:t>
      </w:r>
      <w:r w:rsidR="00CA4137" w:rsidRPr="00CA4137">
        <w:rPr>
          <w:rFonts w:ascii="Arial Narrow" w:hAnsi="Arial Narrow" w:cs="Times New Roman"/>
          <w:b/>
          <w:sz w:val="24"/>
          <w:szCs w:val="24"/>
        </w:rPr>
        <w:t>Βασικά οικονομικά στοιχεία (Α΄Εξάμηνο 2025) είναι: ΑΕΠ άνω των 597 δις</w:t>
      </w:r>
      <w:r w:rsidR="00CA4137">
        <w:rPr>
          <w:rFonts w:ascii="Arial Narrow" w:hAnsi="Arial Narrow" w:cs="Times New Roman"/>
          <w:b/>
          <w:sz w:val="24"/>
          <w:szCs w:val="24"/>
        </w:rPr>
        <w:t xml:space="preserve"> </w:t>
      </w:r>
      <w:r w:rsidR="00CA4137">
        <w:rPr>
          <w:rFonts w:ascii="Arial Narrow" w:hAnsi="Arial Narrow" w:cs="Times New Roman"/>
          <w:b/>
          <w:sz w:val="24"/>
          <w:szCs w:val="24"/>
          <w:lang w:val="en-US"/>
        </w:rPr>
        <w:t>AED</w:t>
      </w:r>
      <w:r w:rsidR="00CA4137" w:rsidRPr="00CA4137">
        <w:rPr>
          <w:rFonts w:ascii="Arial Narrow" w:hAnsi="Arial Narrow" w:cs="Times New Roman"/>
          <w:b/>
          <w:sz w:val="24"/>
          <w:szCs w:val="24"/>
        </w:rPr>
        <w:t xml:space="preserve"> (</w:t>
      </w:r>
      <w:r w:rsidR="00CA4137">
        <w:rPr>
          <w:rFonts w:ascii="Arial Narrow" w:hAnsi="Arial Narrow" w:cs="Times New Roman"/>
          <w:b/>
          <w:sz w:val="24"/>
          <w:szCs w:val="24"/>
        </w:rPr>
        <w:t xml:space="preserve">Ντίρχαμ), </w:t>
      </w:r>
      <w:r w:rsidR="00446F28">
        <w:rPr>
          <w:rFonts w:ascii="Arial Narrow" w:hAnsi="Arial Narrow" w:cs="Times New Roman"/>
          <w:b/>
          <w:sz w:val="24"/>
          <w:szCs w:val="24"/>
        </w:rPr>
        <w:t xml:space="preserve">για το πρώτο τρίμηνο 2025 το ΑΕΠ ανήλθε στα 291 δις </w:t>
      </w:r>
      <w:r w:rsidR="00446F28">
        <w:rPr>
          <w:rFonts w:ascii="Arial Narrow" w:hAnsi="Arial Narrow" w:cs="Times New Roman"/>
          <w:b/>
          <w:sz w:val="24"/>
          <w:szCs w:val="24"/>
          <w:lang w:val="en-US"/>
        </w:rPr>
        <w:t>AED</w:t>
      </w:r>
      <w:r w:rsidR="00446F28" w:rsidRPr="00446F28">
        <w:rPr>
          <w:rFonts w:ascii="Arial Narrow" w:hAnsi="Arial Narrow" w:cs="Times New Roman"/>
          <w:b/>
          <w:sz w:val="24"/>
          <w:szCs w:val="24"/>
        </w:rPr>
        <w:t xml:space="preserve"> (</w:t>
      </w:r>
      <w:r w:rsidR="00446F28">
        <w:rPr>
          <w:rFonts w:ascii="Arial Narrow" w:hAnsi="Arial Narrow" w:cs="Times New Roman"/>
          <w:b/>
          <w:sz w:val="24"/>
          <w:szCs w:val="24"/>
        </w:rPr>
        <w:t>Ντίρχαμ), με ανάπτυξη περίπου 3,4% και αύξηση της μη πετρελαϊκής οικονομίας κατά 6,1%, όπου για πρώτη φορά οι μη πετρελαϊκοί τομείς παρήγαγαν πάνω από το 56% του ΑΕΠ.</w:t>
      </w:r>
    </w:p>
    <w:p w14:paraId="2982B30B" w14:textId="30AFC7FF" w:rsidR="00446F28" w:rsidRPr="00397D10" w:rsidRDefault="00446F28" w:rsidP="00AD0EEA">
      <w:pPr>
        <w:jc w:val="both"/>
        <w:rPr>
          <w:rFonts w:ascii="Arial Narrow" w:hAnsi="Arial Narrow" w:cs="Times New Roman"/>
          <w:sz w:val="24"/>
          <w:szCs w:val="24"/>
        </w:rPr>
      </w:pPr>
      <w:r w:rsidRPr="00397D10">
        <w:rPr>
          <w:rFonts w:ascii="Arial Narrow" w:hAnsi="Arial Narrow" w:cs="Times New Roman"/>
          <w:sz w:val="24"/>
          <w:szCs w:val="24"/>
        </w:rPr>
        <w:t xml:space="preserve">Βασικοί Τομείς της Οικονομίας είναι: πετρέλαιο και φ/α, παραμένοντας οι σημαντικότεροι τομείς, με κύρια χαρακτηριστικά </w:t>
      </w:r>
      <w:r w:rsidRPr="00397D10">
        <w:rPr>
          <w:rFonts w:ascii="Arial Narrow" w:hAnsi="Arial Narrow" w:cs="Times New Roman"/>
          <w:sz w:val="24"/>
          <w:szCs w:val="24"/>
          <w:lang w:val="en-US"/>
        </w:rPr>
        <w:t>ADNOC</w:t>
      </w:r>
      <w:r w:rsidRPr="00397D10">
        <w:rPr>
          <w:rFonts w:ascii="Arial Narrow" w:hAnsi="Arial Narrow" w:cs="Times New Roman"/>
          <w:sz w:val="24"/>
          <w:szCs w:val="24"/>
        </w:rPr>
        <w:t xml:space="preserve">, </w:t>
      </w:r>
      <w:r w:rsidRPr="00397D10">
        <w:rPr>
          <w:rFonts w:ascii="Arial Narrow" w:hAnsi="Arial Narrow" w:cs="Times New Roman"/>
          <w:sz w:val="24"/>
          <w:szCs w:val="24"/>
          <w:lang w:val="en-US"/>
        </w:rPr>
        <w:t>upstream</w:t>
      </w:r>
      <w:r w:rsidRPr="00397D10">
        <w:rPr>
          <w:rFonts w:ascii="Arial Narrow" w:hAnsi="Arial Narrow" w:cs="Times New Roman"/>
          <w:sz w:val="24"/>
          <w:szCs w:val="24"/>
        </w:rPr>
        <w:t xml:space="preserve"> παραγωγή, </w:t>
      </w:r>
      <w:r w:rsidRPr="00397D10">
        <w:rPr>
          <w:rFonts w:ascii="Arial Narrow" w:hAnsi="Arial Narrow" w:cs="Times New Roman"/>
          <w:sz w:val="24"/>
          <w:szCs w:val="24"/>
          <w:lang w:val="en-US"/>
        </w:rPr>
        <w:t>LNG</w:t>
      </w:r>
      <w:r w:rsidRPr="00397D10">
        <w:rPr>
          <w:rFonts w:ascii="Arial Narrow" w:hAnsi="Arial Narrow" w:cs="Times New Roman"/>
          <w:sz w:val="24"/>
          <w:szCs w:val="24"/>
        </w:rPr>
        <w:t xml:space="preserve">, πετροχημικά, διϋλιστήρια, εξαγωγές. Το Εμιράτο του Αμπου – Ντάμπι διαθέτει ένα από τα μεγαλύτερα </w:t>
      </w:r>
      <w:r w:rsidR="00B02B4D" w:rsidRPr="00397D10">
        <w:rPr>
          <w:rFonts w:ascii="Arial Narrow" w:hAnsi="Arial Narrow" w:cs="Times New Roman"/>
          <w:sz w:val="24"/>
          <w:szCs w:val="24"/>
          <w:lang w:val="en-US"/>
        </w:rPr>
        <w:t>Sovereign</w:t>
      </w:r>
      <w:r w:rsidR="00B02B4D" w:rsidRPr="00397D10">
        <w:rPr>
          <w:rFonts w:ascii="Arial Narrow" w:hAnsi="Arial Narrow" w:cs="Times New Roman"/>
          <w:sz w:val="24"/>
          <w:szCs w:val="24"/>
        </w:rPr>
        <w:t xml:space="preserve"> </w:t>
      </w:r>
      <w:r w:rsidR="00B02B4D" w:rsidRPr="00397D10">
        <w:rPr>
          <w:rFonts w:ascii="Arial Narrow" w:hAnsi="Arial Narrow" w:cs="Times New Roman"/>
          <w:sz w:val="24"/>
          <w:szCs w:val="24"/>
          <w:lang w:val="en-US"/>
        </w:rPr>
        <w:t>Wealth</w:t>
      </w:r>
      <w:r w:rsidR="00B02B4D" w:rsidRPr="00397D10">
        <w:rPr>
          <w:rFonts w:ascii="Arial Narrow" w:hAnsi="Arial Narrow" w:cs="Times New Roman"/>
          <w:sz w:val="24"/>
          <w:szCs w:val="24"/>
        </w:rPr>
        <w:t xml:space="preserve"> </w:t>
      </w:r>
      <w:r w:rsidR="00B02B4D" w:rsidRPr="00397D10">
        <w:rPr>
          <w:rFonts w:ascii="Arial Narrow" w:hAnsi="Arial Narrow" w:cs="Times New Roman"/>
          <w:sz w:val="24"/>
          <w:szCs w:val="24"/>
          <w:lang w:val="en-US"/>
        </w:rPr>
        <w:t>Funds</w:t>
      </w:r>
      <w:r w:rsidR="00B02B4D" w:rsidRPr="00397D10">
        <w:rPr>
          <w:rFonts w:ascii="Arial Narrow" w:hAnsi="Arial Narrow" w:cs="Times New Roman"/>
          <w:sz w:val="24"/>
          <w:szCs w:val="24"/>
        </w:rPr>
        <w:t xml:space="preserve"> παγκοσμίως (</w:t>
      </w:r>
      <w:r w:rsidR="00B02B4D" w:rsidRPr="00397D10">
        <w:rPr>
          <w:rFonts w:ascii="Arial Narrow" w:hAnsi="Arial Narrow" w:cs="Times New Roman"/>
          <w:sz w:val="24"/>
          <w:szCs w:val="24"/>
          <w:lang w:val="en-US"/>
        </w:rPr>
        <w:t>ADIA</w:t>
      </w:r>
      <w:r w:rsidR="00B02B4D" w:rsidRPr="00397D10">
        <w:rPr>
          <w:rFonts w:ascii="Arial Narrow" w:hAnsi="Arial Narrow" w:cs="Times New Roman"/>
          <w:sz w:val="24"/>
          <w:szCs w:val="24"/>
        </w:rPr>
        <w:t xml:space="preserve">, </w:t>
      </w:r>
      <w:r w:rsidR="00B02B4D" w:rsidRPr="00397D10">
        <w:rPr>
          <w:rFonts w:ascii="Arial Narrow" w:hAnsi="Arial Narrow" w:cs="Times New Roman"/>
          <w:sz w:val="24"/>
          <w:szCs w:val="24"/>
          <w:lang w:val="en-US"/>
        </w:rPr>
        <w:t>Mubadala</w:t>
      </w:r>
      <w:r w:rsidR="00B02B4D" w:rsidRPr="00397D10">
        <w:rPr>
          <w:rFonts w:ascii="Arial Narrow" w:hAnsi="Arial Narrow" w:cs="Times New Roman"/>
          <w:sz w:val="24"/>
          <w:szCs w:val="24"/>
        </w:rPr>
        <w:t xml:space="preserve"> &amp; </w:t>
      </w:r>
      <w:r w:rsidR="00B02B4D" w:rsidRPr="00397D10">
        <w:rPr>
          <w:rFonts w:ascii="Arial Narrow" w:hAnsi="Arial Narrow" w:cs="Times New Roman"/>
          <w:sz w:val="24"/>
          <w:szCs w:val="24"/>
          <w:lang w:val="en-US"/>
        </w:rPr>
        <w:t>ADQ</w:t>
      </w:r>
      <w:r w:rsidR="00B02B4D" w:rsidRPr="00397D10">
        <w:rPr>
          <w:rFonts w:ascii="Arial Narrow" w:hAnsi="Arial Narrow" w:cs="Times New Roman"/>
          <w:sz w:val="24"/>
          <w:szCs w:val="24"/>
        </w:rPr>
        <w:t>). Τα συνολικά υπό διαχείριση κεφάλαια υπερβαίνουν τα 2 τρις $</w:t>
      </w:r>
      <w:r w:rsidR="009641EB" w:rsidRPr="00397D10">
        <w:rPr>
          <w:rFonts w:ascii="Arial Narrow" w:hAnsi="Arial Narrow" w:cs="Times New Roman"/>
          <w:sz w:val="24"/>
          <w:szCs w:val="24"/>
        </w:rPr>
        <w:t xml:space="preserve">, γεγονός που το καθιστά έναν από τους σημαντικότερους παγκόσμιους επενδυτές. </w:t>
      </w:r>
    </w:p>
    <w:p w14:paraId="1E442D7D" w14:textId="1B6E708C" w:rsidR="009641EB" w:rsidRPr="00397D10" w:rsidRDefault="009641EB" w:rsidP="00AD0EEA">
      <w:pPr>
        <w:jc w:val="both"/>
        <w:rPr>
          <w:rFonts w:ascii="Arial Narrow" w:hAnsi="Arial Narrow" w:cs="Times New Roman"/>
          <w:sz w:val="24"/>
          <w:szCs w:val="24"/>
        </w:rPr>
      </w:pPr>
      <w:r w:rsidRPr="00397D10">
        <w:rPr>
          <w:rFonts w:ascii="Arial Narrow" w:hAnsi="Arial Narrow" w:cs="Times New Roman"/>
          <w:sz w:val="24"/>
          <w:szCs w:val="24"/>
        </w:rPr>
        <w:t>Στη Βιομηχανία κλάδοι προτεραιότητας είναι: αλουμίνιο, χάλυβας, χημικά, αεροδιαστημική, αμυντική βιομηχανία, φαρμακευτικά και τρόφιμα.</w:t>
      </w:r>
    </w:p>
    <w:p w14:paraId="76E07749" w14:textId="792AAA38" w:rsidR="009641EB" w:rsidRDefault="009641EB" w:rsidP="00AD0EEA">
      <w:pPr>
        <w:jc w:val="both"/>
        <w:rPr>
          <w:rFonts w:ascii="Arial Narrow" w:hAnsi="Arial Narrow" w:cs="Times New Roman"/>
          <w:sz w:val="24"/>
          <w:szCs w:val="24"/>
        </w:rPr>
      </w:pPr>
      <w:r w:rsidRPr="00397D10">
        <w:rPr>
          <w:rFonts w:ascii="Arial Narrow" w:hAnsi="Arial Narrow" w:cs="Times New Roman"/>
          <w:sz w:val="24"/>
          <w:szCs w:val="24"/>
        </w:rPr>
        <w:t>Στην Ενέργεια το Εμιράτο του Αμπου – Ντάμπι κατέχει ηγετική θέση στις ΑΠΕ μέσω</w:t>
      </w:r>
      <w:r w:rsidR="00761303" w:rsidRPr="00397D10">
        <w:rPr>
          <w:rFonts w:ascii="Arial Narrow" w:hAnsi="Arial Narrow" w:cs="Times New Roman"/>
          <w:sz w:val="24"/>
          <w:szCs w:val="24"/>
        </w:rPr>
        <w:t xml:space="preserve"> </w:t>
      </w:r>
      <w:r w:rsidR="00761303" w:rsidRPr="00397D10">
        <w:rPr>
          <w:rFonts w:ascii="Arial Narrow" w:hAnsi="Arial Narrow" w:cs="Times New Roman"/>
          <w:sz w:val="24"/>
          <w:szCs w:val="24"/>
          <w:lang w:val="en-US"/>
        </w:rPr>
        <w:t>Masdar</w:t>
      </w:r>
      <w:r w:rsidR="00761303" w:rsidRPr="00397D10">
        <w:rPr>
          <w:rFonts w:ascii="Arial Narrow" w:hAnsi="Arial Narrow" w:cs="Times New Roman"/>
          <w:sz w:val="24"/>
          <w:szCs w:val="24"/>
        </w:rPr>
        <w:t xml:space="preserve">, ηλιακής ενέργειας, </w:t>
      </w:r>
      <w:r w:rsidR="00397D10" w:rsidRPr="00397D10">
        <w:rPr>
          <w:rFonts w:ascii="Arial Narrow" w:hAnsi="Arial Narrow" w:cs="Times New Roman"/>
          <w:sz w:val="24"/>
          <w:szCs w:val="24"/>
        </w:rPr>
        <w:t xml:space="preserve">υδρογόνου, </w:t>
      </w:r>
      <w:r w:rsidR="00397D10" w:rsidRPr="00397D10">
        <w:rPr>
          <w:rFonts w:ascii="Arial Narrow" w:hAnsi="Arial Narrow" w:cs="Times New Roman"/>
          <w:sz w:val="24"/>
          <w:szCs w:val="24"/>
          <w:lang w:val="en-US"/>
        </w:rPr>
        <w:t>CCS</w:t>
      </w:r>
      <w:r w:rsidR="00397D10" w:rsidRPr="00397D10">
        <w:rPr>
          <w:rFonts w:ascii="Arial Narrow" w:hAnsi="Arial Narrow" w:cs="Times New Roman"/>
          <w:sz w:val="24"/>
          <w:szCs w:val="24"/>
        </w:rPr>
        <w:t xml:space="preserve"> και πυρηνικής ενέργειας (σταθμός </w:t>
      </w:r>
      <w:r w:rsidR="00397D10" w:rsidRPr="00397D10">
        <w:rPr>
          <w:rFonts w:ascii="Arial Narrow" w:hAnsi="Arial Narrow" w:cs="Times New Roman"/>
          <w:sz w:val="24"/>
          <w:szCs w:val="24"/>
          <w:lang w:val="en-US"/>
        </w:rPr>
        <w:t>Barakah</w:t>
      </w:r>
      <w:r w:rsidR="00397D10" w:rsidRPr="00397D10">
        <w:rPr>
          <w:rFonts w:ascii="Arial Narrow" w:hAnsi="Arial Narrow" w:cs="Times New Roman"/>
          <w:sz w:val="24"/>
          <w:szCs w:val="24"/>
        </w:rPr>
        <w:t>).</w:t>
      </w:r>
    </w:p>
    <w:p w14:paraId="74D110AA" w14:textId="3058711F" w:rsidR="00397D10" w:rsidRDefault="008E256B" w:rsidP="00AD0EEA">
      <w:pPr>
        <w:jc w:val="both"/>
        <w:rPr>
          <w:rFonts w:ascii="Arial Narrow" w:hAnsi="Arial Narrow" w:cs="Times New Roman"/>
          <w:sz w:val="24"/>
          <w:szCs w:val="24"/>
        </w:rPr>
      </w:pPr>
      <w:r>
        <w:rPr>
          <w:rFonts w:ascii="Arial Narrow" w:hAnsi="Arial Narrow" w:cs="Times New Roman"/>
          <w:sz w:val="24"/>
          <w:szCs w:val="24"/>
        </w:rPr>
        <w:t>Στον χρηματοοικονομικό τομέα το Εμιράτο του Αμπου – Ντάμπι (</w:t>
      </w:r>
      <w:r>
        <w:rPr>
          <w:rFonts w:ascii="Arial Narrow" w:hAnsi="Arial Narrow" w:cs="Times New Roman"/>
          <w:sz w:val="24"/>
          <w:szCs w:val="24"/>
          <w:lang w:val="en-US"/>
        </w:rPr>
        <w:t>Abu</w:t>
      </w:r>
      <w:r w:rsidRPr="008E256B">
        <w:rPr>
          <w:rFonts w:ascii="Arial Narrow" w:hAnsi="Arial Narrow" w:cs="Times New Roman"/>
          <w:sz w:val="24"/>
          <w:szCs w:val="24"/>
        </w:rPr>
        <w:t xml:space="preserve"> </w:t>
      </w:r>
      <w:r>
        <w:rPr>
          <w:rFonts w:ascii="Arial Narrow" w:hAnsi="Arial Narrow" w:cs="Times New Roman"/>
          <w:sz w:val="24"/>
          <w:szCs w:val="24"/>
          <w:lang w:val="en-US"/>
        </w:rPr>
        <w:t>Dhabi</w:t>
      </w:r>
      <w:r w:rsidRPr="008E256B">
        <w:rPr>
          <w:rFonts w:ascii="Arial Narrow" w:hAnsi="Arial Narrow" w:cs="Times New Roman"/>
          <w:sz w:val="24"/>
          <w:szCs w:val="24"/>
        </w:rPr>
        <w:t xml:space="preserve"> </w:t>
      </w:r>
      <w:r>
        <w:rPr>
          <w:rFonts w:ascii="Arial Narrow" w:hAnsi="Arial Narrow" w:cs="Times New Roman"/>
          <w:sz w:val="24"/>
          <w:szCs w:val="24"/>
          <w:lang w:val="en-US"/>
        </w:rPr>
        <w:t>Global</w:t>
      </w:r>
      <w:r w:rsidRPr="008E256B">
        <w:rPr>
          <w:rFonts w:ascii="Arial Narrow" w:hAnsi="Arial Narrow" w:cs="Times New Roman"/>
          <w:sz w:val="24"/>
          <w:szCs w:val="24"/>
        </w:rPr>
        <w:t xml:space="preserve"> </w:t>
      </w:r>
      <w:r>
        <w:rPr>
          <w:rFonts w:ascii="Arial Narrow" w:hAnsi="Arial Narrow" w:cs="Times New Roman"/>
          <w:sz w:val="24"/>
          <w:szCs w:val="24"/>
          <w:lang w:val="en-US"/>
        </w:rPr>
        <w:t>Market</w:t>
      </w:r>
      <w:r w:rsidRPr="008E256B">
        <w:rPr>
          <w:rFonts w:ascii="Arial Narrow" w:hAnsi="Arial Narrow" w:cs="Times New Roman"/>
          <w:sz w:val="24"/>
          <w:szCs w:val="24"/>
        </w:rPr>
        <w:t xml:space="preserve"> </w:t>
      </w:r>
      <w:r>
        <w:rPr>
          <w:rFonts w:ascii="Arial Narrow" w:hAnsi="Arial Narrow" w:cs="Times New Roman"/>
          <w:sz w:val="24"/>
          <w:szCs w:val="24"/>
        </w:rPr>
        <w:t>–</w:t>
      </w:r>
      <w:r w:rsidRPr="008E256B">
        <w:rPr>
          <w:rFonts w:ascii="Arial Narrow" w:hAnsi="Arial Narrow" w:cs="Times New Roman"/>
          <w:sz w:val="24"/>
          <w:szCs w:val="24"/>
        </w:rPr>
        <w:t xml:space="preserve"> </w:t>
      </w:r>
      <w:r>
        <w:rPr>
          <w:rFonts w:ascii="Arial Narrow" w:hAnsi="Arial Narrow" w:cs="Times New Roman"/>
          <w:sz w:val="24"/>
          <w:szCs w:val="24"/>
          <w:lang w:val="en-US"/>
        </w:rPr>
        <w:t>ADGM</w:t>
      </w:r>
      <w:r w:rsidRPr="008E256B">
        <w:rPr>
          <w:rFonts w:ascii="Arial Narrow" w:hAnsi="Arial Narrow" w:cs="Times New Roman"/>
          <w:sz w:val="24"/>
          <w:szCs w:val="24"/>
        </w:rPr>
        <w:t xml:space="preserve">) </w:t>
      </w:r>
      <w:r>
        <w:rPr>
          <w:rFonts w:ascii="Arial Narrow" w:hAnsi="Arial Narrow" w:cs="Times New Roman"/>
          <w:sz w:val="24"/>
          <w:szCs w:val="24"/>
        </w:rPr>
        <w:t xml:space="preserve">εξελίσσεται σε ηγετικό διεθνές χρηματοπιστωτικό κέντρο με τομείς: </w:t>
      </w:r>
      <w:r>
        <w:rPr>
          <w:rFonts w:ascii="Arial Narrow" w:hAnsi="Arial Narrow" w:cs="Times New Roman"/>
          <w:sz w:val="24"/>
          <w:szCs w:val="24"/>
          <w:lang w:val="en-US"/>
        </w:rPr>
        <w:t>Asset</w:t>
      </w:r>
      <w:r w:rsidRPr="008E256B">
        <w:rPr>
          <w:rFonts w:ascii="Arial Narrow" w:hAnsi="Arial Narrow" w:cs="Times New Roman"/>
          <w:sz w:val="24"/>
          <w:szCs w:val="24"/>
        </w:rPr>
        <w:t xml:space="preserve"> </w:t>
      </w:r>
      <w:r>
        <w:rPr>
          <w:rFonts w:ascii="Arial Narrow" w:hAnsi="Arial Narrow" w:cs="Times New Roman"/>
          <w:sz w:val="24"/>
          <w:szCs w:val="24"/>
          <w:lang w:val="en-US"/>
        </w:rPr>
        <w:t>Management</w:t>
      </w:r>
      <w:r w:rsidRPr="008E256B">
        <w:rPr>
          <w:rFonts w:ascii="Arial Narrow" w:hAnsi="Arial Narrow" w:cs="Times New Roman"/>
          <w:sz w:val="24"/>
          <w:szCs w:val="24"/>
        </w:rPr>
        <w:t xml:space="preserve">, </w:t>
      </w:r>
      <w:r>
        <w:rPr>
          <w:rFonts w:ascii="Arial Narrow" w:hAnsi="Arial Narrow" w:cs="Times New Roman"/>
          <w:sz w:val="24"/>
          <w:szCs w:val="24"/>
          <w:lang w:val="en-US"/>
        </w:rPr>
        <w:t>Private</w:t>
      </w:r>
      <w:r w:rsidRPr="008E256B">
        <w:rPr>
          <w:rFonts w:ascii="Arial Narrow" w:hAnsi="Arial Narrow" w:cs="Times New Roman"/>
          <w:sz w:val="24"/>
          <w:szCs w:val="24"/>
        </w:rPr>
        <w:t xml:space="preserve"> </w:t>
      </w:r>
      <w:r>
        <w:rPr>
          <w:rFonts w:ascii="Arial Narrow" w:hAnsi="Arial Narrow" w:cs="Times New Roman"/>
          <w:sz w:val="24"/>
          <w:szCs w:val="24"/>
          <w:lang w:val="en-US"/>
        </w:rPr>
        <w:t>Equity</w:t>
      </w:r>
      <w:r w:rsidRPr="008E256B">
        <w:rPr>
          <w:rFonts w:ascii="Arial Narrow" w:hAnsi="Arial Narrow" w:cs="Times New Roman"/>
          <w:sz w:val="24"/>
          <w:szCs w:val="24"/>
        </w:rPr>
        <w:t xml:space="preserve">, </w:t>
      </w:r>
      <w:r>
        <w:rPr>
          <w:rFonts w:ascii="Arial Narrow" w:hAnsi="Arial Narrow" w:cs="Times New Roman"/>
          <w:sz w:val="24"/>
          <w:szCs w:val="24"/>
          <w:lang w:val="en-US"/>
        </w:rPr>
        <w:t>FinTech</w:t>
      </w:r>
      <w:r w:rsidRPr="008E256B">
        <w:rPr>
          <w:rFonts w:ascii="Arial Narrow" w:hAnsi="Arial Narrow" w:cs="Times New Roman"/>
          <w:sz w:val="24"/>
          <w:szCs w:val="24"/>
        </w:rPr>
        <w:t xml:space="preserve">, </w:t>
      </w:r>
      <w:r>
        <w:rPr>
          <w:rFonts w:ascii="Arial Narrow" w:hAnsi="Arial Narrow" w:cs="Times New Roman"/>
          <w:sz w:val="24"/>
          <w:szCs w:val="24"/>
          <w:lang w:val="en-US"/>
        </w:rPr>
        <w:t>Hedge</w:t>
      </w:r>
      <w:r w:rsidRPr="008E256B">
        <w:rPr>
          <w:rFonts w:ascii="Arial Narrow" w:hAnsi="Arial Narrow" w:cs="Times New Roman"/>
          <w:sz w:val="24"/>
          <w:szCs w:val="24"/>
        </w:rPr>
        <w:t xml:space="preserve"> </w:t>
      </w:r>
      <w:r>
        <w:rPr>
          <w:rFonts w:ascii="Arial Narrow" w:hAnsi="Arial Narrow" w:cs="Times New Roman"/>
          <w:sz w:val="24"/>
          <w:szCs w:val="24"/>
          <w:lang w:val="en-US"/>
        </w:rPr>
        <w:t>Funds</w:t>
      </w:r>
      <w:r w:rsidRPr="008E256B">
        <w:rPr>
          <w:rFonts w:ascii="Arial Narrow" w:hAnsi="Arial Narrow" w:cs="Times New Roman"/>
          <w:sz w:val="24"/>
          <w:szCs w:val="24"/>
        </w:rPr>
        <w:t xml:space="preserve"> &amp; </w:t>
      </w:r>
      <w:r>
        <w:rPr>
          <w:rFonts w:ascii="Arial Narrow" w:hAnsi="Arial Narrow" w:cs="Times New Roman"/>
          <w:sz w:val="24"/>
          <w:szCs w:val="24"/>
          <w:lang w:val="en-US"/>
        </w:rPr>
        <w:t>Family</w:t>
      </w:r>
      <w:r w:rsidRPr="008E256B">
        <w:rPr>
          <w:rFonts w:ascii="Arial Narrow" w:hAnsi="Arial Narrow" w:cs="Times New Roman"/>
          <w:sz w:val="24"/>
          <w:szCs w:val="24"/>
        </w:rPr>
        <w:t xml:space="preserve"> </w:t>
      </w:r>
      <w:r>
        <w:rPr>
          <w:rFonts w:ascii="Arial Narrow" w:hAnsi="Arial Narrow" w:cs="Times New Roman"/>
          <w:sz w:val="24"/>
          <w:szCs w:val="24"/>
          <w:lang w:val="en-US"/>
        </w:rPr>
        <w:t>Offices</w:t>
      </w:r>
      <w:r w:rsidRPr="008E256B">
        <w:rPr>
          <w:rFonts w:ascii="Arial Narrow" w:hAnsi="Arial Narrow" w:cs="Times New Roman"/>
          <w:sz w:val="24"/>
          <w:szCs w:val="24"/>
        </w:rPr>
        <w:t xml:space="preserve">. </w:t>
      </w:r>
    </w:p>
    <w:p w14:paraId="2153F534" w14:textId="720F3CA6" w:rsidR="004C0357" w:rsidRDefault="00704370" w:rsidP="00AD0EEA">
      <w:pPr>
        <w:jc w:val="both"/>
        <w:rPr>
          <w:rFonts w:ascii="Arial Narrow" w:hAnsi="Arial Narrow" w:cs="Times New Roman"/>
          <w:sz w:val="24"/>
          <w:szCs w:val="24"/>
        </w:rPr>
      </w:pPr>
      <w:r>
        <w:rPr>
          <w:rFonts w:ascii="Arial Narrow" w:hAnsi="Arial Narrow" w:cs="Times New Roman"/>
          <w:sz w:val="24"/>
          <w:szCs w:val="24"/>
        </w:rPr>
        <w:t xml:space="preserve">Στο τουρισμό σημαντικοί προορισμοί είναι: </w:t>
      </w:r>
      <w:r>
        <w:rPr>
          <w:rFonts w:ascii="Arial Narrow" w:hAnsi="Arial Narrow" w:cs="Times New Roman"/>
          <w:sz w:val="24"/>
          <w:szCs w:val="24"/>
          <w:lang w:val="en-US"/>
        </w:rPr>
        <w:t>Saadiyat</w:t>
      </w:r>
      <w:r w:rsidRPr="00704370">
        <w:rPr>
          <w:rFonts w:ascii="Arial Narrow" w:hAnsi="Arial Narrow" w:cs="Times New Roman"/>
          <w:sz w:val="24"/>
          <w:szCs w:val="24"/>
        </w:rPr>
        <w:t xml:space="preserve"> </w:t>
      </w:r>
      <w:r>
        <w:rPr>
          <w:rFonts w:ascii="Arial Narrow" w:hAnsi="Arial Narrow" w:cs="Times New Roman"/>
          <w:sz w:val="24"/>
          <w:szCs w:val="24"/>
          <w:lang w:val="en-US"/>
        </w:rPr>
        <w:t>Island</w:t>
      </w:r>
      <w:r w:rsidRPr="00704370">
        <w:rPr>
          <w:rFonts w:ascii="Arial Narrow" w:hAnsi="Arial Narrow" w:cs="Times New Roman"/>
          <w:sz w:val="24"/>
          <w:szCs w:val="24"/>
        </w:rPr>
        <w:t xml:space="preserve">, </w:t>
      </w:r>
      <w:r>
        <w:rPr>
          <w:rFonts w:ascii="Arial Narrow" w:hAnsi="Arial Narrow" w:cs="Times New Roman"/>
          <w:sz w:val="24"/>
          <w:szCs w:val="24"/>
          <w:lang w:val="en-US"/>
        </w:rPr>
        <w:t>Yas</w:t>
      </w:r>
      <w:r w:rsidRPr="00704370">
        <w:rPr>
          <w:rFonts w:ascii="Arial Narrow" w:hAnsi="Arial Narrow" w:cs="Times New Roman"/>
          <w:sz w:val="24"/>
          <w:szCs w:val="24"/>
        </w:rPr>
        <w:t xml:space="preserve"> </w:t>
      </w:r>
      <w:r>
        <w:rPr>
          <w:rFonts w:ascii="Arial Narrow" w:hAnsi="Arial Narrow" w:cs="Times New Roman"/>
          <w:sz w:val="24"/>
          <w:szCs w:val="24"/>
          <w:lang w:val="en-US"/>
        </w:rPr>
        <w:t>Island</w:t>
      </w:r>
      <w:r w:rsidRPr="00704370">
        <w:rPr>
          <w:rFonts w:ascii="Arial Narrow" w:hAnsi="Arial Narrow" w:cs="Times New Roman"/>
          <w:sz w:val="24"/>
          <w:szCs w:val="24"/>
        </w:rPr>
        <w:t xml:space="preserve">, </w:t>
      </w:r>
      <w:r w:rsidR="004C0357">
        <w:rPr>
          <w:rFonts w:ascii="Arial Narrow" w:hAnsi="Arial Narrow" w:cs="Times New Roman"/>
          <w:sz w:val="24"/>
          <w:szCs w:val="24"/>
          <w:lang w:val="en-US"/>
        </w:rPr>
        <w:t>Louvre</w:t>
      </w:r>
      <w:r w:rsidR="004C0357" w:rsidRPr="004C0357">
        <w:rPr>
          <w:rFonts w:ascii="Arial Narrow" w:hAnsi="Arial Narrow" w:cs="Times New Roman"/>
          <w:sz w:val="24"/>
          <w:szCs w:val="24"/>
        </w:rPr>
        <w:t xml:space="preserve"> </w:t>
      </w:r>
      <w:r w:rsidR="004C0357">
        <w:rPr>
          <w:rFonts w:ascii="Arial Narrow" w:hAnsi="Arial Narrow" w:cs="Times New Roman"/>
          <w:sz w:val="24"/>
          <w:szCs w:val="24"/>
          <w:lang w:val="en-US"/>
        </w:rPr>
        <w:t>Abu</w:t>
      </w:r>
      <w:r w:rsidR="004C0357" w:rsidRPr="004C0357">
        <w:rPr>
          <w:rFonts w:ascii="Arial Narrow" w:hAnsi="Arial Narrow" w:cs="Times New Roman"/>
          <w:sz w:val="24"/>
          <w:szCs w:val="24"/>
        </w:rPr>
        <w:t xml:space="preserve"> </w:t>
      </w:r>
      <w:r w:rsidR="004C0357">
        <w:rPr>
          <w:rFonts w:ascii="Arial Narrow" w:hAnsi="Arial Narrow" w:cs="Times New Roman"/>
          <w:sz w:val="24"/>
          <w:szCs w:val="24"/>
          <w:lang w:val="en-US"/>
        </w:rPr>
        <w:t>Dhabi</w:t>
      </w:r>
      <w:r w:rsidR="004C0357" w:rsidRPr="004C0357">
        <w:rPr>
          <w:rFonts w:ascii="Arial Narrow" w:hAnsi="Arial Narrow" w:cs="Times New Roman"/>
          <w:sz w:val="24"/>
          <w:szCs w:val="24"/>
        </w:rPr>
        <w:t xml:space="preserve">, </w:t>
      </w:r>
      <w:r w:rsidR="004C0357">
        <w:rPr>
          <w:rFonts w:ascii="Arial Narrow" w:hAnsi="Arial Narrow" w:cs="Times New Roman"/>
          <w:sz w:val="24"/>
          <w:szCs w:val="24"/>
          <w:lang w:val="en-US"/>
        </w:rPr>
        <w:t>Ferrari</w:t>
      </w:r>
      <w:r w:rsidR="004C0357" w:rsidRPr="004C0357">
        <w:rPr>
          <w:rFonts w:ascii="Arial Narrow" w:hAnsi="Arial Narrow" w:cs="Times New Roman"/>
          <w:sz w:val="24"/>
          <w:szCs w:val="24"/>
        </w:rPr>
        <w:t xml:space="preserve"> </w:t>
      </w:r>
      <w:r w:rsidR="004C0357">
        <w:rPr>
          <w:rFonts w:ascii="Arial Narrow" w:hAnsi="Arial Narrow" w:cs="Times New Roman"/>
          <w:sz w:val="24"/>
          <w:szCs w:val="24"/>
          <w:lang w:val="en-US"/>
        </w:rPr>
        <w:t>World</w:t>
      </w:r>
      <w:r w:rsidR="004C0357" w:rsidRPr="004C0357">
        <w:rPr>
          <w:rFonts w:ascii="Arial Narrow" w:hAnsi="Arial Narrow" w:cs="Times New Roman"/>
          <w:sz w:val="24"/>
          <w:szCs w:val="24"/>
        </w:rPr>
        <w:t xml:space="preserve">, </w:t>
      </w:r>
      <w:r w:rsidR="004C0357">
        <w:rPr>
          <w:rFonts w:ascii="Arial Narrow" w:hAnsi="Arial Narrow" w:cs="Times New Roman"/>
          <w:sz w:val="24"/>
          <w:szCs w:val="24"/>
          <w:lang w:val="en-US"/>
        </w:rPr>
        <w:t>Warner</w:t>
      </w:r>
      <w:r w:rsidR="004C0357" w:rsidRPr="004C0357">
        <w:rPr>
          <w:rFonts w:ascii="Arial Narrow" w:hAnsi="Arial Narrow" w:cs="Times New Roman"/>
          <w:sz w:val="24"/>
          <w:szCs w:val="24"/>
        </w:rPr>
        <w:t xml:space="preserve"> </w:t>
      </w:r>
      <w:r w:rsidR="004C0357">
        <w:rPr>
          <w:rFonts w:ascii="Arial Narrow" w:hAnsi="Arial Narrow" w:cs="Times New Roman"/>
          <w:sz w:val="24"/>
          <w:szCs w:val="24"/>
          <w:lang w:val="en-US"/>
        </w:rPr>
        <w:t>Bros</w:t>
      </w:r>
      <w:r w:rsidR="004C0357" w:rsidRPr="004C0357">
        <w:rPr>
          <w:rFonts w:ascii="Arial Narrow" w:hAnsi="Arial Narrow" w:cs="Times New Roman"/>
          <w:sz w:val="24"/>
          <w:szCs w:val="24"/>
        </w:rPr>
        <w:t xml:space="preserve"> </w:t>
      </w:r>
      <w:r w:rsidR="004C0357">
        <w:rPr>
          <w:rFonts w:ascii="Arial Narrow" w:hAnsi="Arial Narrow" w:cs="Times New Roman"/>
          <w:sz w:val="24"/>
          <w:szCs w:val="24"/>
          <w:lang w:val="en-US"/>
        </w:rPr>
        <w:t>World</w:t>
      </w:r>
      <w:r w:rsidR="004C0357" w:rsidRPr="004C0357">
        <w:rPr>
          <w:rFonts w:ascii="Arial Narrow" w:hAnsi="Arial Narrow" w:cs="Times New Roman"/>
          <w:sz w:val="24"/>
          <w:szCs w:val="24"/>
        </w:rPr>
        <w:t xml:space="preserve"> &amp; </w:t>
      </w:r>
      <w:r w:rsidR="004C0357">
        <w:rPr>
          <w:rFonts w:ascii="Arial Narrow" w:hAnsi="Arial Narrow" w:cs="Times New Roman"/>
          <w:sz w:val="24"/>
          <w:szCs w:val="24"/>
          <w:lang w:val="en-US"/>
        </w:rPr>
        <w:t>Formula</w:t>
      </w:r>
      <w:r w:rsidR="004C0357" w:rsidRPr="004C0357">
        <w:rPr>
          <w:rFonts w:ascii="Arial Narrow" w:hAnsi="Arial Narrow" w:cs="Times New Roman"/>
          <w:sz w:val="24"/>
          <w:szCs w:val="24"/>
        </w:rPr>
        <w:t xml:space="preserve"> 1. </w:t>
      </w:r>
    </w:p>
    <w:p w14:paraId="4D969EA5" w14:textId="5A105528" w:rsidR="004C0357" w:rsidRDefault="004C0357" w:rsidP="00AD0EEA">
      <w:pPr>
        <w:jc w:val="both"/>
        <w:rPr>
          <w:rFonts w:ascii="Arial Narrow" w:hAnsi="Arial Narrow" w:cs="Times New Roman"/>
          <w:sz w:val="24"/>
          <w:szCs w:val="24"/>
        </w:rPr>
      </w:pPr>
      <w:r>
        <w:rPr>
          <w:rFonts w:ascii="Arial Narrow" w:hAnsi="Arial Narrow" w:cs="Times New Roman"/>
          <w:sz w:val="24"/>
          <w:szCs w:val="24"/>
        </w:rPr>
        <w:t xml:space="preserve">Σημαντικότερες υποδομές: </w:t>
      </w:r>
      <w:r w:rsidR="00FC289E">
        <w:rPr>
          <w:rFonts w:ascii="Arial Narrow" w:hAnsi="Arial Narrow" w:cs="Times New Roman"/>
          <w:sz w:val="24"/>
          <w:szCs w:val="24"/>
          <w:lang w:val="en-US"/>
        </w:rPr>
        <w:t>Khalifa</w:t>
      </w:r>
      <w:r w:rsidR="00FC289E" w:rsidRPr="00FC289E">
        <w:rPr>
          <w:rFonts w:ascii="Arial Narrow" w:hAnsi="Arial Narrow" w:cs="Times New Roman"/>
          <w:sz w:val="24"/>
          <w:szCs w:val="24"/>
        </w:rPr>
        <w:t xml:space="preserve"> </w:t>
      </w:r>
      <w:r w:rsidR="00FC289E">
        <w:rPr>
          <w:rFonts w:ascii="Arial Narrow" w:hAnsi="Arial Narrow" w:cs="Times New Roman"/>
          <w:sz w:val="24"/>
          <w:szCs w:val="24"/>
          <w:lang w:val="en-US"/>
        </w:rPr>
        <w:t>Port</w:t>
      </w:r>
      <w:r w:rsidR="00FC289E" w:rsidRPr="00FC289E">
        <w:rPr>
          <w:rFonts w:ascii="Arial Narrow" w:hAnsi="Arial Narrow" w:cs="Times New Roman"/>
          <w:sz w:val="24"/>
          <w:szCs w:val="24"/>
        </w:rPr>
        <w:t xml:space="preserve">, </w:t>
      </w:r>
      <w:r w:rsidR="00FC289E">
        <w:rPr>
          <w:rFonts w:ascii="Arial Narrow" w:hAnsi="Arial Narrow" w:cs="Times New Roman"/>
          <w:sz w:val="24"/>
          <w:szCs w:val="24"/>
        </w:rPr>
        <w:t xml:space="preserve">βιομηχανική ζώνη </w:t>
      </w:r>
      <w:r w:rsidR="00FC289E">
        <w:rPr>
          <w:rFonts w:ascii="Arial Narrow" w:hAnsi="Arial Narrow" w:cs="Times New Roman"/>
          <w:sz w:val="24"/>
          <w:szCs w:val="24"/>
          <w:lang w:val="en-US"/>
        </w:rPr>
        <w:t>KEZAD</w:t>
      </w:r>
      <w:r w:rsidR="00FC289E" w:rsidRPr="00FC289E">
        <w:rPr>
          <w:rFonts w:ascii="Arial Narrow" w:hAnsi="Arial Narrow" w:cs="Times New Roman"/>
          <w:sz w:val="24"/>
          <w:szCs w:val="24"/>
        </w:rPr>
        <w:t xml:space="preserve">, </w:t>
      </w:r>
      <w:r w:rsidR="00FC289E">
        <w:rPr>
          <w:rFonts w:ascii="Arial Narrow" w:hAnsi="Arial Narrow" w:cs="Times New Roman"/>
          <w:sz w:val="24"/>
          <w:szCs w:val="24"/>
        </w:rPr>
        <w:t>Διεθνές Αεροδρόμιο</w:t>
      </w:r>
      <w:r w:rsidR="00FC289E" w:rsidRPr="00FC289E">
        <w:rPr>
          <w:rFonts w:ascii="Arial Narrow" w:hAnsi="Arial Narrow" w:cs="Times New Roman"/>
          <w:sz w:val="24"/>
          <w:szCs w:val="24"/>
        </w:rPr>
        <w:t xml:space="preserve"> </w:t>
      </w:r>
      <w:r w:rsidR="00FC289E">
        <w:rPr>
          <w:rFonts w:ascii="Arial Narrow" w:hAnsi="Arial Narrow" w:cs="Times New Roman"/>
          <w:sz w:val="24"/>
          <w:szCs w:val="24"/>
          <w:lang w:val="en-US"/>
        </w:rPr>
        <w:t>Abu</w:t>
      </w:r>
      <w:r w:rsidR="00FC289E" w:rsidRPr="00FC289E">
        <w:rPr>
          <w:rFonts w:ascii="Arial Narrow" w:hAnsi="Arial Narrow" w:cs="Times New Roman"/>
          <w:sz w:val="24"/>
          <w:szCs w:val="24"/>
        </w:rPr>
        <w:t xml:space="preserve"> </w:t>
      </w:r>
      <w:r w:rsidR="00FC289E">
        <w:rPr>
          <w:rFonts w:ascii="Arial Narrow" w:hAnsi="Arial Narrow" w:cs="Times New Roman"/>
          <w:sz w:val="24"/>
          <w:szCs w:val="24"/>
        </w:rPr>
        <w:t>–</w:t>
      </w:r>
      <w:r w:rsidR="00FC289E" w:rsidRPr="00FC289E">
        <w:rPr>
          <w:rFonts w:ascii="Arial Narrow" w:hAnsi="Arial Narrow" w:cs="Times New Roman"/>
          <w:sz w:val="24"/>
          <w:szCs w:val="24"/>
        </w:rPr>
        <w:t xml:space="preserve"> </w:t>
      </w:r>
      <w:r w:rsidR="00FC289E">
        <w:rPr>
          <w:rFonts w:ascii="Arial Narrow" w:hAnsi="Arial Narrow" w:cs="Times New Roman"/>
          <w:sz w:val="24"/>
          <w:szCs w:val="24"/>
          <w:lang w:val="en-US"/>
        </w:rPr>
        <w:t>Dhabi</w:t>
      </w:r>
      <w:r w:rsidR="00FC289E" w:rsidRPr="00FC289E">
        <w:rPr>
          <w:rFonts w:ascii="Arial Narrow" w:hAnsi="Arial Narrow" w:cs="Times New Roman"/>
          <w:sz w:val="24"/>
          <w:szCs w:val="24"/>
        </w:rPr>
        <w:t xml:space="preserve">, </w:t>
      </w:r>
      <w:r w:rsidR="00FC289E">
        <w:rPr>
          <w:rFonts w:ascii="Arial Narrow" w:hAnsi="Arial Narrow" w:cs="Times New Roman"/>
          <w:sz w:val="24"/>
          <w:szCs w:val="24"/>
          <w:lang w:val="en-US"/>
        </w:rPr>
        <w:t>Etihad</w:t>
      </w:r>
      <w:r w:rsidR="00FC289E" w:rsidRPr="00FC289E">
        <w:rPr>
          <w:rFonts w:ascii="Arial Narrow" w:hAnsi="Arial Narrow" w:cs="Times New Roman"/>
          <w:sz w:val="24"/>
          <w:szCs w:val="24"/>
        </w:rPr>
        <w:t xml:space="preserve"> </w:t>
      </w:r>
      <w:r w:rsidR="00FC289E">
        <w:rPr>
          <w:rFonts w:ascii="Arial Narrow" w:hAnsi="Arial Narrow" w:cs="Times New Roman"/>
          <w:sz w:val="24"/>
          <w:szCs w:val="24"/>
          <w:lang w:val="en-US"/>
        </w:rPr>
        <w:t>Rail</w:t>
      </w:r>
      <w:r w:rsidR="00FC289E" w:rsidRPr="00FC289E">
        <w:rPr>
          <w:rFonts w:ascii="Arial Narrow" w:hAnsi="Arial Narrow" w:cs="Times New Roman"/>
          <w:sz w:val="24"/>
          <w:szCs w:val="24"/>
        </w:rPr>
        <w:t xml:space="preserve"> &amp; </w:t>
      </w:r>
      <w:r w:rsidR="00FC289E">
        <w:rPr>
          <w:rFonts w:ascii="Arial Narrow" w:hAnsi="Arial Narrow" w:cs="Times New Roman"/>
          <w:sz w:val="24"/>
          <w:szCs w:val="24"/>
        </w:rPr>
        <w:t xml:space="preserve">εκτεταμένο οδικό δίκτυο. </w:t>
      </w:r>
    </w:p>
    <w:p w14:paraId="3F9FC5F6" w14:textId="21584BCE" w:rsidR="00FC289E" w:rsidRDefault="00FC289E" w:rsidP="00AD0EEA">
      <w:pPr>
        <w:jc w:val="both"/>
        <w:rPr>
          <w:rFonts w:ascii="Arial Narrow" w:hAnsi="Arial Narrow" w:cs="Times New Roman"/>
          <w:sz w:val="24"/>
          <w:szCs w:val="24"/>
        </w:rPr>
      </w:pPr>
      <w:r>
        <w:rPr>
          <w:rFonts w:ascii="Arial Narrow" w:hAnsi="Arial Narrow" w:cs="Times New Roman"/>
          <w:sz w:val="24"/>
          <w:szCs w:val="24"/>
        </w:rPr>
        <w:t>Στρατηγικά πλεονεκτήματα είναι τα τεράστια κρατικά επενδυτικά κεφάλαια, χαμηλό δημόσιο χρέος, υψηλή πιστοληπτικη αξιολόγηση, συνεχής δημοσιονομική σταθερότητα και ενεργειακή ασφάλεια.</w:t>
      </w:r>
    </w:p>
    <w:p w14:paraId="61B0E1F4" w14:textId="0D605ECC" w:rsidR="00FC289E" w:rsidRDefault="00022BD6" w:rsidP="00AD0EEA">
      <w:pPr>
        <w:jc w:val="both"/>
        <w:rPr>
          <w:rFonts w:ascii="Arial Narrow" w:hAnsi="Arial Narrow" w:cs="Times New Roman"/>
          <w:b/>
          <w:color w:val="1F497D" w:themeColor="text2"/>
          <w:sz w:val="28"/>
          <w:szCs w:val="28"/>
        </w:rPr>
      </w:pPr>
      <w:r>
        <w:rPr>
          <w:rFonts w:ascii="Arial Narrow" w:hAnsi="Arial Narrow" w:cs="Times New Roman"/>
          <w:b/>
          <w:color w:val="1F497D" w:themeColor="text2"/>
          <w:sz w:val="28"/>
          <w:szCs w:val="28"/>
          <w:lang w:val="en-US"/>
        </w:rPr>
        <w:t xml:space="preserve">30.3. </w:t>
      </w:r>
      <w:r w:rsidR="00FC289E" w:rsidRPr="00FC289E">
        <w:rPr>
          <w:rFonts w:ascii="Arial Narrow" w:hAnsi="Arial Narrow" w:cs="Times New Roman"/>
          <w:b/>
          <w:color w:val="1F497D" w:themeColor="text2"/>
          <w:sz w:val="28"/>
          <w:szCs w:val="28"/>
        </w:rPr>
        <w:t xml:space="preserve">ΕΜΙΡΑΤΟ ΤΟΥ ΝΤΟΥΜΠΑΪ </w:t>
      </w:r>
    </w:p>
    <w:p w14:paraId="13C3EFF2" w14:textId="7180746F" w:rsidR="001E1862" w:rsidRDefault="0042065D" w:rsidP="00AD0EEA">
      <w:pPr>
        <w:jc w:val="both"/>
        <w:rPr>
          <w:rFonts w:ascii="Arial Narrow" w:hAnsi="Arial Narrow" w:cs="Times New Roman"/>
          <w:b/>
          <w:sz w:val="24"/>
          <w:szCs w:val="24"/>
        </w:rPr>
      </w:pPr>
      <w:r>
        <w:rPr>
          <w:rFonts w:ascii="Arial Narrow" w:hAnsi="Arial Narrow" w:cs="Times New Roman"/>
          <w:sz w:val="24"/>
          <w:szCs w:val="24"/>
        </w:rPr>
        <w:t xml:space="preserve">Το Εμιράτο του Ντουμπάϊ έχει δημιουργήσει το πλέον διαφοροποιημένο οικονομικό μοντέλο στη Μέση Ανατολή. Πλέον του 95% της τοπικής οικονομίας είναι μη πετρελαϊκή. </w:t>
      </w:r>
      <w:r w:rsidRPr="0042065D">
        <w:rPr>
          <w:rFonts w:ascii="Arial Narrow" w:hAnsi="Arial Narrow" w:cs="Times New Roman"/>
          <w:b/>
          <w:sz w:val="24"/>
          <w:szCs w:val="24"/>
        </w:rPr>
        <w:t>Βασικά οικονομικά στοιχεία</w:t>
      </w:r>
      <w:r>
        <w:rPr>
          <w:rFonts w:ascii="Arial Narrow" w:hAnsi="Arial Narrow" w:cs="Times New Roman"/>
          <w:sz w:val="24"/>
          <w:szCs w:val="24"/>
        </w:rPr>
        <w:t xml:space="preserve"> </w:t>
      </w:r>
      <w:r w:rsidRPr="0042065D">
        <w:rPr>
          <w:rFonts w:ascii="Arial Narrow" w:hAnsi="Arial Narrow" w:cs="Times New Roman"/>
          <w:b/>
          <w:sz w:val="24"/>
          <w:szCs w:val="24"/>
        </w:rPr>
        <w:t>για το πρώτο εξ</w:t>
      </w:r>
      <w:r>
        <w:rPr>
          <w:rFonts w:ascii="Arial Narrow" w:hAnsi="Arial Narrow" w:cs="Times New Roman"/>
          <w:b/>
          <w:sz w:val="24"/>
          <w:szCs w:val="24"/>
        </w:rPr>
        <w:t xml:space="preserve">άμηνο 2025 ΑΕΠ 241 δις </w:t>
      </w:r>
      <w:r>
        <w:rPr>
          <w:rFonts w:ascii="Arial Narrow" w:hAnsi="Arial Narrow" w:cs="Times New Roman"/>
          <w:b/>
          <w:sz w:val="24"/>
          <w:szCs w:val="24"/>
          <w:lang w:val="en-US"/>
        </w:rPr>
        <w:t>AED</w:t>
      </w:r>
      <w:r w:rsidRPr="0042065D">
        <w:rPr>
          <w:rFonts w:ascii="Arial Narrow" w:hAnsi="Arial Narrow" w:cs="Times New Roman"/>
          <w:b/>
          <w:sz w:val="24"/>
          <w:szCs w:val="24"/>
        </w:rPr>
        <w:t xml:space="preserve"> (</w:t>
      </w:r>
      <w:r w:rsidR="008B62E4">
        <w:rPr>
          <w:rFonts w:ascii="Arial Narrow" w:hAnsi="Arial Narrow" w:cs="Times New Roman"/>
          <w:b/>
          <w:sz w:val="24"/>
          <w:szCs w:val="24"/>
        </w:rPr>
        <w:t xml:space="preserve">Ντίρχαμ), για το δεύτερο τρίμηνο 2025 122 δις </w:t>
      </w:r>
      <w:r w:rsidR="008B62E4">
        <w:rPr>
          <w:rFonts w:ascii="Arial Narrow" w:hAnsi="Arial Narrow" w:cs="Times New Roman"/>
          <w:b/>
          <w:sz w:val="24"/>
          <w:szCs w:val="24"/>
          <w:lang w:val="en-US"/>
        </w:rPr>
        <w:t>AED</w:t>
      </w:r>
      <w:r w:rsidR="008B62E4" w:rsidRPr="008B62E4">
        <w:rPr>
          <w:rFonts w:ascii="Arial Narrow" w:hAnsi="Arial Narrow" w:cs="Times New Roman"/>
          <w:b/>
          <w:sz w:val="24"/>
          <w:szCs w:val="24"/>
        </w:rPr>
        <w:t xml:space="preserve"> (</w:t>
      </w:r>
      <w:r w:rsidR="001E1862">
        <w:rPr>
          <w:rFonts w:ascii="Arial Narrow" w:hAnsi="Arial Narrow" w:cs="Times New Roman"/>
          <w:b/>
          <w:sz w:val="24"/>
          <w:szCs w:val="24"/>
        </w:rPr>
        <w:t>Ντίρχαμ), με ανάπτυξη 4,7% περίπου.</w:t>
      </w:r>
    </w:p>
    <w:p w14:paraId="67FFC507" w14:textId="054A637F" w:rsidR="001E1862" w:rsidRDefault="001E1862" w:rsidP="00AD0EEA">
      <w:pPr>
        <w:jc w:val="both"/>
        <w:rPr>
          <w:rFonts w:ascii="Arial Narrow" w:hAnsi="Arial Narrow" w:cs="Times New Roman"/>
          <w:sz w:val="24"/>
          <w:szCs w:val="24"/>
        </w:rPr>
      </w:pPr>
      <w:r>
        <w:rPr>
          <w:rFonts w:ascii="Arial Narrow" w:hAnsi="Arial Narrow" w:cs="Times New Roman"/>
          <w:sz w:val="24"/>
          <w:szCs w:val="24"/>
        </w:rPr>
        <w:t xml:space="preserve">Κύριοι κλάδοι είναι το εμπόριο. Το Εμιράτο του Ντουμπάϊ αποτελεί το μεγαλύτερο εμπορικό κόμβο της Μέσης Ανατολής, το περιφερειακό </w:t>
      </w:r>
      <w:r>
        <w:rPr>
          <w:rFonts w:ascii="Arial Narrow" w:hAnsi="Arial Narrow" w:cs="Times New Roman"/>
          <w:sz w:val="24"/>
          <w:szCs w:val="24"/>
          <w:lang w:val="en-US"/>
        </w:rPr>
        <w:t>logistics</w:t>
      </w:r>
      <w:r w:rsidRPr="001E1862">
        <w:rPr>
          <w:rFonts w:ascii="Arial Narrow" w:hAnsi="Arial Narrow" w:cs="Times New Roman"/>
          <w:sz w:val="24"/>
          <w:szCs w:val="24"/>
        </w:rPr>
        <w:t xml:space="preserve"> </w:t>
      </w:r>
      <w:r>
        <w:rPr>
          <w:rFonts w:ascii="Arial Narrow" w:hAnsi="Arial Narrow" w:cs="Times New Roman"/>
          <w:sz w:val="24"/>
          <w:szCs w:val="24"/>
          <w:lang w:val="en-US"/>
        </w:rPr>
        <w:t>hub</w:t>
      </w:r>
      <w:r w:rsidRPr="001E1862">
        <w:rPr>
          <w:rFonts w:ascii="Arial Narrow" w:hAnsi="Arial Narrow" w:cs="Times New Roman"/>
          <w:sz w:val="24"/>
          <w:szCs w:val="24"/>
        </w:rPr>
        <w:t xml:space="preserve">, </w:t>
      </w:r>
      <w:r>
        <w:rPr>
          <w:rFonts w:ascii="Arial Narrow" w:hAnsi="Arial Narrow" w:cs="Times New Roman"/>
          <w:sz w:val="24"/>
          <w:szCs w:val="24"/>
        </w:rPr>
        <w:t xml:space="preserve">μεγαλύτερο διαμετακομιστικό κέντρο με κύριες εγκαταστάσεις </w:t>
      </w:r>
      <w:r>
        <w:rPr>
          <w:rFonts w:ascii="Arial Narrow" w:hAnsi="Arial Narrow" w:cs="Times New Roman"/>
          <w:sz w:val="24"/>
          <w:szCs w:val="24"/>
          <w:lang w:val="en-US"/>
        </w:rPr>
        <w:t>Jebel</w:t>
      </w:r>
      <w:r w:rsidRPr="001E1862">
        <w:rPr>
          <w:rFonts w:ascii="Arial Narrow" w:hAnsi="Arial Narrow" w:cs="Times New Roman"/>
          <w:sz w:val="24"/>
          <w:szCs w:val="24"/>
        </w:rPr>
        <w:t xml:space="preserve"> </w:t>
      </w:r>
      <w:r>
        <w:rPr>
          <w:rFonts w:ascii="Arial Narrow" w:hAnsi="Arial Narrow" w:cs="Times New Roman"/>
          <w:sz w:val="24"/>
          <w:szCs w:val="24"/>
          <w:lang w:val="en-US"/>
        </w:rPr>
        <w:t>Ali</w:t>
      </w:r>
      <w:r w:rsidRPr="001E1862">
        <w:rPr>
          <w:rFonts w:ascii="Arial Narrow" w:hAnsi="Arial Narrow" w:cs="Times New Roman"/>
          <w:sz w:val="24"/>
          <w:szCs w:val="24"/>
        </w:rPr>
        <w:t xml:space="preserve"> </w:t>
      </w:r>
      <w:r>
        <w:rPr>
          <w:rFonts w:ascii="Arial Narrow" w:hAnsi="Arial Narrow" w:cs="Times New Roman"/>
          <w:sz w:val="24"/>
          <w:szCs w:val="24"/>
          <w:lang w:val="en-US"/>
        </w:rPr>
        <w:t>Port</w:t>
      </w:r>
      <w:r w:rsidRPr="001E1862">
        <w:rPr>
          <w:rFonts w:ascii="Arial Narrow" w:hAnsi="Arial Narrow" w:cs="Times New Roman"/>
          <w:sz w:val="24"/>
          <w:szCs w:val="24"/>
        </w:rPr>
        <w:t xml:space="preserve">, </w:t>
      </w:r>
      <w:r>
        <w:rPr>
          <w:rFonts w:ascii="Arial Narrow" w:hAnsi="Arial Narrow" w:cs="Times New Roman"/>
          <w:sz w:val="24"/>
          <w:szCs w:val="24"/>
          <w:lang w:val="en-US"/>
        </w:rPr>
        <w:t>JAFZA</w:t>
      </w:r>
      <w:r w:rsidRPr="001E1862">
        <w:rPr>
          <w:rFonts w:ascii="Arial Narrow" w:hAnsi="Arial Narrow" w:cs="Times New Roman"/>
          <w:sz w:val="24"/>
          <w:szCs w:val="24"/>
        </w:rPr>
        <w:t xml:space="preserve">, </w:t>
      </w:r>
      <w:r>
        <w:rPr>
          <w:rFonts w:ascii="Arial Narrow" w:hAnsi="Arial Narrow" w:cs="Times New Roman"/>
          <w:sz w:val="24"/>
          <w:szCs w:val="24"/>
          <w:lang w:val="en-US"/>
        </w:rPr>
        <w:t>DUBAI</w:t>
      </w:r>
      <w:r w:rsidRPr="001E1862">
        <w:rPr>
          <w:rFonts w:ascii="Arial Narrow" w:hAnsi="Arial Narrow" w:cs="Times New Roman"/>
          <w:sz w:val="24"/>
          <w:szCs w:val="24"/>
        </w:rPr>
        <w:t xml:space="preserve"> </w:t>
      </w:r>
      <w:r>
        <w:rPr>
          <w:rFonts w:ascii="Arial Narrow" w:hAnsi="Arial Narrow" w:cs="Times New Roman"/>
          <w:sz w:val="24"/>
          <w:szCs w:val="24"/>
          <w:lang w:val="en-US"/>
        </w:rPr>
        <w:t>SOUTH</w:t>
      </w:r>
      <w:r w:rsidRPr="001E1862">
        <w:rPr>
          <w:rFonts w:ascii="Arial Narrow" w:hAnsi="Arial Narrow" w:cs="Times New Roman"/>
          <w:sz w:val="24"/>
          <w:szCs w:val="24"/>
        </w:rPr>
        <w:t xml:space="preserve">. </w:t>
      </w:r>
      <w:r>
        <w:rPr>
          <w:rFonts w:ascii="Arial Narrow" w:hAnsi="Arial Narrow" w:cs="Times New Roman"/>
          <w:sz w:val="24"/>
          <w:szCs w:val="24"/>
        </w:rPr>
        <w:t xml:space="preserve">Στις αερομεταφορές η </w:t>
      </w:r>
      <w:r w:rsidR="00E269A0">
        <w:rPr>
          <w:rFonts w:ascii="Arial Narrow" w:hAnsi="Arial Narrow" w:cs="Times New Roman"/>
          <w:sz w:val="24"/>
          <w:szCs w:val="24"/>
          <w:lang w:val="en-US"/>
        </w:rPr>
        <w:t>EMIRATES</w:t>
      </w:r>
      <w:r w:rsidR="00E269A0" w:rsidRPr="00E269A0">
        <w:rPr>
          <w:rFonts w:ascii="Arial Narrow" w:hAnsi="Arial Narrow" w:cs="Times New Roman"/>
          <w:sz w:val="24"/>
          <w:szCs w:val="24"/>
        </w:rPr>
        <w:t xml:space="preserve"> </w:t>
      </w:r>
      <w:r w:rsidR="00E269A0">
        <w:rPr>
          <w:rFonts w:ascii="Arial Narrow" w:hAnsi="Arial Narrow" w:cs="Times New Roman"/>
          <w:sz w:val="24"/>
          <w:szCs w:val="24"/>
          <w:lang w:val="en-US"/>
        </w:rPr>
        <w:t>AIRLINES</w:t>
      </w:r>
      <w:r w:rsidR="00E269A0" w:rsidRPr="00E269A0">
        <w:rPr>
          <w:rFonts w:ascii="Arial Narrow" w:hAnsi="Arial Narrow" w:cs="Times New Roman"/>
          <w:sz w:val="24"/>
          <w:szCs w:val="24"/>
        </w:rPr>
        <w:t xml:space="preserve"> </w:t>
      </w:r>
      <w:r w:rsidR="00E269A0">
        <w:rPr>
          <w:rFonts w:ascii="Arial Narrow" w:hAnsi="Arial Narrow" w:cs="Times New Roman"/>
          <w:sz w:val="24"/>
          <w:szCs w:val="24"/>
        </w:rPr>
        <w:t xml:space="preserve">αποτελεί τον μεγαλύτερο διεθνή αερομεταφορέα μεγάλων αποστάσεων, με το </w:t>
      </w:r>
      <w:r w:rsidR="00E269A0">
        <w:rPr>
          <w:rFonts w:ascii="Arial Narrow" w:hAnsi="Arial Narrow" w:cs="Times New Roman"/>
          <w:sz w:val="24"/>
          <w:szCs w:val="24"/>
          <w:lang w:val="en-US"/>
        </w:rPr>
        <w:t>DUBAI</w:t>
      </w:r>
      <w:r w:rsidR="00E269A0" w:rsidRPr="00E269A0">
        <w:rPr>
          <w:rFonts w:ascii="Arial Narrow" w:hAnsi="Arial Narrow" w:cs="Times New Roman"/>
          <w:sz w:val="24"/>
          <w:szCs w:val="24"/>
        </w:rPr>
        <w:t xml:space="preserve"> </w:t>
      </w:r>
      <w:r w:rsidR="00E269A0">
        <w:rPr>
          <w:rFonts w:ascii="Arial Narrow" w:hAnsi="Arial Narrow" w:cs="Times New Roman"/>
          <w:sz w:val="24"/>
          <w:szCs w:val="24"/>
          <w:lang w:val="en-US"/>
        </w:rPr>
        <w:t>INTERNATIONAL</w:t>
      </w:r>
      <w:r w:rsidR="00E269A0" w:rsidRPr="00E269A0">
        <w:rPr>
          <w:rFonts w:ascii="Arial Narrow" w:hAnsi="Arial Narrow" w:cs="Times New Roman"/>
          <w:sz w:val="24"/>
          <w:szCs w:val="24"/>
        </w:rPr>
        <w:t xml:space="preserve"> </w:t>
      </w:r>
      <w:r w:rsidR="00E269A0">
        <w:rPr>
          <w:rFonts w:ascii="Arial Narrow" w:hAnsi="Arial Narrow" w:cs="Times New Roman"/>
          <w:sz w:val="24"/>
          <w:szCs w:val="24"/>
          <w:lang w:val="en-US"/>
        </w:rPr>
        <w:t>AIRPORT</w:t>
      </w:r>
      <w:r w:rsidR="00E269A0" w:rsidRPr="00E269A0">
        <w:rPr>
          <w:rFonts w:ascii="Arial Narrow" w:hAnsi="Arial Narrow" w:cs="Times New Roman"/>
          <w:sz w:val="24"/>
          <w:szCs w:val="24"/>
        </w:rPr>
        <w:t xml:space="preserve"> </w:t>
      </w:r>
      <w:r w:rsidR="00E269A0">
        <w:rPr>
          <w:rFonts w:ascii="Arial Narrow" w:hAnsi="Arial Narrow" w:cs="Times New Roman"/>
          <w:sz w:val="24"/>
          <w:szCs w:val="24"/>
        </w:rPr>
        <w:t xml:space="preserve">να παραμένει από τα πλέον πολυσύχναστα διεθνή αεροδρόμια παγκοσμίως. </w:t>
      </w:r>
    </w:p>
    <w:p w14:paraId="11D7A32E" w14:textId="49A5A01B" w:rsidR="00C21A9C" w:rsidRDefault="00C21A9C" w:rsidP="00AD0EEA">
      <w:pPr>
        <w:jc w:val="both"/>
        <w:rPr>
          <w:rFonts w:ascii="Arial Narrow" w:hAnsi="Arial Narrow" w:cs="Times New Roman"/>
          <w:sz w:val="24"/>
          <w:szCs w:val="24"/>
        </w:rPr>
      </w:pPr>
      <w:r>
        <w:rPr>
          <w:rFonts w:ascii="Arial Narrow" w:hAnsi="Arial Narrow" w:cs="Times New Roman"/>
          <w:sz w:val="24"/>
          <w:szCs w:val="24"/>
        </w:rPr>
        <w:t>Για το κλάδο του τουρισμού το Ντουμπάϊ προσελκύει δεκάδες εκατομμύρια τουρίστες και διαθέτει τον μεγαλύτερο αριθμό ξενοδοχείων πολυτελείας στη περιοχή και αποτελεί τον κορυφαίο συνεδριακό προορισμό.</w:t>
      </w:r>
    </w:p>
    <w:p w14:paraId="71FBFF6D" w14:textId="276D17F9" w:rsidR="00C21A9C" w:rsidRDefault="00C21A9C" w:rsidP="00AD0EEA">
      <w:pPr>
        <w:jc w:val="both"/>
        <w:rPr>
          <w:rFonts w:ascii="Arial Narrow" w:hAnsi="Arial Narrow" w:cs="Times New Roman"/>
          <w:sz w:val="24"/>
          <w:szCs w:val="24"/>
        </w:rPr>
      </w:pPr>
      <w:r>
        <w:rPr>
          <w:rFonts w:ascii="Arial Narrow" w:hAnsi="Arial Narrow" w:cs="Times New Roman"/>
          <w:sz w:val="24"/>
          <w:szCs w:val="24"/>
        </w:rPr>
        <w:t xml:space="preserve">Στο τομέα του </w:t>
      </w:r>
      <w:r>
        <w:rPr>
          <w:rFonts w:ascii="Arial Narrow" w:hAnsi="Arial Narrow" w:cs="Times New Roman"/>
          <w:sz w:val="24"/>
          <w:szCs w:val="24"/>
          <w:lang w:val="en-US"/>
        </w:rPr>
        <w:t>Real</w:t>
      </w:r>
      <w:r w:rsidRPr="00C21A9C">
        <w:rPr>
          <w:rFonts w:ascii="Arial Narrow" w:hAnsi="Arial Narrow" w:cs="Times New Roman"/>
          <w:sz w:val="24"/>
          <w:szCs w:val="24"/>
        </w:rPr>
        <w:t xml:space="preserve"> </w:t>
      </w:r>
      <w:r>
        <w:rPr>
          <w:rFonts w:ascii="Arial Narrow" w:hAnsi="Arial Narrow" w:cs="Times New Roman"/>
          <w:sz w:val="24"/>
          <w:szCs w:val="24"/>
          <w:lang w:val="en-US"/>
        </w:rPr>
        <w:t>Estate</w:t>
      </w:r>
      <w:r w:rsidRPr="00C21A9C">
        <w:rPr>
          <w:rFonts w:ascii="Arial Narrow" w:hAnsi="Arial Narrow" w:cs="Times New Roman"/>
          <w:sz w:val="24"/>
          <w:szCs w:val="24"/>
        </w:rPr>
        <w:t xml:space="preserve"> </w:t>
      </w:r>
      <w:r>
        <w:rPr>
          <w:rFonts w:ascii="Arial Narrow" w:hAnsi="Arial Narrow" w:cs="Times New Roman"/>
          <w:sz w:val="24"/>
          <w:szCs w:val="24"/>
        </w:rPr>
        <w:t>το Ντουμπάϊ είναι από τις μεγαλύτερες αγορές ακινήτων διεθνώς. Βασικά</w:t>
      </w:r>
      <w:r w:rsidRPr="00C21A9C">
        <w:rPr>
          <w:rFonts w:ascii="Arial Narrow" w:hAnsi="Arial Narrow" w:cs="Times New Roman"/>
          <w:sz w:val="24"/>
          <w:szCs w:val="24"/>
          <w:lang w:val="en-AE"/>
        </w:rPr>
        <w:t xml:space="preserve"> </w:t>
      </w:r>
      <w:r>
        <w:rPr>
          <w:rFonts w:ascii="Arial Narrow" w:hAnsi="Arial Narrow" w:cs="Times New Roman"/>
          <w:sz w:val="24"/>
          <w:szCs w:val="24"/>
        </w:rPr>
        <w:t>έργα</w:t>
      </w:r>
      <w:r w:rsidRPr="00C21A9C">
        <w:rPr>
          <w:rFonts w:ascii="Arial Narrow" w:hAnsi="Arial Narrow" w:cs="Times New Roman"/>
          <w:sz w:val="24"/>
          <w:szCs w:val="24"/>
          <w:lang w:val="en-AE"/>
        </w:rPr>
        <w:t xml:space="preserve"> </w:t>
      </w:r>
      <w:r>
        <w:rPr>
          <w:rFonts w:ascii="Arial Narrow" w:hAnsi="Arial Narrow" w:cs="Times New Roman"/>
          <w:sz w:val="24"/>
          <w:szCs w:val="24"/>
        </w:rPr>
        <w:t>είναι</w:t>
      </w:r>
      <w:r w:rsidRPr="00C21A9C">
        <w:rPr>
          <w:rFonts w:ascii="Arial Narrow" w:hAnsi="Arial Narrow" w:cs="Times New Roman"/>
          <w:sz w:val="24"/>
          <w:szCs w:val="24"/>
          <w:lang w:val="en-AE"/>
        </w:rPr>
        <w:t xml:space="preserve"> </w:t>
      </w:r>
      <w:r>
        <w:rPr>
          <w:rFonts w:ascii="Arial Narrow" w:hAnsi="Arial Narrow" w:cs="Times New Roman"/>
          <w:sz w:val="24"/>
          <w:szCs w:val="24"/>
          <w:lang w:val="en-US"/>
        </w:rPr>
        <w:t xml:space="preserve">Downtown, Palm Jumeirah, Dubai Marina, Dubai Creek Harbour &amp; Expo City. </w:t>
      </w:r>
      <w:r>
        <w:rPr>
          <w:rFonts w:ascii="Arial Narrow" w:hAnsi="Arial Narrow" w:cs="Times New Roman"/>
          <w:sz w:val="24"/>
          <w:szCs w:val="24"/>
        </w:rPr>
        <w:t xml:space="preserve">Το </w:t>
      </w:r>
      <w:r>
        <w:rPr>
          <w:rFonts w:ascii="Arial Narrow" w:hAnsi="Arial Narrow" w:cs="Times New Roman"/>
          <w:sz w:val="24"/>
          <w:szCs w:val="24"/>
          <w:lang w:val="en-US"/>
        </w:rPr>
        <w:t>DIFC</w:t>
      </w:r>
      <w:r w:rsidRPr="00C21A9C">
        <w:rPr>
          <w:rFonts w:ascii="Arial Narrow" w:hAnsi="Arial Narrow" w:cs="Times New Roman"/>
          <w:sz w:val="24"/>
          <w:szCs w:val="24"/>
        </w:rPr>
        <w:t xml:space="preserve"> </w:t>
      </w:r>
      <w:r>
        <w:rPr>
          <w:rFonts w:ascii="Arial Narrow" w:hAnsi="Arial Narrow" w:cs="Times New Roman"/>
          <w:sz w:val="24"/>
          <w:szCs w:val="24"/>
        </w:rPr>
        <w:t xml:space="preserve">αποτελεί το σημαντικότερο χρηματοπιστωτικό κέντρο της περιοχής. </w:t>
      </w:r>
    </w:p>
    <w:p w14:paraId="1F3D830D" w14:textId="607E1A1F" w:rsidR="00C21A9C" w:rsidRDefault="00C21A9C" w:rsidP="00AD0EEA">
      <w:pPr>
        <w:jc w:val="both"/>
        <w:rPr>
          <w:rFonts w:ascii="Arial Narrow" w:hAnsi="Arial Narrow" w:cs="Times New Roman"/>
          <w:sz w:val="24"/>
          <w:szCs w:val="24"/>
        </w:rPr>
      </w:pPr>
      <w:r>
        <w:rPr>
          <w:rFonts w:ascii="Arial Narrow" w:hAnsi="Arial Narrow" w:cs="Times New Roman"/>
          <w:sz w:val="24"/>
          <w:szCs w:val="24"/>
        </w:rPr>
        <w:t xml:space="preserve">Στο τομέα της ψηφιακής οικονομίας έχουν επενδυθεί σημαντικά κεφάλαια σε τομείς όπως </w:t>
      </w:r>
      <w:r>
        <w:rPr>
          <w:rFonts w:ascii="Arial Narrow" w:hAnsi="Arial Narrow" w:cs="Times New Roman"/>
          <w:sz w:val="24"/>
          <w:szCs w:val="24"/>
          <w:lang w:val="en-US"/>
        </w:rPr>
        <w:t>AI</w:t>
      </w:r>
      <w:r w:rsidRPr="00C21A9C">
        <w:rPr>
          <w:rFonts w:ascii="Arial Narrow" w:hAnsi="Arial Narrow" w:cs="Times New Roman"/>
          <w:sz w:val="24"/>
          <w:szCs w:val="24"/>
        </w:rPr>
        <w:t xml:space="preserve"> (</w:t>
      </w:r>
      <w:r>
        <w:rPr>
          <w:rFonts w:ascii="Arial Narrow" w:hAnsi="Arial Narrow" w:cs="Times New Roman"/>
          <w:sz w:val="24"/>
          <w:szCs w:val="24"/>
          <w:lang w:val="en-US"/>
        </w:rPr>
        <w:t>Articial</w:t>
      </w:r>
      <w:r w:rsidRPr="00C21A9C">
        <w:rPr>
          <w:rFonts w:ascii="Arial Narrow" w:hAnsi="Arial Narrow" w:cs="Times New Roman"/>
          <w:sz w:val="24"/>
          <w:szCs w:val="24"/>
        </w:rPr>
        <w:t xml:space="preserve"> </w:t>
      </w:r>
      <w:r>
        <w:rPr>
          <w:rFonts w:ascii="Arial Narrow" w:hAnsi="Arial Narrow" w:cs="Times New Roman"/>
          <w:sz w:val="24"/>
          <w:szCs w:val="24"/>
          <w:lang w:val="en-US"/>
        </w:rPr>
        <w:t>Interlligence</w:t>
      </w:r>
      <w:r w:rsidRPr="00C21A9C">
        <w:rPr>
          <w:rFonts w:ascii="Arial Narrow" w:hAnsi="Arial Narrow" w:cs="Times New Roman"/>
          <w:sz w:val="24"/>
          <w:szCs w:val="24"/>
        </w:rPr>
        <w:t xml:space="preserve">), </w:t>
      </w:r>
      <w:r>
        <w:rPr>
          <w:rFonts w:ascii="Arial Narrow" w:hAnsi="Arial Narrow" w:cs="Times New Roman"/>
          <w:sz w:val="24"/>
          <w:szCs w:val="24"/>
          <w:lang w:val="en-US"/>
        </w:rPr>
        <w:t>Blckchain</w:t>
      </w:r>
      <w:r w:rsidRPr="00C21A9C">
        <w:rPr>
          <w:rFonts w:ascii="Arial Narrow" w:hAnsi="Arial Narrow" w:cs="Times New Roman"/>
          <w:sz w:val="24"/>
          <w:szCs w:val="24"/>
        </w:rPr>
        <w:t xml:space="preserve">, </w:t>
      </w:r>
      <w:r>
        <w:rPr>
          <w:rFonts w:ascii="Arial Narrow" w:hAnsi="Arial Narrow" w:cs="Times New Roman"/>
          <w:sz w:val="24"/>
          <w:szCs w:val="24"/>
          <w:lang w:val="en-US"/>
        </w:rPr>
        <w:t>FinTech</w:t>
      </w:r>
      <w:r w:rsidRPr="00C21A9C">
        <w:rPr>
          <w:rFonts w:ascii="Arial Narrow" w:hAnsi="Arial Narrow" w:cs="Times New Roman"/>
          <w:sz w:val="24"/>
          <w:szCs w:val="24"/>
        </w:rPr>
        <w:t xml:space="preserve"> &amp; </w:t>
      </w:r>
      <w:r>
        <w:rPr>
          <w:rFonts w:ascii="Arial Narrow" w:hAnsi="Arial Narrow" w:cs="Times New Roman"/>
          <w:sz w:val="24"/>
          <w:szCs w:val="24"/>
          <w:lang w:val="en-US"/>
        </w:rPr>
        <w:t>Smart</w:t>
      </w:r>
      <w:r w:rsidRPr="00C21A9C">
        <w:rPr>
          <w:rFonts w:ascii="Arial Narrow" w:hAnsi="Arial Narrow" w:cs="Times New Roman"/>
          <w:sz w:val="24"/>
          <w:szCs w:val="24"/>
        </w:rPr>
        <w:t xml:space="preserve"> </w:t>
      </w:r>
      <w:r>
        <w:rPr>
          <w:rFonts w:ascii="Arial Narrow" w:hAnsi="Arial Narrow" w:cs="Times New Roman"/>
          <w:sz w:val="24"/>
          <w:szCs w:val="24"/>
          <w:lang w:val="en-US"/>
        </w:rPr>
        <w:t>Government</w:t>
      </w:r>
      <w:r w:rsidRPr="00C21A9C">
        <w:rPr>
          <w:rFonts w:ascii="Arial Narrow" w:hAnsi="Arial Narrow" w:cs="Times New Roman"/>
          <w:sz w:val="24"/>
          <w:szCs w:val="24"/>
        </w:rPr>
        <w:t xml:space="preserve">. </w:t>
      </w:r>
    </w:p>
    <w:p w14:paraId="67C5792F" w14:textId="4897D1C7" w:rsidR="005C2492" w:rsidRDefault="009979BD" w:rsidP="00AD0EEA">
      <w:pPr>
        <w:jc w:val="both"/>
        <w:rPr>
          <w:rFonts w:ascii="Arial Narrow" w:hAnsi="Arial Narrow" w:cs="Times New Roman"/>
          <w:sz w:val="24"/>
          <w:szCs w:val="24"/>
        </w:rPr>
      </w:pPr>
      <w:r>
        <w:rPr>
          <w:rFonts w:ascii="Arial Narrow" w:hAnsi="Arial Narrow" w:cs="Times New Roman"/>
          <w:sz w:val="24"/>
          <w:szCs w:val="24"/>
        </w:rPr>
        <w:t>Ως κύριες διαφορές μεταξύ των δύο Εμιράτων είναι ότι το Αμπου – Ντάμπι διαθέτει τον μεγαλύτερο δημοσιονομικό πλούτο, την ισχυρότερη βιομηχανική βάση των ΗΑΕ, ενώ αποτελεί ενεργειακή υπερδύναμη, με κρατικές επενδύσεις και στρατηγικό σχεδιασμό μακράς διάρκειας. Αντιστοίχως το Εμιράτο του Ντουμπάϊ αποτελεί διεθνές επιχειρηματικό κέντρο, με μεγαλύτερη διαφοροποίηση της οικονομίας, εμπόριο, τουρισμό, χρηματοπιστωτικές υπηρεσίες, ακίνητα και ψηφιακή οικονομία.</w:t>
      </w:r>
    </w:p>
    <w:p w14:paraId="0357A161" w14:textId="4C67A73A" w:rsidR="009979BD" w:rsidRPr="009979BD" w:rsidRDefault="00022BD6" w:rsidP="00022BD6">
      <w:pPr>
        <w:jc w:val="center"/>
        <w:rPr>
          <w:rFonts w:ascii="Arial Narrow" w:hAnsi="Arial Narrow" w:cs="Times New Roman"/>
          <w:b/>
          <w:color w:val="1F497D" w:themeColor="text2"/>
          <w:sz w:val="28"/>
          <w:szCs w:val="28"/>
        </w:rPr>
      </w:pPr>
      <w:r>
        <w:rPr>
          <w:rFonts w:ascii="Arial Narrow" w:hAnsi="Arial Narrow" w:cs="Times New Roman"/>
          <w:b/>
          <w:color w:val="1F497D" w:themeColor="text2"/>
          <w:sz w:val="28"/>
          <w:szCs w:val="28"/>
          <w:lang w:val="en-US"/>
        </w:rPr>
        <w:t xml:space="preserve">30.4. </w:t>
      </w:r>
      <w:r w:rsidR="009979BD" w:rsidRPr="009979BD">
        <w:rPr>
          <w:rFonts w:ascii="Arial Narrow" w:hAnsi="Arial Narrow" w:cs="Times New Roman"/>
          <w:b/>
          <w:color w:val="1F497D" w:themeColor="text2"/>
          <w:sz w:val="28"/>
          <w:szCs w:val="28"/>
        </w:rPr>
        <w:t>ΣΥΓΚΡΙΤΙΚΑ ΠΛΕΟΝΕΚΤΗΜΑΤΑ ΓΙΑ ΤΗΝ ΕΛΛΑΔΑ</w:t>
      </w:r>
    </w:p>
    <w:p w14:paraId="544FDC16" w14:textId="0083094F" w:rsidR="009979BD" w:rsidRDefault="009979BD" w:rsidP="00AD0EEA">
      <w:pPr>
        <w:jc w:val="both"/>
        <w:rPr>
          <w:rFonts w:ascii="Arial Narrow" w:hAnsi="Arial Narrow" w:cs="Times New Roman"/>
          <w:b/>
          <w:sz w:val="24"/>
          <w:szCs w:val="24"/>
        </w:rPr>
      </w:pPr>
      <w:r>
        <w:rPr>
          <w:rFonts w:ascii="Arial Narrow" w:hAnsi="Arial Narrow" w:cs="Times New Roman"/>
          <w:sz w:val="24"/>
          <w:szCs w:val="24"/>
        </w:rPr>
        <w:t>Για μεν το Εμιράτο του Αμπου – Ντάμπι</w:t>
      </w:r>
      <w:r w:rsidR="009967F1">
        <w:rPr>
          <w:rFonts w:ascii="Arial Narrow" w:hAnsi="Arial Narrow" w:cs="Times New Roman"/>
          <w:sz w:val="24"/>
          <w:szCs w:val="24"/>
        </w:rPr>
        <w:t xml:space="preserve"> </w:t>
      </w:r>
      <w:r w:rsidR="004E22C9">
        <w:rPr>
          <w:rFonts w:ascii="Arial Narrow" w:hAnsi="Arial Narrow" w:cs="Times New Roman"/>
          <w:sz w:val="24"/>
          <w:szCs w:val="24"/>
        </w:rPr>
        <w:t xml:space="preserve">τα συγκριτικά πλεονεκτήματα για την Ελλάδα συνοψίζονται στα εξής: </w:t>
      </w:r>
      <w:r w:rsidR="004E22C9">
        <w:rPr>
          <w:rFonts w:ascii="Arial Narrow" w:hAnsi="Arial Narrow" w:cs="Times New Roman"/>
          <w:b/>
          <w:sz w:val="24"/>
          <w:szCs w:val="24"/>
        </w:rPr>
        <w:t xml:space="preserve">ενέργεια, υδρογόνο, άμυνα, υποδομές, αγροδιατροφή, υγεία, φαρμακευτικά προϊόντα, ναυπηγική &amp; λιμενικές υπηρεσίες. </w:t>
      </w:r>
      <w:r w:rsidR="004E22C9">
        <w:rPr>
          <w:rFonts w:ascii="Arial Narrow" w:hAnsi="Arial Narrow" w:cs="Times New Roman"/>
          <w:sz w:val="24"/>
          <w:szCs w:val="24"/>
        </w:rPr>
        <w:t xml:space="preserve">Για το Εμιράτο του Ντουμπάϊ συνοψιζονται αντίστοιχα στα εξής: </w:t>
      </w:r>
      <w:r w:rsidR="004E22C9">
        <w:rPr>
          <w:rFonts w:ascii="Arial Narrow" w:hAnsi="Arial Narrow" w:cs="Times New Roman"/>
          <w:b/>
          <w:sz w:val="24"/>
          <w:szCs w:val="24"/>
        </w:rPr>
        <w:t xml:space="preserve">εξαγωγές ελληνικών τροφίμων, τουρισμός, ναυτιλία, </w:t>
      </w:r>
      <w:r w:rsidR="004E22C9">
        <w:rPr>
          <w:rFonts w:ascii="Arial Narrow" w:hAnsi="Arial Narrow" w:cs="Times New Roman"/>
          <w:b/>
          <w:sz w:val="24"/>
          <w:szCs w:val="24"/>
          <w:lang w:val="en-US"/>
        </w:rPr>
        <w:t>logistics</w:t>
      </w:r>
      <w:r w:rsidR="004E22C9" w:rsidRPr="004E22C9">
        <w:rPr>
          <w:rFonts w:ascii="Arial Narrow" w:hAnsi="Arial Narrow" w:cs="Times New Roman"/>
          <w:b/>
          <w:sz w:val="24"/>
          <w:szCs w:val="24"/>
        </w:rPr>
        <w:t xml:space="preserve">, </w:t>
      </w:r>
      <w:r w:rsidR="004E22C9">
        <w:rPr>
          <w:rFonts w:ascii="Arial Narrow" w:hAnsi="Arial Narrow" w:cs="Times New Roman"/>
          <w:b/>
          <w:sz w:val="24"/>
          <w:szCs w:val="24"/>
        </w:rPr>
        <w:t xml:space="preserve">τεχνολογία, </w:t>
      </w:r>
      <w:r w:rsidR="00D158CE">
        <w:rPr>
          <w:rFonts w:ascii="Arial Narrow" w:hAnsi="Arial Narrow" w:cs="Times New Roman"/>
          <w:b/>
          <w:sz w:val="24"/>
          <w:szCs w:val="24"/>
          <w:lang w:val="en-US"/>
        </w:rPr>
        <w:t>startups</w:t>
      </w:r>
      <w:r w:rsidR="00D158CE" w:rsidRPr="00D158CE">
        <w:rPr>
          <w:rFonts w:ascii="Arial Narrow" w:hAnsi="Arial Narrow" w:cs="Times New Roman"/>
          <w:b/>
          <w:sz w:val="24"/>
          <w:szCs w:val="24"/>
        </w:rPr>
        <w:t xml:space="preserve">, </w:t>
      </w:r>
      <w:r w:rsidR="00D158CE">
        <w:rPr>
          <w:rFonts w:ascii="Arial Narrow" w:hAnsi="Arial Narrow" w:cs="Times New Roman"/>
          <w:b/>
          <w:sz w:val="24"/>
          <w:szCs w:val="24"/>
        </w:rPr>
        <w:t xml:space="preserve">εκπαίδευση, χρηματοοικονομικές υπηρεσίες, </w:t>
      </w:r>
      <w:r w:rsidR="00D158CE">
        <w:rPr>
          <w:rFonts w:ascii="Arial Narrow" w:hAnsi="Arial Narrow" w:cs="Times New Roman"/>
          <w:b/>
          <w:sz w:val="24"/>
          <w:szCs w:val="24"/>
          <w:lang w:val="en-US"/>
        </w:rPr>
        <w:t>real</w:t>
      </w:r>
      <w:r w:rsidR="00D158CE" w:rsidRPr="00D158CE">
        <w:rPr>
          <w:rFonts w:ascii="Arial Narrow" w:hAnsi="Arial Narrow" w:cs="Times New Roman"/>
          <w:b/>
          <w:sz w:val="24"/>
          <w:szCs w:val="24"/>
        </w:rPr>
        <w:t xml:space="preserve"> </w:t>
      </w:r>
      <w:r w:rsidR="00D158CE">
        <w:rPr>
          <w:rFonts w:ascii="Arial Narrow" w:hAnsi="Arial Narrow" w:cs="Times New Roman"/>
          <w:b/>
          <w:sz w:val="24"/>
          <w:szCs w:val="24"/>
          <w:lang w:val="en-US"/>
        </w:rPr>
        <w:t>estate</w:t>
      </w:r>
      <w:r w:rsidR="00D158CE" w:rsidRPr="00D158CE">
        <w:rPr>
          <w:rFonts w:ascii="Arial Narrow" w:hAnsi="Arial Narrow" w:cs="Times New Roman"/>
          <w:b/>
          <w:sz w:val="24"/>
          <w:szCs w:val="24"/>
        </w:rPr>
        <w:t xml:space="preserve"> &amp; </w:t>
      </w:r>
      <w:r w:rsidR="00D158CE">
        <w:rPr>
          <w:rFonts w:ascii="Arial Narrow" w:hAnsi="Arial Narrow" w:cs="Times New Roman"/>
          <w:b/>
          <w:sz w:val="24"/>
          <w:szCs w:val="24"/>
        </w:rPr>
        <w:t xml:space="preserve">λιανικό εμπόριο. </w:t>
      </w:r>
    </w:p>
    <w:p w14:paraId="5824A46E" w14:textId="1E0C9F53" w:rsidR="00D158CE" w:rsidRDefault="00022BD6" w:rsidP="00022BD6">
      <w:pPr>
        <w:jc w:val="center"/>
        <w:rPr>
          <w:rFonts w:ascii="Arial Narrow" w:hAnsi="Arial Narrow" w:cs="Times New Roman"/>
          <w:b/>
          <w:color w:val="1F497D" w:themeColor="text2"/>
          <w:sz w:val="28"/>
          <w:szCs w:val="28"/>
        </w:rPr>
      </w:pPr>
      <w:r>
        <w:rPr>
          <w:rFonts w:ascii="Arial Narrow" w:hAnsi="Arial Narrow" w:cs="Times New Roman"/>
          <w:b/>
          <w:color w:val="1F497D" w:themeColor="text2"/>
          <w:sz w:val="28"/>
          <w:szCs w:val="28"/>
          <w:lang w:val="en-US"/>
        </w:rPr>
        <w:t xml:space="preserve">30.5. </w:t>
      </w:r>
      <w:r w:rsidR="00D158CE" w:rsidRPr="00D158CE">
        <w:rPr>
          <w:rFonts w:ascii="Arial Narrow" w:hAnsi="Arial Narrow" w:cs="Times New Roman"/>
          <w:b/>
          <w:color w:val="1F497D" w:themeColor="text2"/>
          <w:sz w:val="28"/>
          <w:szCs w:val="28"/>
        </w:rPr>
        <w:t>ΠΡΟΟΠΤΙΚΕΣ 2026-2030</w:t>
      </w:r>
    </w:p>
    <w:p w14:paraId="31E9C824" w14:textId="3560CBDA" w:rsidR="00D158CE" w:rsidRPr="00A14CCC" w:rsidRDefault="00D158CE" w:rsidP="00AD0EEA">
      <w:pPr>
        <w:jc w:val="both"/>
        <w:rPr>
          <w:rFonts w:ascii="Arial Narrow" w:hAnsi="Arial Narrow" w:cs="Times New Roman"/>
          <w:b/>
          <w:sz w:val="24"/>
          <w:szCs w:val="24"/>
        </w:rPr>
      </w:pPr>
      <w:r>
        <w:rPr>
          <w:rFonts w:ascii="Arial Narrow" w:hAnsi="Arial Narrow" w:cs="Times New Roman"/>
          <w:sz w:val="24"/>
          <w:szCs w:val="24"/>
        </w:rPr>
        <w:t>Οι δύο οικονομίες αναμένεται να παραμείνουν συμπληρωματικές. Το Αμπου Ντάμπι θα συνεχίσει να αποτελεί τον βασικό επενδυτικό και ενεργειακό πυλώνα των ΗΑΕ, επιταχύνοντας τη διαφοροποίηση μέσω της βιομηχανίας, της καθαρής ενέργειας και των κρατικών επενδυτικών ταμείων. Οι πρόσφατες επιδόσεις δείχνουν αυξανόμενη συμμετοχή των μη πετρελαϊκών κλάδων στο ΑΕΠ. Το Ντουμπάϊ θα ενισχύσει το ρόλο του ως παγκόσμιο κέντρο εμπορίου, χρηματοοικονομικών υπηρεσιών, τουρισμού &amp; ψηφιακής οικονομίας, με οικονομία</w:t>
      </w:r>
      <w:r w:rsidR="00A14CCC">
        <w:rPr>
          <w:rFonts w:ascii="Arial Narrow" w:hAnsi="Arial Narrow" w:cs="Times New Roman"/>
          <w:sz w:val="24"/>
          <w:szCs w:val="24"/>
        </w:rPr>
        <w:t xml:space="preserve"> που παραμένει σε συντριπτικό ποσοστό άνω του 95% μη πετρελαϊκή και στηρίζεται στη συνεχή προσέλκυση επιχειρήσεων, επενδύσεων και ανθρώπινου δυναμικού. </w:t>
      </w:r>
      <w:r w:rsidR="00A14CCC">
        <w:rPr>
          <w:rFonts w:ascii="Arial Narrow" w:hAnsi="Arial Narrow" w:cs="Times New Roman"/>
          <w:b/>
          <w:sz w:val="24"/>
          <w:szCs w:val="24"/>
        </w:rPr>
        <w:t>Για σκοπούς οικονομικής διπλωματίας, η συνδυασμένη αξιοποίηση των δύο Εμιράτων προσφέρει στην Ελλάδα πρόσβαση τόσο στα μεγάλα κρατικά επενδυτικά κεφάλαια και τη βιομηχανική βάση του Αμπου – Ντάμπι όσο και στο παγκόσμιο δίκτυο εμπορίου, υπηρεσιών και διανομής του Ντουμπάϊ.</w:t>
      </w:r>
    </w:p>
    <w:p w14:paraId="3AA003A1" w14:textId="7415E141" w:rsidR="00AE5F31" w:rsidRPr="00520358" w:rsidRDefault="00022BD6" w:rsidP="00E923A4">
      <w:pPr>
        <w:rPr>
          <w:rFonts w:ascii="Arial Narrow" w:eastAsia="Times New Roman" w:hAnsi="Arial Narrow" w:cs="Times New Roman"/>
          <w:b/>
          <w:color w:val="1F497D" w:themeColor="text2"/>
          <w:sz w:val="28"/>
          <w:szCs w:val="28"/>
        </w:rPr>
      </w:pPr>
      <w:bookmarkStart w:id="7" w:name="_Toc496023358"/>
      <w:bookmarkStart w:id="8" w:name="_Toc496025309"/>
      <w:bookmarkStart w:id="9" w:name="_Toc496026310"/>
      <w:bookmarkStart w:id="10" w:name="_Toc496097567"/>
      <w:bookmarkStart w:id="11" w:name="_Toc496099476"/>
      <w:bookmarkStart w:id="12" w:name="_Toc14342457"/>
      <w:r>
        <w:rPr>
          <w:rFonts w:ascii="Arial Narrow" w:eastAsia="Calibri" w:hAnsi="Arial Narrow" w:cs="Times New Roman"/>
          <w:b/>
          <w:color w:val="1F497D" w:themeColor="text2"/>
          <w:sz w:val="28"/>
          <w:szCs w:val="28"/>
          <w:lang w:val="en-US"/>
        </w:rPr>
        <w:t xml:space="preserve">30.6 </w:t>
      </w:r>
      <w:r w:rsidR="007600A1">
        <w:rPr>
          <w:rFonts w:ascii="Arial Narrow" w:eastAsia="Calibri" w:hAnsi="Arial Narrow" w:cs="Times New Roman"/>
          <w:b/>
          <w:color w:val="1F497D" w:themeColor="text2"/>
          <w:sz w:val="28"/>
          <w:szCs w:val="28"/>
        </w:rPr>
        <w:t xml:space="preserve">ΕΜΙΡΑΤΟ ΤΗΣ </w:t>
      </w:r>
      <w:r w:rsidR="00AE5F31" w:rsidRPr="00520358">
        <w:rPr>
          <w:rFonts w:ascii="Arial Narrow" w:eastAsia="Calibri" w:hAnsi="Arial Narrow" w:cs="Times New Roman"/>
          <w:b/>
          <w:color w:val="1F497D" w:themeColor="text2"/>
          <w:sz w:val="28"/>
          <w:szCs w:val="28"/>
          <w:lang w:val="en-GB"/>
        </w:rPr>
        <w:t>Sharjah</w:t>
      </w:r>
      <w:bookmarkEnd w:id="7"/>
      <w:bookmarkEnd w:id="8"/>
      <w:bookmarkEnd w:id="9"/>
      <w:bookmarkEnd w:id="10"/>
      <w:bookmarkEnd w:id="11"/>
      <w:bookmarkEnd w:id="12"/>
      <w:r w:rsidR="00671D6F" w:rsidRPr="00520358">
        <w:rPr>
          <w:rFonts w:ascii="Arial Narrow" w:eastAsia="Calibri" w:hAnsi="Arial Narrow" w:cs="Times New Roman"/>
          <w:b/>
          <w:color w:val="1F497D" w:themeColor="text2"/>
          <w:sz w:val="28"/>
          <w:szCs w:val="28"/>
        </w:rPr>
        <w:t xml:space="preserve"> (Σάρ</w:t>
      </w:r>
      <w:r w:rsidR="00A94807" w:rsidRPr="00520358">
        <w:rPr>
          <w:rFonts w:ascii="Arial Narrow" w:eastAsia="Calibri" w:hAnsi="Arial Narrow" w:cs="Times New Roman"/>
          <w:b/>
          <w:color w:val="1F497D" w:themeColor="text2"/>
          <w:sz w:val="28"/>
          <w:szCs w:val="28"/>
        </w:rPr>
        <w:t>τ</w:t>
      </w:r>
      <w:r w:rsidR="00671D6F" w:rsidRPr="00520358">
        <w:rPr>
          <w:rFonts w:ascii="Arial Narrow" w:eastAsia="Calibri" w:hAnsi="Arial Narrow" w:cs="Times New Roman"/>
          <w:b/>
          <w:color w:val="1F497D" w:themeColor="text2"/>
          <w:sz w:val="28"/>
          <w:szCs w:val="28"/>
        </w:rPr>
        <w:t>ζα)</w:t>
      </w:r>
    </w:p>
    <w:p w14:paraId="4B8A9591" w14:textId="01338DC9" w:rsidR="007C2506" w:rsidRPr="00520358" w:rsidRDefault="00E41919" w:rsidP="00D32119">
      <w:pPr>
        <w:suppressAutoHyphens/>
        <w:autoSpaceDN w:val="0"/>
        <w:ind w:firstLine="567"/>
        <w:jc w:val="both"/>
        <w:rPr>
          <w:rFonts w:ascii="Arial Narrow" w:eastAsia="Times New Roman" w:hAnsi="Arial Narrow" w:cs="Times New Roman"/>
          <w:bCs/>
          <w:sz w:val="24"/>
          <w:szCs w:val="24"/>
        </w:rPr>
      </w:pPr>
      <w:r w:rsidRPr="00520358">
        <w:rPr>
          <w:rFonts w:ascii="Arial Narrow" w:eastAsia="Times New Roman" w:hAnsi="Arial Narrow" w:cs="Times New Roman"/>
          <w:bCs/>
          <w:sz w:val="24"/>
          <w:szCs w:val="24"/>
        </w:rPr>
        <w:t xml:space="preserve">Αποτελεί το </w:t>
      </w:r>
      <w:r w:rsidRPr="00520358">
        <w:rPr>
          <w:rFonts w:ascii="Arial Narrow" w:eastAsia="Times New Roman" w:hAnsi="Arial Narrow" w:cs="Times New Roman"/>
          <w:b/>
          <w:bCs/>
          <w:sz w:val="24"/>
          <w:szCs w:val="24"/>
        </w:rPr>
        <w:t>3</w:t>
      </w:r>
      <w:r w:rsidR="005B3B1A" w:rsidRPr="00520358">
        <w:rPr>
          <w:rFonts w:ascii="Arial Narrow" w:eastAsia="Times New Roman" w:hAnsi="Arial Narrow" w:cs="Times New Roman"/>
          <w:b/>
          <w:bCs/>
          <w:sz w:val="24"/>
          <w:szCs w:val="24"/>
          <w:vertAlign w:val="superscript"/>
        </w:rPr>
        <w:t>ο</w:t>
      </w:r>
      <w:r w:rsidR="005B3B1A" w:rsidRPr="00520358">
        <w:rPr>
          <w:rFonts w:ascii="Arial Narrow" w:eastAsia="Times New Roman" w:hAnsi="Arial Narrow" w:cs="Times New Roman"/>
          <w:b/>
          <w:bCs/>
          <w:sz w:val="24"/>
          <w:szCs w:val="24"/>
        </w:rPr>
        <w:t xml:space="preserve"> </w:t>
      </w:r>
      <w:r w:rsidRPr="00520358">
        <w:rPr>
          <w:rFonts w:ascii="Arial Narrow" w:eastAsia="Times New Roman" w:hAnsi="Arial Narrow" w:cs="Times New Roman"/>
          <w:b/>
          <w:bCs/>
          <w:sz w:val="24"/>
          <w:szCs w:val="24"/>
        </w:rPr>
        <w:t>μεγαλύτερο Εμιράτο</w:t>
      </w:r>
      <w:r w:rsidRPr="00520358">
        <w:rPr>
          <w:rFonts w:ascii="Arial Narrow" w:eastAsia="Times New Roman" w:hAnsi="Arial Narrow" w:cs="Times New Roman"/>
          <w:bCs/>
          <w:sz w:val="24"/>
          <w:szCs w:val="24"/>
        </w:rPr>
        <w:t xml:space="preserve"> στα ΗΑΕ με έκταση 2.590</w:t>
      </w:r>
      <w:r w:rsidR="001D469A" w:rsidRPr="00520358">
        <w:rPr>
          <w:rFonts w:ascii="Arial Narrow" w:eastAsia="Times New Roman" w:hAnsi="Arial Narrow" w:cs="Times New Roman"/>
          <w:bCs/>
          <w:sz w:val="24"/>
          <w:szCs w:val="24"/>
        </w:rPr>
        <w:t xml:space="preserve"> </w:t>
      </w:r>
      <w:r w:rsidR="00B5716B" w:rsidRPr="00520358">
        <w:rPr>
          <w:rFonts w:ascii="Arial Narrow" w:eastAsia="Times New Roman" w:hAnsi="Arial Narrow" w:cs="Times New Roman"/>
          <w:bCs/>
          <w:sz w:val="24"/>
          <w:szCs w:val="24"/>
          <w:lang w:val="en-US"/>
        </w:rPr>
        <w:t>km</w:t>
      </w:r>
      <w:r w:rsidR="00B5716B" w:rsidRPr="00520358">
        <w:rPr>
          <w:rFonts w:ascii="Arial Narrow" w:eastAsia="Times New Roman" w:hAnsi="Arial Narrow" w:cs="Times New Roman"/>
          <w:bCs/>
          <w:sz w:val="24"/>
          <w:szCs w:val="24"/>
          <w:vertAlign w:val="superscript"/>
        </w:rPr>
        <w:t>2</w:t>
      </w:r>
      <w:r w:rsidR="00B5716B" w:rsidRPr="00520358">
        <w:rPr>
          <w:rFonts w:ascii="Arial Narrow" w:eastAsia="Times New Roman" w:hAnsi="Arial Narrow" w:cs="Times New Roman"/>
          <w:bCs/>
          <w:sz w:val="24"/>
          <w:szCs w:val="24"/>
        </w:rPr>
        <w:t>, κ</w:t>
      </w:r>
      <w:r w:rsidRPr="00520358">
        <w:rPr>
          <w:rFonts w:ascii="Arial Narrow" w:eastAsia="Times New Roman" w:hAnsi="Arial Narrow" w:cs="Times New Roman"/>
          <w:bCs/>
          <w:sz w:val="24"/>
          <w:szCs w:val="24"/>
        </w:rPr>
        <w:t>αταλαμβάν</w:t>
      </w:r>
      <w:r w:rsidR="00B5716B" w:rsidRPr="00520358">
        <w:rPr>
          <w:rFonts w:ascii="Arial Narrow" w:eastAsia="Times New Roman" w:hAnsi="Arial Narrow" w:cs="Times New Roman"/>
          <w:bCs/>
          <w:sz w:val="24"/>
          <w:szCs w:val="24"/>
        </w:rPr>
        <w:t xml:space="preserve">οντας </w:t>
      </w:r>
      <w:r w:rsidRPr="00520358">
        <w:rPr>
          <w:rFonts w:ascii="Arial Narrow" w:eastAsia="Times New Roman" w:hAnsi="Arial Narrow" w:cs="Times New Roman"/>
          <w:bCs/>
          <w:sz w:val="24"/>
          <w:szCs w:val="24"/>
        </w:rPr>
        <w:t xml:space="preserve">το </w:t>
      </w:r>
      <w:r w:rsidRPr="00520358">
        <w:rPr>
          <w:rFonts w:ascii="Arial Narrow" w:eastAsia="Times New Roman" w:hAnsi="Arial Narrow" w:cs="Times New Roman"/>
          <w:b/>
          <w:bCs/>
          <w:sz w:val="24"/>
          <w:szCs w:val="24"/>
        </w:rPr>
        <w:t>3,3% της</w:t>
      </w:r>
      <w:r w:rsidRPr="00520358">
        <w:rPr>
          <w:rFonts w:ascii="Arial Narrow" w:eastAsia="Times New Roman" w:hAnsi="Arial Narrow" w:cs="Times New Roman"/>
          <w:bCs/>
          <w:sz w:val="24"/>
          <w:szCs w:val="24"/>
        </w:rPr>
        <w:t xml:space="preserve"> </w:t>
      </w:r>
      <w:r w:rsidRPr="00520358">
        <w:rPr>
          <w:rFonts w:ascii="Arial Narrow" w:eastAsia="Times New Roman" w:hAnsi="Arial Narrow" w:cs="Times New Roman"/>
          <w:b/>
          <w:bCs/>
          <w:sz w:val="24"/>
          <w:szCs w:val="24"/>
        </w:rPr>
        <w:t>συνολικής έκτασης</w:t>
      </w:r>
      <w:r w:rsidRPr="00520358">
        <w:rPr>
          <w:rFonts w:ascii="Arial Narrow" w:eastAsia="Times New Roman" w:hAnsi="Arial Narrow" w:cs="Times New Roman"/>
          <w:bCs/>
          <w:sz w:val="24"/>
          <w:szCs w:val="24"/>
        </w:rPr>
        <w:t xml:space="preserve"> των ΗΑΕ (χωρίς να υπολογίζονται τα νησιά). </w:t>
      </w:r>
      <w:r w:rsidR="007C2506" w:rsidRPr="00520358">
        <w:rPr>
          <w:rFonts w:ascii="Arial Narrow" w:eastAsia="Times New Roman" w:hAnsi="Arial Narrow" w:cs="Times New Roman"/>
          <w:bCs/>
          <w:sz w:val="24"/>
          <w:szCs w:val="24"/>
        </w:rPr>
        <w:t xml:space="preserve">Ο πληθυσμός ανέρχεται σε </w:t>
      </w:r>
      <w:r w:rsidR="007C2506" w:rsidRPr="00520358">
        <w:rPr>
          <w:rFonts w:ascii="Arial Narrow" w:eastAsia="Times New Roman" w:hAnsi="Arial Narrow" w:cs="Times New Roman"/>
          <w:b/>
          <w:bCs/>
          <w:sz w:val="24"/>
          <w:szCs w:val="24"/>
        </w:rPr>
        <w:t>1,</w:t>
      </w:r>
      <w:r w:rsidR="001D469A" w:rsidRPr="00520358">
        <w:rPr>
          <w:rFonts w:ascii="Arial Narrow" w:eastAsia="Times New Roman" w:hAnsi="Arial Narrow" w:cs="Times New Roman"/>
          <w:b/>
          <w:bCs/>
          <w:sz w:val="24"/>
          <w:szCs w:val="24"/>
        </w:rPr>
        <w:t>8</w:t>
      </w:r>
      <w:r w:rsidR="00182327" w:rsidRPr="00520358">
        <w:rPr>
          <w:rFonts w:ascii="Arial Narrow" w:eastAsia="Times New Roman" w:hAnsi="Arial Narrow" w:cs="Times New Roman"/>
          <w:b/>
          <w:bCs/>
          <w:sz w:val="24"/>
          <w:szCs w:val="24"/>
        </w:rPr>
        <w:t>7</w:t>
      </w:r>
      <w:r w:rsidR="007C2506" w:rsidRPr="00520358">
        <w:rPr>
          <w:rFonts w:ascii="Arial Narrow" w:eastAsia="Times New Roman" w:hAnsi="Arial Narrow" w:cs="Times New Roman"/>
          <w:b/>
          <w:bCs/>
          <w:sz w:val="24"/>
          <w:szCs w:val="24"/>
        </w:rPr>
        <w:t xml:space="preserve"> εκ</w:t>
      </w:r>
      <w:r w:rsidR="002D1769" w:rsidRPr="00520358">
        <w:rPr>
          <w:rFonts w:ascii="Arial Narrow" w:eastAsia="Times New Roman" w:hAnsi="Arial Narrow" w:cs="Times New Roman"/>
          <w:b/>
          <w:bCs/>
          <w:sz w:val="24"/>
          <w:szCs w:val="24"/>
        </w:rPr>
        <w:t>ατ</w:t>
      </w:r>
      <w:r w:rsidR="007C2506" w:rsidRPr="00520358">
        <w:rPr>
          <w:rFonts w:ascii="Arial Narrow" w:eastAsia="Times New Roman" w:hAnsi="Arial Narrow" w:cs="Times New Roman"/>
          <w:bCs/>
          <w:sz w:val="24"/>
          <w:szCs w:val="24"/>
        </w:rPr>
        <w:t xml:space="preserve">. </w:t>
      </w:r>
      <w:r w:rsidR="007C2506" w:rsidRPr="00520358">
        <w:rPr>
          <w:rFonts w:ascii="Arial Narrow" w:eastAsia="Times New Roman" w:hAnsi="Arial Narrow" w:cs="Times New Roman"/>
          <w:b/>
          <w:bCs/>
          <w:sz w:val="24"/>
          <w:szCs w:val="24"/>
        </w:rPr>
        <w:t>κατοίκους</w:t>
      </w:r>
      <w:r w:rsidR="001D469A" w:rsidRPr="00520358">
        <w:rPr>
          <w:rFonts w:ascii="Arial Narrow" w:eastAsia="Times New Roman" w:hAnsi="Arial Narrow" w:cs="Times New Roman"/>
          <w:b/>
          <w:bCs/>
          <w:sz w:val="24"/>
          <w:szCs w:val="24"/>
        </w:rPr>
        <w:t xml:space="preserve">, </w:t>
      </w:r>
      <w:r w:rsidR="001D469A" w:rsidRPr="00520358">
        <w:rPr>
          <w:rFonts w:ascii="Arial Narrow" w:eastAsia="Times New Roman" w:hAnsi="Arial Narrow" w:cs="Times New Roman"/>
          <w:bCs/>
          <w:sz w:val="24"/>
          <w:szCs w:val="24"/>
        </w:rPr>
        <w:t>βάσει της τελευταίας απογραφής του Εμιράτου (202</w:t>
      </w:r>
      <w:r w:rsidR="00182327" w:rsidRPr="00520358">
        <w:rPr>
          <w:rFonts w:ascii="Arial Narrow" w:eastAsia="Times New Roman" w:hAnsi="Arial Narrow" w:cs="Times New Roman"/>
          <w:bCs/>
          <w:sz w:val="24"/>
          <w:szCs w:val="24"/>
        </w:rPr>
        <w:t>4</w:t>
      </w:r>
      <w:r w:rsidR="001D469A" w:rsidRPr="00520358">
        <w:rPr>
          <w:rFonts w:ascii="Arial Narrow" w:eastAsia="Times New Roman" w:hAnsi="Arial Narrow" w:cs="Times New Roman"/>
          <w:bCs/>
          <w:sz w:val="24"/>
          <w:szCs w:val="24"/>
        </w:rPr>
        <w:t>)</w:t>
      </w:r>
      <w:r w:rsidR="007C2506" w:rsidRPr="00520358">
        <w:rPr>
          <w:rFonts w:ascii="Arial Narrow" w:eastAsia="Times New Roman" w:hAnsi="Arial Narrow" w:cs="Times New Roman"/>
          <w:bCs/>
          <w:sz w:val="24"/>
          <w:szCs w:val="24"/>
        </w:rPr>
        <w:t>.</w:t>
      </w:r>
      <w:r w:rsidR="001D469A" w:rsidRPr="00520358">
        <w:rPr>
          <w:rFonts w:ascii="Arial Narrow" w:eastAsia="Times New Roman" w:hAnsi="Arial Narrow" w:cs="Times New Roman"/>
          <w:bCs/>
          <w:sz w:val="24"/>
          <w:szCs w:val="24"/>
        </w:rPr>
        <w:t xml:space="preserve"> Μόλις 11% του πληθυσμού είναι Εμιρατινοί πολίτες. Λόγω της μεγάλης ανάπτυξης των τελευταίων δεκαετιών, η </w:t>
      </w:r>
      <w:r w:rsidR="001D469A" w:rsidRPr="00520358">
        <w:rPr>
          <w:rFonts w:ascii="Arial Narrow" w:eastAsia="Times New Roman" w:hAnsi="Arial Narrow" w:cs="Times New Roman"/>
          <w:bCs/>
          <w:sz w:val="24"/>
          <w:szCs w:val="24"/>
          <w:lang w:val="en-US"/>
        </w:rPr>
        <w:t>Sharjah</w:t>
      </w:r>
      <w:r w:rsidR="001D469A" w:rsidRPr="00520358">
        <w:rPr>
          <w:rFonts w:ascii="Arial Narrow" w:eastAsia="Times New Roman" w:hAnsi="Arial Narrow" w:cs="Times New Roman"/>
          <w:bCs/>
          <w:sz w:val="24"/>
          <w:szCs w:val="24"/>
        </w:rPr>
        <w:t xml:space="preserve"> σχηματίζει πλέον με το </w:t>
      </w:r>
      <w:r w:rsidR="001D469A" w:rsidRPr="00520358">
        <w:rPr>
          <w:rFonts w:ascii="Arial Narrow" w:eastAsia="Times New Roman" w:hAnsi="Arial Narrow" w:cs="Times New Roman"/>
          <w:bCs/>
          <w:sz w:val="24"/>
          <w:szCs w:val="24"/>
          <w:lang w:val="en-US"/>
        </w:rPr>
        <w:t>Dubai</w:t>
      </w:r>
      <w:r w:rsidR="001D469A" w:rsidRPr="00520358">
        <w:rPr>
          <w:rFonts w:ascii="Arial Narrow" w:eastAsia="Times New Roman" w:hAnsi="Arial Narrow" w:cs="Times New Roman"/>
          <w:bCs/>
          <w:sz w:val="24"/>
          <w:szCs w:val="24"/>
        </w:rPr>
        <w:t xml:space="preserve"> μια </w:t>
      </w:r>
      <w:r w:rsidR="001D469A" w:rsidRPr="00520358">
        <w:rPr>
          <w:rFonts w:ascii="Arial Narrow" w:eastAsia="Times New Roman" w:hAnsi="Arial Narrow" w:cs="Times New Roman"/>
          <w:b/>
          <w:sz w:val="24"/>
          <w:szCs w:val="24"/>
        </w:rPr>
        <w:t>ενιαία «μητροπολιτική περιοχή»</w:t>
      </w:r>
      <w:r w:rsidR="001D469A" w:rsidRPr="00520358">
        <w:rPr>
          <w:rFonts w:ascii="Arial Narrow" w:eastAsia="Times New Roman" w:hAnsi="Arial Narrow" w:cs="Times New Roman"/>
          <w:bCs/>
          <w:sz w:val="24"/>
          <w:szCs w:val="24"/>
        </w:rPr>
        <w:t xml:space="preserve">, την οποία επιλέγουν ως τόπο κατοικίας πολλοί εργαζόμενοι στο </w:t>
      </w:r>
      <w:r w:rsidR="001D469A" w:rsidRPr="00520358">
        <w:rPr>
          <w:rFonts w:ascii="Arial Narrow" w:eastAsia="Times New Roman" w:hAnsi="Arial Narrow" w:cs="Times New Roman"/>
          <w:bCs/>
          <w:sz w:val="24"/>
          <w:szCs w:val="24"/>
          <w:lang w:val="en-US"/>
        </w:rPr>
        <w:t>Dubai</w:t>
      </w:r>
      <w:r w:rsidR="001D469A" w:rsidRPr="00520358">
        <w:rPr>
          <w:rFonts w:ascii="Arial Narrow" w:eastAsia="Times New Roman" w:hAnsi="Arial Narrow" w:cs="Times New Roman"/>
          <w:bCs/>
          <w:sz w:val="24"/>
          <w:szCs w:val="24"/>
        </w:rPr>
        <w:t xml:space="preserve">, λόγω του </w:t>
      </w:r>
      <w:r w:rsidR="00182327" w:rsidRPr="00520358">
        <w:rPr>
          <w:rFonts w:ascii="Arial Narrow" w:eastAsia="Times New Roman" w:hAnsi="Arial Narrow" w:cs="Times New Roman"/>
          <w:bCs/>
          <w:sz w:val="24"/>
          <w:szCs w:val="24"/>
        </w:rPr>
        <w:t xml:space="preserve">αισθητά </w:t>
      </w:r>
      <w:r w:rsidR="001D469A" w:rsidRPr="00520358">
        <w:rPr>
          <w:rFonts w:ascii="Arial Narrow" w:eastAsia="Times New Roman" w:hAnsi="Arial Narrow" w:cs="Times New Roman"/>
          <w:bCs/>
          <w:sz w:val="24"/>
          <w:szCs w:val="24"/>
        </w:rPr>
        <w:t>χαμηλότερου κόστους στέγασης.</w:t>
      </w:r>
    </w:p>
    <w:p w14:paraId="3FE04902" w14:textId="7FFFC510" w:rsidR="004509B9" w:rsidRPr="000E51EB" w:rsidRDefault="001D469A" w:rsidP="000E51EB">
      <w:pPr>
        <w:suppressAutoHyphens/>
        <w:autoSpaceDN w:val="0"/>
        <w:ind w:firstLine="567"/>
        <w:jc w:val="both"/>
        <w:rPr>
          <w:rFonts w:ascii="Arial Narrow" w:eastAsia="Times New Roman" w:hAnsi="Arial Narrow" w:cs="Times New Roman"/>
          <w:sz w:val="24"/>
          <w:szCs w:val="24"/>
        </w:rPr>
      </w:pPr>
      <w:r w:rsidRPr="00520358">
        <w:rPr>
          <w:rFonts w:ascii="Arial Narrow" w:eastAsia="Times New Roman" w:hAnsi="Arial Narrow" w:cs="Times New Roman"/>
          <w:sz w:val="24"/>
          <w:szCs w:val="24"/>
        </w:rPr>
        <w:t>Το 202</w:t>
      </w:r>
      <w:r w:rsidR="00182327" w:rsidRPr="00520358">
        <w:rPr>
          <w:rFonts w:ascii="Arial Narrow" w:eastAsia="Times New Roman" w:hAnsi="Arial Narrow" w:cs="Times New Roman"/>
          <w:sz w:val="24"/>
          <w:szCs w:val="24"/>
        </w:rPr>
        <w:t>4</w:t>
      </w:r>
      <w:r w:rsidR="009C6CF6" w:rsidRPr="00520358">
        <w:rPr>
          <w:rFonts w:ascii="Arial Narrow" w:eastAsia="Times New Roman" w:hAnsi="Arial Narrow" w:cs="Times New Roman"/>
          <w:sz w:val="24"/>
          <w:szCs w:val="24"/>
        </w:rPr>
        <w:t>,</w:t>
      </w:r>
      <w:r w:rsidR="007C2506" w:rsidRPr="00520358">
        <w:rPr>
          <w:rFonts w:ascii="Arial Narrow" w:eastAsia="Times New Roman" w:hAnsi="Arial Narrow" w:cs="Times New Roman"/>
          <w:sz w:val="24"/>
          <w:szCs w:val="24"/>
        </w:rPr>
        <w:t xml:space="preserve"> </w:t>
      </w:r>
      <w:r w:rsidR="00182327" w:rsidRPr="00520358">
        <w:rPr>
          <w:rFonts w:ascii="Arial Narrow" w:eastAsia="Times New Roman" w:hAnsi="Arial Narrow" w:cs="Times New Roman"/>
          <w:sz w:val="24"/>
          <w:szCs w:val="24"/>
        </w:rPr>
        <w:t>εκτιμάται</w:t>
      </w:r>
      <w:r w:rsidR="00182327" w:rsidRPr="00520358">
        <w:rPr>
          <w:rStyle w:val="FootnoteReference"/>
          <w:rFonts w:ascii="Arial Narrow" w:eastAsia="Times New Roman" w:hAnsi="Arial Narrow" w:cs="Times New Roman"/>
          <w:sz w:val="24"/>
          <w:szCs w:val="24"/>
        </w:rPr>
        <w:footnoteReference w:id="6"/>
      </w:r>
      <w:r w:rsidR="00182327" w:rsidRPr="00520358">
        <w:rPr>
          <w:rFonts w:ascii="Arial Narrow" w:eastAsia="Times New Roman" w:hAnsi="Arial Narrow" w:cs="Times New Roman"/>
          <w:sz w:val="24"/>
          <w:szCs w:val="24"/>
        </w:rPr>
        <w:t xml:space="preserve"> ότι </w:t>
      </w:r>
      <w:r w:rsidR="007C2506" w:rsidRPr="00520358">
        <w:rPr>
          <w:rFonts w:ascii="Arial Narrow" w:eastAsia="Times New Roman" w:hAnsi="Arial Narrow" w:cs="Times New Roman"/>
          <w:sz w:val="24"/>
          <w:szCs w:val="24"/>
        </w:rPr>
        <w:t xml:space="preserve">το </w:t>
      </w:r>
      <w:r w:rsidR="007C2506" w:rsidRPr="00520358">
        <w:rPr>
          <w:rFonts w:ascii="Arial Narrow" w:eastAsia="Times New Roman" w:hAnsi="Arial Narrow" w:cs="Times New Roman"/>
          <w:b/>
          <w:sz w:val="24"/>
          <w:szCs w:val="24"/>
        </w:rPr>
        <w:t>ΑΕΠ</w:t>
      </w:r>
      <w:r w:rsidR="007C2506" w:rsidRPr="00520358">
        <w:rPr>
          <w:rFonts w:ascii="Arial Narrow" w:eastAsia="Times New Roman" w:hAnsi="Arial Narrow" w:cs="Times New Roman"/>
          <w:sz w:val="24"/>
          <w:szCs w:val="24"/>
        </w:rPr>
        <w:t xml:space="preserve"> της </w:t>
      </w:r>
      <w:r w:rsidR="007C2506" w:rsidRPr="00520358">
        <w:rPr>
          <w:rFonts w:ascii="Arial Narrow" w:eastAsia="Times New Roman" w:hAnsi="Arial Narrow" w:cs="Times New Roman"/>
          <w:sz w:val="24"/>
          <w:szCs w:val="24"/>
          <w:lang w:val="en-US"/>
        </w:rPr>
        <w:t>Sharjah</w:t>
      </w:r>
      <w:r w:rsidR="007C2506" w:rsidRPr="00520358">
        <w:rPr>
          <w:rFonts w:ascii="Arial Narrow" w:eastAsia="Times New Roman" w:hAnsi="Arial Narrow" w:cs="Times New Roman"/>
          <w:sz w:val="24"/>
          <w:szCs w:val="24"/>
        </w:rPr>
        <w:t xml:space="preserve"> ανήλθε σε </w:t>
      </w:r>
      <w:r w:rsidR="00182327" w:rsidRPr="00520358">
        <w:rPr>
          <w:rFonts w:ascii="Arial Narrow" w:eastAsia="Times New Roman" w:hAnsi="Arial Narrow" w:cs="Times New Roman"/>
          <w:sz w:val="24"/>
          <w:szCs w:val="24"/>
        </w:rPr>
        <w:t>151</w:t>
      </w:r>
      <w:r w:rsidRPr="00520358">
        <w:rPr>
          <w:rFonts w:ascii="Arial Narrow" w:eastAsia="Times New Roman" w:hAnsi="Arial Narrow" w:cs="Times New Roman"/>
          <w:sz w:val="24"/>
          <w:szCs w:val="24"/>
        </w:rPr>
        <w:t xml:space="preserve"> δισεκ. </w:t>
      </w:r>
      <w:r w:rsidR="00BE18A5" w:rsidRPr="00520358">
        <w:rPr>
          <w:rFonts w:ascii="Arial Narrow" w:eastAsia="Times New Roman" w:hAnsi="Arial Narrow" w:cs="Times New Roman"/>
          <w:sz w:val="24"/>
          <w:szCs w:val="24"/>
        </w:rPr>
        <w:t>Ντίρχαμ</w:t>
      </w:r>
      <w:r w:rsidR="002B4C56" w:rsidRPr="00520358">
        <w:rPr>
          <w:rFonts w:ascii="Arial Narrow" w:eastAsia="Times New Roman" w:hAnsi="Arial Narrow" w:cs="Times New Roman"/>
          <w:sz w:val="24"/>
          <w:szCs w:val="24"/>
        </w:rPr>
        <w:t xml:space="preserve"> </w:t>
      </w:r>
      <w:r w:rsidRPr="00520358">
        <w:rPr>
          <w:rFonts w:ascii="Arial Narrow" w:eastAsia="Times New Roman" w:hAnsi="Arial Narrow" w:cs="Times New Roman"/>
          <w:sz w:val="24"/>
          <w:szCs w:val="24"/>
        </w:rPr>
        <w:t>($</w:t>
      </w:r>
      <w:r w:rsidR="00182327" w:rsidRPr="00520358">
        <w:rPr>
          <w:rFonts w:ascii="Arial Narrow" w:eastAsia="Times New Roman" w:hAnsi="Arial Narrow" w:cs="Times New Roman"/>
          <w:b/>
          <w:sz w:val="24"/>
          <w:szCs w:val="24"/>
        </w:rPr>
        <w:t>41,1</w:t>
      </w:r>
      <w:r w:rsidR="007C2506" w:rsidRPr="00520358">
        <w:rPr>
          <w:rFonts w:ascii="Arial Narrow" w:eastAsia="Times New Roman" w:hAnsi="Arial Narrow" w:cs="Times New Roman"/>
          <w:b/>
          <w:sz w:val="24"/>
          <w:szCs w:val="24"/>
        </w:rPr>
        <w:t xml:space="preserve"> </w:t>
      </w:r>
      <w:r w:rsidR="00133844" w:rsidRPr="00520358">
        <w:rPr>
          <w:rFonts w:ascii="Arial Narrow" w:eastAsia="Times New Roman" w:hAnsi="Arial Narrow" w:cs="Times New Roman"/>
          <w:b/>
          <w:sz w:val="24"/>
          <w:szCs w:val="24"/>
        </w:rPr>
        <w:t xml:space="preserve">δισεκ. </w:t>
      </w:r>
      <w:r w:rsidRPr="00520358">
        <w:rPr>
          <w:rFonts w:ascii="Arial Narrow" w:eastAsia="Times New Roman" w:hAnsi="Arial Narrow" w:cs="Times New Roman"/>
          <w:sz w:val="24"/>
          <w:szCs w:val="24"/>
        </w:rPr>
        <w:t>)</w:t>
      </w:r>
      <w:r w:rsidR="002B4C56" w:rsidRPr="00520358">
        <w:rPr>
          <w:rFonts w:ascii="Arial Narrow" w:eastAsia="Times New Roman" w:hAnsi="Arial Narrow" w:cs="Times New Roman"/>
          <w:sz w:val="24"/>
          <w:szCs w:val="24"/>
        </w:rPr>
        <w:t>,</w:t>
      </w:r>
      <w:r w:rsidR="007C2506" w:rsidRPr="00520358">
        <w:rPr>
          <w:rFonts w:ascii="Arial Narrow" w:eastAsia="Times New Roman" w:hAnsi="Arial Narrow" w:cs="Times New Roman"/>
          <w:sz w:val="24"/>
          <w:szCs w:val="24"/>
        </w:rPr>
        <w:t xml:space="preserve"> αυξημένο κατά </w:t>
      </w:r>
      <w:r w:rsidR="00182327" w:rsidRPr="00520358">
        <w:rPr>
          <w:rFonts w:ascii="Arial Narrow" w:eastAsia="Times New Roman" w:hAnsi="Arial Narrow" w:cs="Times New Roman"/>
          <w:sz w:val="24"/>
          <w:szCs w:val="24"/>
        </w:rPr>
        <w:t>4,1</w:t>
      </w:r>
      <w:r w:rsidR="007C2506" w:rsidRPr="00520358">
        <w:rPr>
          <w:rFonts w:ascii="Arial Narrow" w:eastAsia="Times New Roman" w:hAnsi="Arial Narrow" w:cs="Times New Roman"/>
          <w:sz w:val="24"/>
          <w:szCs w:val="24"/>
        </w:rPr>
        <w:t>% σε σχέση με το 202</w:t>
      </w:r>
      <w:r w:rsidR="00182327" w:rsidRPr="00520358">
        <w:rPr>
          <w:rFonts w:ascii="Arial Narrow" w:eastAsia="Times New Roman" w:hAnsi="Arial Narrow" w:cs="Times New Roman"/>
          <w:sz w:val="24"/>
          <w:szCs w:val="24"/>
        </w:rPr>
        <w:t>3</w:t>
      </w:r>
      <w:r w:rsidR="007C2506" w:rsidRPr="00520358">
        <w:rPr>
          <w:rFonts w:ascii="Arial Narrow" w:eastAsia="Times New Roman" w:hAnsi="Arial Narrow" w:cs="Times New Roman"/>
          <w:sz w:val="24"/>
          <w:szCs w:val="24"/>
        </w:rPr>
        <w:t xml:space="preserve">. Κυριότεροι κλάδοι της τοπικής οικονομίας είναι το </w:t>
      </w:r>
      <w:r w:rsidR="007C2506" w:rsidRPr="00520358">
        <w:rPr>
          <w:rFonts w:ascii="Arial Narrow" w:eastAsia="Times New Roman" w:hAnsi="Arial Narrow" w:cs="Times New Roman"/>
          <w:b/>
          <w:sz w:val="24"/>
          <w:szCs w:val="24"/>
        </w:rPr>
        <w:t>χονδρικό και λιανικό εμπόριο</w:t>
      </w:r>
      <w:r w:rsidR="009C6CF6" w:rsidRPr="00520358">
        <w:rPr>
          <w:rFonts w:ascii="Arial Narrow" w:eastAsia="Times New Roman" w:hAnsi="Arial Narrow" w:cs="Times New Roman"/>
          <w:b/>
          <w:sz w:val="24"/>
          <w:szCs w:val="24"/>
        </w:rPr>
        <w:t xml:space="preserve">, </w:t>
      </w:r>
      <w:r w:rsidR="009C6CF6" w:rsidRPr="00520358">
        <w:rPr>
          <w:rFonts w:ascii="Arial Narrow" w:eastAsia="Times New Roman" w:hAnsi="Arial Narrow" w:cs="Times New Roman"/>
          <w:bCs/>
          <w:sz w:val="24"/>
          <w:szCs w:val="24"/>
        </w:rPr>
        <w:t>που συνέβαλε</w:t>
      </w:r>
      <w:r w:rsidR="009C6CF6" w:rsidRPr="00520358">
        <w:rPr>
          <w:rFonts w:ascii="Arial Narrow" w:eastAsia="Times New Roman" w:hAnsi="Arial Narrow" w:cs="Times New Roman"/>
          <w:b/>
          <w:sz w:val="24"/>
          <w:szCs w:val="24"/>
        </w:rPr>
        <w:t xml:space="preserve"> </w:t>
      </w:r>
      <w:r w:rsidR="009C6CF6" w:rsidRPr="00520358">
        <w:rPr>
          <w:rFonts w:ascii="Arial Narrow" w:eastAsia="Times New Roman" w:hAnsi="Arial Narrow" w:cs="Times New Roman"/>
          <w:bCs/>
          <w:sz w:val="24"/>
          <w:szCs w:val="24"/>
        </w:rPr>
        <w:t xml:space="preserve">περίπου </w:t>
      </w:r>
      <w:r w:rsidR="009C6CF6" w:rsidRPr="00520358">
        <w:rPr>
          <w:rFonts w:ascii="Arial Narrow" w:eastAsia="Times New Roman" w:hAnsi="Arial Narrow" w:cs="Times New Roman"/>
          <w:b/>
          <w:sz w:val="24"/>
          <w:szCs w:val="24"/>
        </w:rPr>
        <w:t xml:space="preserve">στο 24% του ΑΕΠ </w:t>
      </w:r>
      <w:r w:rsidR="009C6CF6" w:rsidRPr="00520358">
        <w:rPr>
          <w:rFonts w:ascii="Arial Narrow" w:eastAsia="Times New Roman" w:hAnsi="Arial Narrow" w:cs="Times New Roman"/>
          <w:sz w:val="24"/>
          <w:szCs w:val="24"/>
        </w:rPr>
        <w:t>του Εμιράτου</w:t>
      </w:r>
      <w:r w:rsidR="009C6CF6" w:rsidRPr="00520358">
        <w:rPr>
          <w:rFonts w:ascii="Arial Narrow" w:eastAsia="Times New Roman" w:hAnsi="Arial Narrow" w:cs="Times New Roman"/>
          <w:b/>
          <w:sz w:val="24"/>
          <w:szCs w:val="24"/>
        </w:rPr>
        <w:t xml:space="preserve"> </w:t>
      </w:r>
      <w:r w:rsidR="007C2506" w:rsidRPr="00520358">
        <w:rPr>
          <w:rFonts w:ascii="Arial Narrow" w:eastAsia="Times New Roman" w:hAnsi="Arial Narrow" w:cs="Times New Roman"/>
          <w:sz w:val="24"/>
          <w:szCs w:val="24"/>
        </w:rPr>
        <w:t xml:space="preserve">και </w:t>
      </w:r>
      <w:r w:rsidR="007C2506" w:rsidRPr="00520358">
        <w:rPr>
          <w:rFonts w:ascii="Arial Narrow" w:eastAsia="Times New Roman" w:hAnsi="Arial Narrow" w:cs="Times New Roman"/>
          <w:b/>
          <w:sz w:val="24"/>
          <w:szCs w:val="24"/>
        </w:rPr>
        <w:t>η μεταποίηση</w:t>
      </w:r>
      <w:r w:rsidR="009C6CF6" w:rsidRPr="00520358">
        <w:rPr>
          <w:rFonts w:ascii="Arial Narrow" w:eastAsia="Times New Roman" w:hAnsi="Arial Narrow" w:cs="Times New Roman"/>
          <w:b/>
          <w:sz w:val="24"/>
          <w:szCs w:val="24"/>
        </w:rPr>
        <w:t xml:space="preserve"> (17%)</w:t>
      </w:r>
      <w:r w:rsidR="009C6CF6" w:rsidRPr="00520358">
        <w:rPr>
          <w:rFonts w:ascii="Arial Narrow" w:eastAsia="Times New Roman" w:hAnsi="Arial Narrow" w:cs="Times New Roman"/>
          <w:sz w:val="24"/>
          <w:szCs w:val="24"/>
        </w:rPr>
        <w:t xml:space="preserve">. </w:t>
      </w:r>
      <w:r w:rsidR="000E51EB">
        <w:rPr>
          <w:rFonts w:ascii="Arial Narrow" w:eastAsia="Times New Roman" w:hAnsi="Arial Narrow" w:cs="Times New Roman"/>
          <w:sz w:val="24"/>
          <w:szCs w:val="24"/>
        </w:rPr>
        <w:t xml:space="preserve"> </w:t>
      </w:r>
      <w:r w:rsidR="00884F0D" w:rsidRPr="00520358">
        <w:rPr>
          <w:rFonts w:ascii="Arial Narrow" w:eastAsia="Times New Roman" w:hAnsi="Arial Narrow" w:cs="Times New Roman"/>
          <w:bCs/>
          <w:sz w:val="24"/>
          <w:szCs w:val="24"/>
        </w:rPr>
        <w:t xml:space="preserve">Η </w:t>
      </w:r>
      <w:r w:rsidR="00884F0D" w:rsidRPr="00520358">
        <w:rPr>
          <w:rFonts w:ascii="Arial Narrow" w:eastAsia="Times New Roman" w:hAnsi="Arial Narrow" w:cs="Times New Roman"/>
          <w:bCs/>
          <w:sz w:val="24"/>
          <w:szCs w:val="24"/>
          <w:lang w:val="en-US"/>
        </w:rPr>
        <w:t>Sharjah</w:t>
      </w:r>
      <w:r w:rsidR="00884F0D" w:rsidRPr="00520358">
        <w:rPr>
          <w:rFonts w:ascii="Arial Narrow" w:eastAsia="Times New Roman" w:hAnsi="Arial Narrow" w:cs="Times New Roman"/>
          <w:bCs/>
          <w:sz w:val="24"/>
          <w:szCs w:val="24"/>
        </w:rPr>
        <w:t xml:space="preserve"> δ</w:t>
      </w:r>
      <w:r w:rsidR="00325C3D" w:rsidRPr="00520358">
        <w:rPr>
          <w:rFonts w:ascii="Arial Narrow" w:eastAsia="Times New Roman" w:hAnsi="Arial Narrow" w:cs="Times New Roman"/>
          <w:bCs/>
          <w:sz w:val="24"/>
          <w:szCs w:val="24"/>
        </w:rPr>
        <w:t xml:space="preserve">ιαθέτει </w:t>
      </w:r>
      <w:r w:rsidR="00884F0D" w:rsidRPr="00520358">
        <w:rPr>
          <w:rFonts w:ascii="Arial Narrow" w:eastAsia="Times New Roman" w:hAnsi="Arial Narrow" w:cs="Times New Roman"/>
          <w:b/>
          <w:bCs/>
          <w:sz w:val="24"/>
          <w:szCs w:val="24"/>
        </w:rPr>
        <w:t>1</w:t>
      </w:r>
      <w:r w:rsidR="004D7FB4" w:rsidRPr="00520358">
        <w:rPr>
          <w:rFonts w:ascii="Arial Narrow" w:eastAsia="Times New Roman" w:hAnsi="Arial Narrow" w:cs="Times New Roman"/>
          <w:b/>
          <w:bCs/>
          <w:sz w:val="24"/>
          <w:szCs w:val="24"/>
        </w:rPr>
        <w:t xml:space="preserve"> </w:t>
      </w:r>
      <w:r w:rsidR="004D7FB4" w:rsidRPr="00520358">
        <w:rPr>
          <w:rFonts w:ascii="Arial Narrow" w:eastAsia="Times New Roman" w:hAnsi="Arial Narrow" w:cs="Times New Roman"/>
          <w:bCs/>
          <w:sz w:val="24"/>
          <w:szCs w:val="24"/>
        </w:rPr>
        <w:t xml:space="preserve">ταχέως αναπτυσσόμενο διεθνές </w:t>
      </w:r>
      <w:r w:rsidR="00325C3D" w:rsidRPr="00520358">
        <w:rPr>
          <w:rFonts w:ascii="Arial Narrow" w:eastAsia="Times New Roman" w:hAnsi="Arial Narrow" w:cs="Times New Roman"/>
          <w:b/>
          <w:bCs/>
          <w:sz w:val="24"/>
          <w:szCs w:val="24"/>
        </w:rPr>
        <w:t>αεροδρόμιο</w:t>
      </w:r>
      <w:r w:rsidR="00F667BF" w:rsidRPr="00520358">
        <w:rPr>
          <w:rFonts w:ascii="Arial Narrow" w:eastAsia="Times New Roman" w:hAnsi="Arial Narrow" w:cs="Times New Roman"/>
          <w:bCs/>
          <w:sz w:val="24"/>
          <w:szCs w:val="24"/>
        </w:rPr>
        <w:t xml:space="preserve">, </w:t>
      </w:r>
      <w:r w:rsidR="00F667BF" w:rsidRPr="00520358">
        <w:rPr>
          <w:rFonts w:ascii="Arial Narrow" w:eastAsia="Times New Roman" w:hAnsi="Arial Narrow" w:cs="Times New Roman"/>
          <w:b/>
          <w:bCs/>
          <w:sz w:val="24"/>
          <w:szCs w:val="24"/>
        </w:rPr>
        <w:t xml:space="preserve">3 </w:t>
      </w:r>
      <w:r w:rsidR="00325C3D" w:rsidRPr="00520358">
        <w:rPr>
          <w:rFonts w:ascii="Arial Narrow" w:eastAsia="Times New Roman" w:hAnsi="Arial Narrow" w:cs="Times New Roman"/>
          <w:b/>
          <w:bCs/>
          <w:sz w:val="24"/>
          <w:szCs w:val="24"/>
        </w:rPr>
        <w:t>λιμάνι</w:t>
      </w:r>
      <w:r w:rsidR="00F667BF" w:rsidRPr="00520358">
        <w:rPr>
          <w:rFonts w:ascii="Arial Narrow" w:eastAsia="Times New Roman" w:hAnsi="Arial Narrow" w:cs="Times New Roman"/>
          <w:b/>
          <w:bCs/>
          <w:sz w:val="24"/>
          <w:szCs w:val="24"/>
        </w:rPr>
        <w:t>α</w:t>
      </w:r>
      <w:r w:rsidR="009E2F69" w:rsidRPr="00520358">
        <w:rPr>
          <w:rFonts w:ascii="Arial Narrow" w:eastAsia="Times New Roman" w:hAnsi="Arial Narrow" w:cs="Times New Roman"/>
          <w:b/>
          <w:bCs/>
          <w:sz w:val="24"/>
          <w:szCs w:val="24"/>
        </w:rPr>
        <w:t xml:space="preserve"> (</w:t>
      </w:r>
      <w:r w:rsidR="009E2F69" w:rsidRPr="00520358">
        <w:rPr>
          <w:rFonts w:ascii="Arial Narrow" w:eastAsia="Times New Roman" w:hAnsi="Arial Narrow" w:cs="Times New Roman"/>
          <w:b/>
          <w:bCs/>
          <w:sz w:val="24"/>
          <w:szCs w:val="24"/>
          <w:lang w:val="en-US"/>
        </w:rPr>
        <w:t>Khorfakkan</w:t>
      </w:r>
      <w:r w:rsidR="009E2F69" w:rsidRPr="00520358">
        <w:rPr>
          <w:rFonts w:ascii="Arial Narrow" w:eastAsia="Times New Roman" w:hAnsi="Arial Narrow" w:cs="Times New Roman"/>
          <w:b/>
          <w:bCs/>
          <w:sz w:val="24"/>
          <w:szCs w:val="24"/>
        </w:rPr>
        <w:t xml:space="preserve">, </w:t>
      </w:r>
      <w:r w:rsidR="009E2F69" w:rsidRPr="00520358">
        <w:rPr>
          <w:rFonts w:ascii="Arial Narrow" w:eastAsia="Times New Roman" w:hAnsi="Arial Narrow" w:cs="Times New Roman"/>
          <w:b/>
          <w:bCs/>
          <w:sz w:val="24"/>
          <w:szCs w:val="24"/>
          <w:lang w:val="en-US"/>
        </w:rPr>
        <w:t>Hamriyah</w:t>
      </w:r>
      <w:r w:rsidR="009E2F69" w:rsidRPr="00520358">
        <w:rPr>
          <w:rFonts w:ascii="Arial Narrow" w:eastAsia="Times New Roman" w:hAnsi="Arial Narrow" w:cs="Times New Roman"/>
          <w:b/>
          <w:bCs/>
          <w:sz w:val="24"/>
          <w:szCs w:val="24"/>
        </w:rPr>
        <w:t xml:space="preserve">, </w:t>
      </w:r>
      <w:r w:rsidR="009E2F69" w:rsidRPr="00520358">
        <w:rPr>
          <w:rFonts w:ascii="Arial Narrow" w:eastAsia="Times New Roman" w:hAnsi="Arial Narrow" w:cs="Times New Roman"/>
          <w:b/>
          <w:bCs/>
          <w:sz w:val="24"/>
          <w:szCs w:val="24"/>
          <w:lang w:val="en-US"/>
        </w:rPr>
        <w:t>Port</w:t>
      </w:r>
      <w:r w:rsidR="009E2F69" w:rsidRPr="00520358">
        <w:rPr>
          <w:rFonts w:ascii="Arial Narrow" w:eastAsia="Times New Roman" w:hAnsi="Arial Narrow" w:cs="Times New Roman"/>
          <w:b/>
          <w:bCs/>
          <w:sz w:val="24"/>
          <w:szCs w:val="24"/>
        </w:rPr>
        <w:t xml:space="preserve"> </w:t>
      </w:r>
      <w:r w:rsidR="009E2F69" w:rsidRPr="00520358">
        <w:rPr>
          <w:rFonts w:ascii="Arial Narrow" w:eastAsia="Times New Roman" w:hAnsi="Arial Narrow" w:cs="Times New Roman"/>
          <w:b/>
          <w:bCs/>
          <w:sz w:val="24"/>
          <w:szCs w:val="24"/>
          <w:lang w:val="en-US"/>
        </w:rPr>
        <w:t>Khalid</w:t>
      </w:r>
      <w:r w:rsidR="009E2F69" w:rsidRPr="00520358">
        <w:rPr>
          <w:rFonts w:ascii="Arial Narrow" w:eastAsia="Times New Roman" w:hAnsi="Arial Narrow" w:cs="Times New Roman"/>
          <w:b/>
          <w:bCs/>
          <w:sz w:val="24"/>
          <w:szCs w:val="24"/>
        </w:rPr>
        <w:t>)</w:t>
      </w:r>
      <w:r w:rsidR="00F667BF" w:rsidRPr="00520358">
        <w:rPr>
          <w:rFonts w:ascii="Arial Narrow" w:eastAsia="Times New Roman" w:hAnsi="Arial Narrow" w:cs="Times New Roman"/>
          <w:bCs/>
          <w:sz w:val="24"/>
          <w:szCs w:val="24"/>
        </w:rPr>
        <w:t xml:space="preserve"> </w:t>
      </w:r>
      <w:r w:rsidR="004D7FB4" w:rsidRPr="00520358">
        <w:rPr>
          <w:rFonts w:ascii="Arial Narrow" w:eastAsia="Times New Roman" w:hAnsi="Arial Narrow" w:cs="Times New Roman"/>
          <w:bCs/>
          <w:sz w:val="24"/>
          <w:szCs w:val="24"/>
        </w:rPr>
        <w:t>σε στρατηγικ</w:t>
      </w:r>
      <w:r w:rsidR="00F667BF" w:rsidRPr="00520358">
        <w:rPr>
          <w:rFonts w:ascii="Arial Narrow" w:eastAsia="Times New Roman" w:hAnsi="Arial Narrow" w:cs="Times New Roman"/>
          <w:bCs/>
          <w:sz w:val="24"/>
          <w:szCs w:val="24"/>
        </w:rPr>
        <w:t>ές θέσεις</w:t>
      </w:r>
      <w:r w:rsidR="004D7FB4" w:rsidRPr="00520358">
        <w:rPr>
          <w:rFonts w:ascii="Arial Narrow" w:eastAsia="Times New Roman" w:hAnsi="Arial Narrow" w:cs="Times New Roman"/>
          <w:bCs/>
          <w:sz w:val="24"/>
          <w:szCs w:val="24"/>
        </w:rPr>
        <w:t xml:space="preserve"> στον Αραβικό Κόλπο και στον Κόλπο του Ομάν</w:t>
      </w:r>
      <w:r w:rsidR="00F667BF" w:rsidRPr="00520358">
        <w:rPr>
          <w:rFonts w:ascii="Arial Narrow" w:eastAsia="Times New Roman" w:hAnsi="Arial Narrow" w:cs="Times New Roman"/>
          <w:bCs/>
          <w:sz w:val="24"/>
          <w:szCs w:val="24"/>
        </w:rPr>
        <w:t xml:space="preserve">, καθώς και </w:t>
      </w:r>
      <w:r w:rsidR="009E2F69" w:rsidRPr="00520358">
        <w:rPr>
          <w:rFonts w:ascii="Arial Narrow" w:eastAsia="Times New Roman" w:hAnsi="Arial Narrow" w:cs="Times New Roman"/>
          <w:b/>
          <w:bCs/>
          <w:sz w:val="24"/>
          <w:szCs w:val="24"/>
        </w:rPr>
        <w:t>6</w:t>
      </w:r>
      <w:r w:rsidR="00F667BF" w:rsidRPr="00520358">
        <w:rPr>
          <w:rFonts w:ascii="Arial Narrow" w:eastAsia="Times New Roman" w:hAnsi="Arial Narrow" w:cs="Times New Roman"/>
          <w:b/>
          <w:bCs/>
          <w:sz w:val="24"/>
          <w:szCs w:val="24"/>
        </w:rPr>
        <w:t xml:space="preserve"> </w:t>
      </w:r>
      <w:r w:rsidR="00884F0D" w:rsidRPr="00520358">
        <w:rPr>
          <w:rFonts w:ascii="Arial Narrow" w:eastAsia="Times New Roman" w:hAnsi="Arial Narrow" w:cs="Times New Roman"/>
          <w:b/>
          <w:bCs/>
          <w:sz w:val="24"/>
          <w:szCs w:val="24"/>
        </w:rPr>
        <w:t>Ε</w:t>
      </w:r>
      <w:r w:rsidR="00F667BF" w:rsidRPr="00520358">
        <w:rPr>
          <w:rFonts w:ascii="Arial Narrow" w:eastAsia="Times New Roman" w:hAnsi="Arial Narrow" w:cs="Times New Roman"/>
          <w:b/>
          <w:bCs/>
          <w:sz w:val="24"/>
          <w:szCs w:val="24"/>
        </w:rPr>
        <w:t xml:space="preserve">λεύθερες </w:t>
      </w:r>
      <w:r w:rsidR="00884F0D" w:rsidRPr="00520358">
        <w:rPr>
          <w:rFonts w:ascii="Arial Narrow" w:eastAsia="Times New Roman" w:hAnsi="Arial Narrow" w:cs="Times New Roman"/>
          <w:b/>
          <w:bCs/>
          <w:sz w:val="24"/>
          <w:szCs w:val="24"/>
        </w:rPr>
        <w:t>Ζ</w:t>
      </w:r>
      <w:r w:rsidR="00F667BF" w:rsidRPr="00520358">
        <w:rPr>
          <w:rFonts w:ascii="Arial Narrow" w:eastAsia="Times New Roman" w:hAnsi="Arial Narrow" w:cs="Times New Roman"/>
          <w:b/>
          <w:bCs/>
          <w:sz w:val="24"/>
          <w:szCs w:val="24"/>
        </w:rPr>
        <w:t>ώνες</w:t>
      </w:r>
      <w:r w:rsidR="00F667BF" w:rsidRPr="00520358">
        <w:rPr>
          <w:rFonts w:ascii="Arial Narrow" w:eastAsia="Times New Roman" w:hAnsi="Arial Narrow" w:cs="Times New Roman"/>
          <w:bCs/>
          <w:sz w:val="24"/>
          <w:szCs w:val="24"/>
        </w:rPr>
        <w:t xml:space="preserve">. Επίσης, στο Εμιράτο βρίσκεται και το </w:t>
      </w:r>
      <w:r w:rsidR="00F667BF" w:rsidRPr="00520358">
        <w:rPr>
          <w:rFonts w:ascii="Arial Narrow" w:eastAsia="Times New Roman" w:hAnsi="Arial Narrow" w:cs="Times New Roman"/>
          <w:b/>
          <w:bCs/>
          <w:sz w:val="24"/>
          <w:szCs w:val="24"/>
          <w:lang w:val="en-US"/>
        </w:rPr>
        <w:t>Expo</w:t>
      </w:r>
      <w:r w:rsidR="00F667BF" w:rsidRPr="00520358">
        <w:rPr>
          <w:rFonts w:ascii="Arial Narrow" w:eastAsia="Times New Roman" w:hAnsi="Arial Narrow" w:cs="Times New Roman"/>
          <w:b/>
          <w:bCs/>
          <w:sz w:val="24"/>
          <w:szCs w:val="24"/>
        </w:rPr>
        <w:t xml:space="preserve"> </w:t>
      </w:r>
      <w:r w:rsidR="00F667BF" w:rsidRPr="00520358">
        <w:rPr>
          <w:rFonts w:ascii="Arial Narrow" w:eastAsia="Times New Roman" w:hAnsi="Arial Narrow" w:cs="Times New Roman"/>
          <w:b/>
          <w:bCs/>
          <w:sz w:val="24"/>
          <w:szCs w:val="24"/>
          <w:lang w:val="en-US"/>
        </w:rPr>
        <w:t>Centre</w:t>
      </w:r>
      <w:r w:rsidR="00F667BF" w:rsidRPr="00520358">
        <w:rPr>
          <w:rFonts w:ascii="Arial Narrow" w:eastAsia="Times New Roman" w:hAnsi="Arial Narrow" w:cs="Times New Roman"/>
          <w:b/>
          <w:bCs/>
          <w:sz w:val="24"/>
          <w:szCs w:val="24"/>
        </w:rPr>
        <w:t xml:space="preserve"> </w:t>
      </w:r>
      <w:r w:rsidR="00F667BF" w:rsidRPr="00520358">
        <w:rPr>
          <w:rFonts w:ascii="Arial Narrow" w:eastAsia="Times New Roman" w:hAnsi="Arial Narrow" w:cs="Times New Roman"/>
          <w:b/>
          <w:bCs/>
          <w:sz w:val="24"/>
          <w:szCs w:val="24"/>
          <w:lang w:val="en-US"/>
        </w:rPr>
        <w:t>Sharjah</w:t>
      </w:r>
      <w:r w:rsidR="00F667BF" w:rsidRPr="00520358">
        <w:rPr>
          <w:rFonts w:ascii="Arial Narrow" w:eastAsia="Times New Roman" w:hAnsi="Arial Narrow" w:cs="Times New Roman"/>
          <w:bCs/>
          <w:sz w:val="24"/>
          <w:szCs w:val="24"/>
        </w:rPr>
        <w:t xml:space="preserve">, ένας από τους πιο δημοφιλείς εμπορικούς εκθεσιακούς χώρους, που φιλοξενεί διάφορες εκδηλώσεις </w:t>
      </w:r>
      <w:r w:rsidR="00F667BF" w:rsidRPr="00520358">
        <w:rPr>
          <w:rFonts w:ascii="Arial Narrow" w:eastAsia="Times New Roman" w:hAnsi="Arial Narrow" w:cs="Times New Roman"/>
          <w:bCs/>
          <w:sz w:val="24"/>
          <w:szCs w:val="24"/>
          <w:lang w:val="en-US"/>
        </w:rPr>
        <w:t>B</w:t>
      </w:r>
      <w:r w:rsidR="00F667BF" w:rsidRPr="00520358">
        <w:rPr>
          <w:rFonts w:ascii="Arial Narrow" w:eastAsia="Times New Roman" w:hAnsi="Arial Narrow" w:cs="Times New Roman"/>
          <w:bCs/>
          <w:sz w:val="24"/>
          <w:szCs w:val="24"/>
        </w:rPr>
        <w:t>2</w:t>
      </w:r>
      <w:r w:rsidR="00F667BF" w:rsidRPr="00520358">
        <w:rPr>
          <w:rFonts w:ascii="Arial Narrow" w:eastAsia="Times New Roman" w:hAnsi="Arial Narrow" w:cs="Times New Roman"/>
          <w:bCs/>
          <w:sz w:val="24"/>
          <w:szCs w:val="24"/>
          <w:lang w:val="en-US"/>
        </w:rPr>
        <w:t>B</w:t>
      </w:r>
      <w:r w:rsidR="00F667BF" w:rsidRPr="00520358">
        <w:rPr>
          <w:rFonts w:ascii="Arial Narrow" w:eastAsia="Times New Roman" w:hAnsi="Arial Narrow" w:cs="Times New Roman"/>
          <w:bCs/>
          <w:sz w:val="24"/>
          <w:szCs w:val="24"/>
        </w:rPr>
        <w:t xml:space="preserve"> και </w:t>
      </w:r>
      <w:r w:rsidR="00F667BF" w:rsidRPr="00520358">
        <w:rPr>
          <w:rFonts w:ascii="Arial Narrow" w:eastAsia="Times New Roman" w:hAnsi="Arial Narrow" w:cs="Times New Roman"/>
          <w:bCs/>
          <w:sz w:val="24"/>
          <w:szCs w:val="24"/>
          <w:lang w:val="en-US"/>
        </w:rPr>
        <w:t>B</w:t>
      </w:r>
      <w:r w:rsidR="00F667BF" w:rsidRPr="00520358">
        <w:rPr>
          <w:rFonts w:ascii="Arial Narrow" w:eastAsia="Times New Roman" w:hAnsi="Arial Narrow" w:cs="Times New Roman"/>
          <w:bCs/>
          <w:sz w:val="24"/>
          <w:szCs w:val="24"/>
        </w:rPr>
        <w:t>2</w:t>
      </w:r>
      <w:r w:rsidR="00F667BF" w:rsidRPr="00520358">
        <w:rPr>
          <w:rFonts w:ascii="Arial Narrow" w:eastAsia="Times New Roman" w:hAnsi="Arial Narrow" w:cs="Times New Roman"/>
          <w:bCs/>
          <w:sz w:val="24"/>
          <w:szCs w:val="24"/>
          <w:lang w:val="en-US"/>
        </w:rPr>
        <w:t>C</w:t>
      </w:r>
      <w:r w:rsidR="00F667BF" w:rsidRPr="00520358">
        <w:rPr>
          <w:rFonts w:ascii="Arial Narrow" w:eastAsia="Times New Roman" w:hAnsi="Arial Narrow" w:cs="Times New Roman"/>
          <w:bCs/>
          <w:sz w:val="24"/>
          <w:szCs w:val="24"/>
        </w:rPr>
        <w:t>.</w:t>
      </w:r>
      <w:r w:rsidR="00FE41C4" w:rsidRPr="00520358">
        <w:rPr>
          <w:rFonts w:ascii="Arial Narrow" w:eastAsia="Times New Roman" w:hAnsi="Arial Narrow" w:cs="Times New Roman"/>
          <w:bCs/>
          <w:sz w:val="24"/>
          <w:szCs w:val="24"/>
        </w:rPr>
        <w:t xml:space="preserve"> </w:t>
      </w:r>
      <w:r w:rsidR="00C15A64" w:rsidRPr="00520358">
        <w:rPr>
          <w:rFonts w:ascii="Arial Narrow" w:eastAsia="Times New Roman" w:hAnsi="Arial Narrow" w:cs="Times New Roman"/>
          <w:bCs/>
          <w:sz w:val="24"/>
          <w:szCs w:val="24"/>
        </w:rPr>
        <w:t>Σ</w:t>
      </w:r>
      <w:r w:rsidR="00FE41C4" w:rsidRPr="00520358">
        <w:rPr>
          <w:rFonts w:ascii="Arial Narrow" w:eastAsia="Times New Roman" w:hAnsi="Arial Narrow" w:cs="Times New Roman"/>
          <w:bCs/>
          <w:sz w:val="24"/>
          <w:szCs w:val="24"/>
        </w:rPr>
        <w:t xml:space="preserve">ημειώνεται </w:t>
      </w:r>
      <w:r w:rsidR="00C15A64" w:rsidRPr="00520358">
        <w:rPr>
          <w:rFonts w:ascii="Arial Narrow" w:eastAsia="Times New Roman" w:hAnsi="Arial Narrow" w:cs="Times New Roman"/>
          <w:bCs/>
          <w:sz w:val="24"/>
          <w:szCs w:val="24"/>
        </w:rPr>
        <w:t xml:space="preserve">ακόμη </w:t>
      </w:r>
      <w:r w:rsidR="00FE41C4" w:rsidRPr="00520358">
        <w:rPr>
          <w:rFonts w:ascii="Arial Narrow" w:eastAsia="Times New Roman" w:hAnsi="Arial Narrow" w:cs="Times New Roman"/>
          <w:bCs/>
          <w:sz w:val="24"/>
          <w:szCs w:val="24"/>
        </w:rPr>
        <w:t xml:space="preserve">ότι </w:t>
      </w:r>
      <w:r w:rsidR="00FE41C4" w:rsidRPr="00520358">
        <w:rPr>
          <w:rFonts w:ascii="Arial Narrow" w:eastAsia="Times New Roman" w:hAnsi="Arial Narrow"/>
          <w:sz w:val="24"/>
          <w:szCs w:val="24"/>
        </w:rPr>
        <w:t xml:space="preserve">έχουν προγραμματισθεί σημαντικά </w:t>
      </w:r>
      <w:r w:rsidR="00FE41C4" w:rsidRPr="00520358">
        <w:rPr>
          <w:rFonts w:ascii="Arial Narrow" w:eastAsia="Times New Roman" w:hAnsi="Arial Narrow"/>
          <w:b/>
          <w:sz w:val="24"/>
          <w:szCs w:val="24"/>
        </w:rPr>
        <w:t>έργα υψηλού κόστους</w:t>
      </w:r>
      <w:r w:rsidR="00FE41C4" w:rsidRPr="00520358">
        <w:rPr>
          <w:rFonts w:ascii="Arial Narrow" w:eastAsia="Times New Roman" w:hAnsi="Arial Narrow"/>
          <w:sz w:val="24"/>
          <w:szCs w:val="24"/>
        </w:rPr>
        <w:t xml:space="preserve">, όπως: </w:t>
      </w:r>
      <w:r w:rsidR="00FE41C4" w:rsidRPr="00520358">
        <w:rPr>
          <w:rFonts w:ascii="Arial Narrow" w:eastAsia="Times New Roman" w:hAnsi="Arial Narrow"/>
          <w:sz w:val="24"/>
          <w:szCs w:val="24"/>
          <w:lang w:val="en-AE"/>
        </w:rPr>
        <w:t>Sharjah</w:t>
      </w:r>
      <w:r w:rsidR="00FE41C4" w:rsidRPr="00520358">
        <w:rPr>
          <w:rFonts w:ascii="Arial Narrow" w:eastAsia="Times New Roman" w:hAnsi="Arial Narrow"/>
          <w:sz w:val="24"/>
          <w:szCs w:val="24"/>
        </w:rPr>
        <w:t xml:space="preserve"> </w:t>
      </w:r>
      <w:r w:rsidR="00FE41C4" w:rsidRPr="00520358">
        <w:rPr>
          <w:rFonts w:ascii="Arial Narrow" w:eastAsia="Times New Roman" w:hAnsi="Arial Narrow"/>
          <w:sz w:val="24"/>
          <w:szCs w:val="24"/>
          <w:lang w:val="en-AE"/>
        </w:rPr>
        <w:t>Forest</w:t>
      </w:r>
      <w:r w:rsidR="00FE41C4" w:rsidRPr="00520358">
        <w:rPr>
          <w:rFonts w:ascii="Arial Narrow" w:eastAsia="Times New Roman" w:hAnsi="Arial Narrow"/>
          <w:sz w:val="24"/>
          <w:szCs w:val="24"/>
        </w:rPr>
        <w:t xml:space="preserve"> </w:t>
      </w:r>
      <w:r w:rsidR="00FE41C4" w:rsidRPr="00520358">
        <w:rPr>
          <w:rFonts w:ascii="Arial Narrow" w:eastAsia="Times New Roman" w:hAnsi="Arial Narrow"/>
          <w:sz w:val="24"/>
          <w:szCs w:val="24"/>
          <w:lang w:val="en-AE"/>
        </w:rPr>
        <w:t>Community</w:t>
      </w:r>
      <w:r w:rsidR="00FE41C4" w:rsidRPr="00520358">
        <w:rPr>
          <w:rFonts w:ascii="Arial Narrow" w:eastAsia="Times New Roman" w:hAnsi="Arial Narrow"/>
          <w:sz w:val="24"/>
          <w:szCs w:val="24"/>
        </w:rPr>
        <w:t xml:space="preserve"> και </w:t>
      </w:r>
      <w:r w:rsidR="00FE41C4" w:rsidRPr="00520358">
        <w:rPr>
          <w:rFonts w:ascii="Arial Narrow" w:eastAsia="Times New Roman" w:hAnsi="Arial Narrow"/>
          <w:sz w:val="24"/>
          <w:szCs w:val="24"/>
          <w:lang w:val="en-AE"/>
        </w:rPr>
        <w:t>Dibba</w:t>
      </w:r>
      <w:r w:rsidR="00FE41C4" w:rsidRPr="00520358">
        <w:rPr>
          <w:rFonts w:ascii="Arial Narrow" w:eastAsia="Times New Roman" w:hAnsi="Arial Narrow"/>
          <w:sz w:val="24"/>
          <w:szCs w:val="24"/>
        </w:rPr>
        <w:t xml:space="preserve"> </w:t>
      </w:r>
      <w:r w:rsidR="00FE41C4" w:rsidRPr="00520358">
        <w:rPr>
          <w:rFonts w:ascii="Arial Narrow" w:eastAsia="Times New Roman" w:hAnsi="Arial Narrow"/>
          <w:sz w:val="24"/>
          <w:szCs w:val="24"/>
          <w:lang w:val="en-AE"/>
        </w:rPr>
        <w:t>Fujeirah</w:t>
      </w:r>
      <w:r w:rsidR="00FE41C4" w:rsidRPr="00520358">
        <w:rPr>
          <w:rFonts w:ascii="Arial Narrow" w:eastAsia="Times New Roman" w:hAnsi="Arial Narrow"/>
          <w:sz w:val="24"/>
          <w:szCs w:val="24"/>
        </w:rPr>
        <w:t xml:space="preserve"> </w:t>
      </w:r>
      <w:r w:rsidR="00FE41C4" w:rsidRPr="00520358">
        <w:rPr>
          <w:rFonts w:ascii="Arial Narrow" w:eastAsia="Times New Roman" w:hAnsi="Arial Narrow"/>
          <w:sz w:val="24"/>
          <w:szCs w:val="24"/>
          <w:lang w:val="en-AE"/>
        </w:rPr>
        <w:t>Sports</w:t>
      </w:r>
      <w:r w:rsidR="00FE41C4" w:rsidRPr="00520358">
        <w:rPr>
          <w:rFonts w:ascii="Arial Narrow" w:eastAsia="Times New Roman" w:hAnsi="Arial Narrow"/>
          <w:sz w:val="24"/>
          <w:szCs w:val="24"/>
        </w:rPr>
        <w:t xml:space="preserve"> </w:t>
      </w:r>
      <w:r w:rsidR="00FE41C4" w:rsidRPr="00520358">
        <w:rPr>
          <w:rFonts w:ascii="Arial Narrow" w:eastAsia="Times New Roman" w:hAnsi="Arial Narrow"/>
          <w:sz w:val="24"/>
          <w:szCs w:val="24"/>
          <w:lang w:val="en-AE"/>
        </w:rPr>
        <w:t>Club</w:t>
      </w:r>
      <w:r w:rsidR="00FE41C4" w:rsidRPr="00520358">
        <w:rPr>
          <w:rFonts w:ascii="Arial Narrow" w:eastAsia="Times New Roman" w:hAnsi="Arial Narrow"/>
          <w:sz w:val="24"/>
          <w:szCs w:val="24"/>
        </w:rPr>
        <w:t xml:space="preserve"> </w:t>
      </w:r>
      <w:r w:rsidR="00FE41C4" w:rsidRPr="00520358">
        <w:rPr>
          <w:rFonts w:ascii="Arial Narrow" w:eastAsia="Times New Roman" w:hAnsi="Arial Narrow"/>
          <w:sz w:val="24"/>
          <w:szCs w:val="24"/>
          <w:lang w:val="en-AE"/>
        </w:rPr>
        <w:t>Stadium</w:t>
      </w:r>
      <w:r w:rsidR="00FE41C4" w:rsidRPr="00520358">
        <w:rPr>
          <w:rFonts w:ascii="Arial Narrow" w:eastAsia="Times New Roman" w:hAnsi="Arial Narrow"/>
          <w:sz w:val="24"/>
          <w:szCs w:val="24"/>
        </w:rPr>
        <w:t>.</w:t>
      </w:r>
    </w:p>
    <w:p w14:paraId="06DBF768" w14:textId="059CD207" w:rsidR="004509B9" w:rsidRPr="00520358" w:rsidRDefault="00E41919" w:rsidP="00D32119">
      <w:pPr>
        <w:suppressAutoHyphens/>
        <w:autoSpaceDN w:val="0"/>
        <w:ind w:firstLine="567"/>
        <w:jc w:val="both"/>
        <w:rPr>
          <w:rFonts w:ascii="Arial Narrow" w:eastAsia="Times New Roman" w:hAnsi="Arial Narrow" w:cs="Times New Roman"/>
          <w:sz w:val="24"/>
          <w:szCs w:val="24"/>
        </w:rPr>
      </w:pPr>
      <w:r w:rsidRPr="00520358">
        <w:rPr>
          <w:rFonts w:ascii="Arial Narrow" w:eastAsia="Times New Roman" w:hAnsi="Arial Narrow" w:cs="Times New Roman"/>
          <w:sz w:val="24"/>
          <w:szCs w:val="24"/>
        </w:rPr>
        <w:t xml:space="preserve">Το </w:t>
      </w:r>
      <w:r w:rsidR="00CD130E" w:rsidRPr="00520358">
        <w:rPr>
          <w:rFonts w:ascii="Arial Narrow" w:eastAsia="Times New Roman" w:hAnsi="Arial Narrow" w:cs="Times New Roman"/>
          <w:sz w:val="24"/>
          <w:szCs w:val="24"/>
        </w:rPr>
        <w:t>Ε</w:t>
      </w:r>
      <w:r w:rsidRPr="00520358">
        <w:rPr>
          <w:rFonts w:ascii="Arial Narrow" w:eastAsia="Times New Roman" w:hAnsi="Arial Narrow" w:cs="Times New Roman"/>
          <w:sz w:val="24"/>
          <w:szCs w:val="24"/>
        </w:rPr>
        <w:t xml:space="preserve">μιράτο υποστηρίζει μια </w:t>
      </w:r>
      <w:r w:rsidRPr="00520358">
        <w:rPr>
          <w:rFonts w:ascii="Arial Narrow" w:eastAsia="Times New Roman" w:hAnsi="Arial Narrow" w:cs="Times New Roman"/>
          <w:b/>
          <w:sz w:val="24"/>
          <w:szCs w:val="24"/>
        </w:rPr>
        <w:t>κουλτούρα επιχειρηματικότητας και καινοτομίας</w:t>
      </w:r>
      <w:r w:rsidRPr="00520358">
        <w:rPr>
          <w:rFonts w:ascii="Arial Narrow" w:eastAsia="Times New Roman" w:hAnsi="Arial Narrow" w:cs="Times New Roman"/>
          <w:sz w:val="24"/>
          <w:szCs w:val="24"/>
        </w:rPr>
        <w:t xml:space="preserve">, στεγάζοντας σχεδόν </w:t>
      </w:r>
      <w:r w:rsidR="00E3015B" w:rsidRPr="00520358">
        <w:rPr>
          <w:rFonts w:ascii="Arial Narrow" w:eastAsia="Times New Roman" w:hAnsi="Arial Narrow" w:cs="Times New Roman"/>
          <w:b/>
          <w:sz w:val="24"/>
          <w:szCs w:val="24"/>
        </w:rPr>
        <w:t>50</w:t>
      </w:r>
      <w:r w:rsidRPr="00520358">
        <w:rPr>
          <w:rFonts w:ascii="Arial Narrow" w:eastAsia="Times New Roman" w:hAnsi="Arial Narrow" w:cs="Times New Roman"/>
          <w:b/>
          <w:sz w:val="24"/>
          <w:szCs w:val="24"/>
        </w:rPr>
        <w:t xml:space="preserve">.000 </w:t>
      </w:r>
      <w:r w:rsidR="00F71AF1" w:rsidRPr="00520358">
        <w:rPr>
          <w:rFonts w:ascii="Arial Narrow" w:eastAsia="Times New Roman" w:hAnsi="Arial Narrow" w:cs="Times New Roman"/>
          <w:b/>
          <w:sz w:val="24"/>
          <w:szCs w:val="24"/>
        </w:rPr>
        <w:t>μ</w:t>
      </w:r>
      <w:r w:rsidR="00F667BF" w:rsidRPr="00520358">
        <w:rPr>
          <w:rFonts w:ascii="Arial Narrow" w:eastAsia="Times New Roman" w:hAnsi="Arial Narrow" w:cs="Times New Roman"/>
          <w:b/>
          <w:sz w:val="24"/>
          <w:szCs w:val="24"/>
        </w:rPr>
        <w:t>ΜΕ</w:t>
      </w:r>
      <w:r w:rsidRPr="00520358">
        <w:rPr>
          <w:rFonts w:ascii="Arial Narrow" w:eastAsia="Times New Roman" w:hAnsi="Arial Narrow" w:cs="Times New Roman"/>
          <w:b/>
          <w:sz w:val="24"/>
          <w:szCs w:val="24"/>
        </w:rPr>
        <w:t xml:space="preserve"> επιχειρήσεις</w:t>
      </w:r>
      <w:r w:rsidRPr="00520358">
        <w:rPr>
          <w:rFonts w:ascii="Arial Narrow" w:eastAsia="Times New Roman" w:hAnsi="Arial Narrow" w:cs="Times New Roman"/>
          <w:sz w:val="24"/>
          <w:szCs w:val="24"/>
        </w:rPr>
        <w:t xml:space="preserve"> που </w:t>
      </w:r>
      <w:r w:rsidR="00F667BF" w:rsidRPr="00520358">
        <w:rPr>
          <w:rFonts w:ascii="Arial Narrow" w:eastAsia="Times New Roman" w:hAnsi="Arial Narrow" w:cs="Times New Roman"/>
          <w:sz w:val="24"/>
          <w:szCs w:val="24"/>
        </w:rPr>
        <w:t xml:space="preserve">εστιάζουν </w:t>
      </w:r>
      <w:r w:rsidRPr="00520358">
        <w:rPr>
          <w:rFonts w:ascii="Arial Narrow" w:eastAsia="Times New Roman" w:hAnsi="Arial Narrow" w:cs="Times New Roman"/>
          <w:sz w:val="24"/>
          <w:szCs w:val="24"/>
        </w:rPr>
        <w:t xml:space="preserve">στη μεταποίηση, τα ακίνητα, το φυσικό αέριο, τον τουρισμό, την εκπαίδευση, την υγειονομική περίθαλψη, τα </w:t>
      </w:r>
      <w:r w:rsidRPr="00520358">
        <w:rPr>
          <w:rFonts w:ascii="Arial Narrow" w:eastAsia="Times New Roman" w:hAnsi="Arial Narrow" w:cs="Times New Roman"/>
          <w:sz w:val="24"/>
          <w:szCs w:val="24"/>
          <w:lang w:val="en-US"/>
        </w:rPr>
        <w:t>logistics</w:t>
      </w:r>
      <w:r w:rsidRPr="00520358">
        <w:rPr>
          <w:rFonts w:ascii="Arial Narrow" w:eastAsia="Times New Roman" w:hAnsi="Arial Narrow" w:cs="Times New Roman"/>
          <w:sz w:val="24"/>
          <w:szCs w:val="24"/>
        </w:rPr>
        <w:t xml:space="preserve"> και τις </w:t>
      </w:r>
      <w:r w:rsidR="00F667BF" w:rsidRPr="00520358">
        <w:rPr>
          <w:rFonts w:ascii="Arial Narrow" w:eastAsia="Times New Roman" w:hAnsi="Arial Narrow" w:cs="Times New Roman"/>
          <w:sz w:val="24"/>
          <w:szCs w:val="24"/>
        </w:rPr>
        <w:t>συμβουλευτικές</w:t>
      </w:r>
      <w:r w:rsidRPr="00520358">
        <w:rPr>
          <w:rFonts w:ascii="Arial Narrow" w:eastAsia="Times New Roman" w:hAnsi="Arial Narrow" w:cs="Times New Roman"/>
          <w:sz w:val="24"/>
          <w:szCs w:val="24"/>
        </w:rPr>
        <w:t xml:space="preserve"> υπηρεσίες.</w:t>
      </w:r>
    </w:p>
    <w:p w14:paraId="5B01E1BA" w14:textId="2C784513" w:rsidR="00E923A4" w:rsidRPr="00520358" w:rsidRDefault="00671D6F" w:rsidP="00256FFF">
      <w:pPr>
        <w:ind w:firstLine="567"/>
        <w:jc w:val="both"/>
        <w:rPr>
          <w:rFonts w:ascii="Arial Narrow" w:eastAsia="Times New Roman" w:hAnsi="Arial Narrow" w:cs="Times New Roman"/>
          <w:bCs/>
          <w:sz w:val="24"/>
          <w:szCs w:val="24"/>
        </w:rPr>
      </w:pPr>
      <w:r w:rsidRPr="00520358">
        <w:rPr>
          <w:rFonts w:ascii="Arial Narrow" w:eastAsia="Times New Roman" w:hAnsi="Arial Narrow" w:cs="Times New Roman"/>
          <w:bCs/>
          <w:sz w:val="24"/>
          <w:szCs w:val="24"/>
        </w:rPr>
        <w:t xml:space="preserve">Η προώθηση του </w:t>
      </w:r>
      <w:r w:rsidRPr="00520358">
        <w:rPr>
          <w:rFonts w:ascii="Arial Narrow" w:eastAsia="Times New Roman" w:hAnsi="Arial Narrow" w:cs="Times New Roman"/>
          <w:b/>
          <w:bCs/>
          <w:sz w:val="24"/>
          <w:szCs w:val="24"/>
        </w:rPr>
        <w:t>πολιτισμού</w:t>
      </w:r>
      <w:r w:rsidRPr="00520358">
        <w:rPr>
          <w:rFonts w:ascii="Arial Narrow" w:eastAsia="Times New Roman" w:hAnsi="Arial Narrow" w:cs="Times New Roman"/>
          <w:bCs/>
          <w:sz w:val="24"/>
          <w:szCs w:val="24"/>
        </w:rPr>
        <w:t xml:space="preserve"> αποτελεί, τέλος, </w:t>
      </w:r>
      <w:r w:rsidRPr="00520358">
        <w:rPr>
          <w:rFonts w:ascii="Arial Narrow" w:eastAsia="Times New Roman" w:hAnsi="Arial Narrow" w:cs="Times New Roman"/>
          <w:b/>
          <w:bCs/>
          <w:sz w:val="24"/>
          <w:szCs w:val="24"/>
        </w:rPr>
        <w:t>βασική προτεραιότητα</w:t>
      </w:r>
      <w:r w:rsidRPr="00520358">
        <w:rPr>
          <w:rFonts w:ascii="Arial Narrow" w:eastAsia="Times New Roman" w:hAnsi="Arial Narrow" w:cs="Times New Roman"/>
          <w:bCs/>
          <w:sz w:val="24"/>
          <w:szCs w:val="24"/>
        </w:rPr>
        <w:t xml:space="preserve"> του Τοπικού Ηγεμόνα, γεγονός που αποτυπώνεται στο </w:t>
      </w:r>
      <w:r w:rsidR="00EF5ABD" w:rsidRPr="00520358">
        <w:rPr>
          <w:rFonts w:ascii="Arial Narrow" w:eastAsia="Times New Roman" w:hAnsi="Arial Narrow" w:cs="Times New Roman"/>
          <w:bCs/>
          <w:sz w:val="24"/>
          <w:szCs w:val="24"/>
        </w:rPr>
        <w:t xml:space="preserve">γεγονός </w:t>
      </w:r>
      <w:r w:rsidRPr="00520358">
        <w:rPr>
          <w:rFonts w:ascii="Arial Narrow" w:eastAsia="Times New Roman" w:hAnsi="Arial Narrow" w:cs="Times New Roman"/>
          <w:bCs/>
          <w:sz w:val="24"/>
          <w:szCs w:val="24"/>
        </w:rPr>
        <w:t>ότι το Εμιράτο διαθέτει πολλά εκπαιδευτικά ιδρύματα, μουσεία ενώ διοργανώνει και πολλά πολιτιστικά φεστιβάλ. Σημειωτέον ότι το</w:t>
      </w:r>
      <w:r w:rsidR="0098652A" w:rsidRPr="00520358">
        <w:rPr>
          <w:rFonts w:ascii="Arial Narrow" w:eastAsia="Times New Roman" w:hAnsi="Arial Narrow" w:cs="Times New Roman"/>
          <w:bCs/>
          <w:sz w:val="24"/>
          <w:szCs w:val="24"/>
        </w:rPr>
        <w:t xml:space="preserve"> </w:t>
      </w:r>
      <w:r w:rsidRPr="00520358">
        <w:rPr>
          <w:rFonts w:ascii="Arial Narrow" w:eastAsia="Times New Roman" w:hAnsi="Arial Narrow" w:cs="Times New Roman"/>
          <w:bCs/>
          <w:sz w:val="24"/>
          <w:szCs w:val="24"/>
        </w:rPr>
        <w:t>1998 η UNESCO ονόμασε το Εμιράτο «</w:t>
      </w:r>
      <w:r w:rsidRPr="00520358">
        <w:rPr>
          <w:rFonts w:ascii="Arial Narrow" w:eastAsia="Times New Roman" w:hAnsi="Arial Narrow" w:cs="Times New Roman"/>
          <w:b/>
          <w:bCs/>
          <w:sz w:val="24"/>
          <w:szCs w:val="24"/>
        </w:rPr>
        <w:t>Πολιτιστική Πρωτεύουσα του Αραβικού Κόσμου</w:t>
      </w:r>
      <w:r w:rsidRPr="00520358">
        <w:rPr>
          <w:rFonts w:ascii="Arial Narrow" w:eastAsia="Times New Roman" w:hAnsi="Arial Narrow" w:cs="Times New Roman"/>
          <w:bCs/>
          <w:sz w:val="24"/>
          <w:szCs w:val="24"/>
        </w:rPr>
        <w:t>».</w:t>
      </w:r>
    </w:p>
    <w:p w14:paraId="1127B0F6" w14:textId="5C032FC9" w:rsidR="00AE5F31" w:rsidRPr="00520358" w:rsidRDefault="00022BD6" w:rsidP="00E923A4">
      <w:pPr>
        <w:rPr>
          <w:rFonts w:ascii="Arial Narrow" w:eastAsia="Times New Roman" w:hAnsi="Arial Narrow" w:cs="Times New Roman"/>
          <w:b/>
          <w:color w:val="1F497D" w:themeColor="text2"/>
          <w:sz w:val="28"/>
          <w:szCs w:val="28"/>
        </w:rPr>
      </w:pPr>
      <w:bookmarkStart w:id="13" w:name="_Toc496023360"/>
      <w:bookmarkStart w:id="14" w:name="_Toc496025311"/>
      <w:bookmarkStart w:id="15" w:name="_Toc496026312"/>
      <w:bookmarkStart w:id="16" w:name="_Toc496097569"/>
      <w:bookmarkStart w:id="17" w:name="_Toc496099478"/>
      <w:bookmarkStart w:id="18" w:name="_Toc14342459"/>
      <w:r w:rsidRPr="00022BD6">
        <w:rPr>
          <w:rFonts w:ascii="Arial Narrow" w:eastAsia="Calibri" w:hAnsi="Arial Narrow" w:cs="Times New Roman"/>
          <w:b/>
          <w:color w:val="1F497D" w:themeColor="text2"/>
          <w:sz w:val="28"/>
          <w:szCs w:val="28"/>
        </w:rPr>
        <w:t xml:space="preserve">30.7. </w:t>
      </w:r>
      <w:r w:rsidR="007600A1">
        <w:rPr>
          <w:rFonts w:ascii="Arial Narrow" w:eastAsia="Calibri" w:hAnsi="Arial Narrow" w:cs="Times New Roman"/>
          <w:b/>
          <w:color w:val="1F497D" w:themeColor="text2"/>
          <w:sz w:val="28"/>
          <w:szCs w:val="28"/>
        </w:rPr>
        <w:t xml:space="preserve">ΕΜΙΡΑΤΟ </w:t>
      </w:r>
      <w:r w:rsidR="00AE5F31" w:rsidRPr="00520358">
        <w:rPr>
          <w:rFonts w:ascii="Arial Narrow" w:eastAsia="Calibri" w:hAnsi="Arial Narrow" w:cs="Times New Roman"/>
          <w:b/>
          <w:color w:val="1F497D" w:themeColor="text2"/>
          <w:sz w:val="28"/>
          <w:szCs w:val="28"/>
          <w:lang w:val="en-US"/>
        </w:rPr>
        <w:t>Ras</w:t>
      </w:r>
      <w:r w:rsidR="00AE5F31" w:rsidRPr="00520358">
        <w:rPr>
          <w:rFonts w:ascii="Arial Narrow" w:eastAsia="Calibri" w:hAnsi="Arial Narrow" w:cs="Times New Roman"/>
          <w:b/>
          <w:color w:val="1F497D" w:themeColor="text2"/>
          <w:sz w:val="28"/>
          <w:szCs w:val="28"/>
        </w:rPr>
        <w:t xml:space="preserve"> </w:t>
      </w:r>
      <w:r w:rsidR="00AE5F31" w:rsidRPr="00520358">
        <w:rPr>
          <w:rFonts w:ascii="Arial Narrow" w:eastAsia="Calibri" w:hAnsi="Arial Narrow" w:cs="Times New Roman"/>
          <w:b/>
          <w:color w:val="1F497D" w:themeColor="text2"/>
          <w:sz w:val="28"/>
          <w:szCs w:val="28"/>
          <w:lang w:val="en-US"/>
        </w:rPr>
        <w:t>Al</w:t>
      </w:r>
      <w:r w:rsidR="00AE5F31" w:rsidRPr="00520358">
        <w:rPr>
          <w:rFonts w:ascii="Arial Narrow" w:eastAsia="Calibri" w:hAnsi="Arial Narrow" w:cs="Times New Roman"/>
          <w:b/>
          <w:color w:val="1F497D" w:themeColor="text2"/>
          <w:sz w:val="28"/>
          <w:szCs w:val="28"/>
        </w:rPr>
        <w:t xml:space="preserve"> </w:t>
      </w:r>
      <w:r w:rsidR="00AE5F31" w:rsidRPr="00520358">
        <w:rPr>
          <w:rFonts w:ascii="Arial Narrow" w:eastAsia="Calibri" w:hAnsi="Arial Narrow" w:cs="Times New Roman"/>
          <w:b/>
          <w:color w:val="1F497D" w:themeColor="text2"/>
          <w:sz w:val="28"/>
          <w:szCs w:val="28"/>
          <w:lang w:val="en-US"/>
        </w:rPr>
        <w:t>Khaimah</w:t>
      </w:r>
      <w:bookmarkEnd w:id="13"/>
      <w:bookmarkEnd w:id="14"/>
      <w:bookmarkEnd w:id="15"/>
      <w:bookmarkEnd w:id="16"/>
      <w:bookmarkEnd w:id="17"/>
      <w:bookmarkEnd w:id="18"/>
      <w:r w:rsidR="00CB5489" w:rsidRPr="00520358">
        <w:rPr>
          <w:rFonts w:ascii="Arial Narrow" w:eastAsia="Calibri" w:hAnsi="Arial Narrow" w:cs="Times New Roman"/>
          <w:b/>
          <w:color w:val="1F497D" w:themeColor="text2"/>
          <w:sz w:val="28"/>
          <w:szCs w:val="28"/>
        </w:rPr>
        <w:t xml:space="preserve"> (Ρας Αλ </w:t>
      </w:r>
      <w:r w:rsidR="00671D6F" w:rsidRPr="00520358">
        <w:rPr>
          <w:rFonts w:ascii="Arial Narrow" w:eastAsia="Calibri" w:hAnsi="Arial Narrow" w:cs="Times New Roman"/>
          <w:b/>
          <w:color w:val="1F497D" w:themeColor="text2"/>
          <w:sz w:val="28"/>
          <w:szCs w:val="28"/>
        </w:rPr>
        <w:t>Χέ</w:t>
      </w:r>
      <w:r w:rsidR="00CB5489" w:rsidRPr="00520358">
        <w:rPr>
          <w:rFonts w:ascii="Arial Narrow" w:eastAsia="Calibri" w:hAnsi="Arial Narrow" w:cs="Times New Roman"/>
          <w:b/>
          <w:color w:val="1F497D" w:themeColor="text2"/>
          <w:sz w:val="28"/>
          <w:szCs w:val="28"/>
        </w:rPr>
        <w:t>ιμα</w:t>
      </w:r>
      <w:r w:rsidR="00CB5489" w:rsidRPr="00520358">
        <w:rPr>
          <w:rFonts w:ascii="Arial Narrow" w:eastAsia="Times New Roman" w:hAnsi="Arial Narrow" w:cs="Times New Roman"/>
          <w:b/>
          <w:color w:val="1F497D" w:themeColor="text2"/>
          <w:sz w:val="28"/>
          <w:szCs w:val="28"/>
        </w:rPr>
        <w:t>)</w:t>
      </w:r>
    </w:p>
    <w:p w14:paraId="1ADB4F58" w14:textId="21B41A4E" w:rsidR="001A136F" w:rsidRPr="00520358" w:rsidRDefault="001A136F" w:rsidP="00D32119">
      <w:pPr>
        <w:suppressAutoHyphens/>
        <w:autoSpaceDN w:val="0"/>
        <w:ind w:firstLine="567"/>
        <w:jc w:val="both"/>
        <w:rPr>
          <w:rFonts w:ascii="Arial Narrow" w:eastAsia="Times New Roman" w:hAnsi="Arial Narrow" w:cs="Times New Roman"/>
          <w:sz w:val="24"/>
          <w:szCs w:val="24"/>
        </w:rPr>
      </w:pPr>
      <w:r w:rsidRPr="00520358">
        <w:rPr>
          <w:rFonts w:ascii="Arial Narrow" w:eastAsia="Times New Roman" w:hAnsi="Arial Narrow" w:cs="Times New Roman"/>
          <w:sz w:val="24"/>
          <w:szCs w:val="24"/>
        </w:rPr>
        <w:t>Υπήρξε κατά το</w:t>
      </w:r>
      <w:r w:rsidR="00A340F8" w:rsidRPr="00520358">
        <w:rPr>
          <w:rFonts w:ascii="Arial Narrow" w:eastAsia="Times New Roman" w:hAnsi="Arial Narrow" w:cs="Times New Roman"/>
          <w:sz w:val="24"/>
          <w:szCs w:val="24"/>
        </w:rPr>
        <w:t>ν</w:t>
      </w:r>
      <w:r w:rsidRPr="00520358">
        <w:rPr>
          <w:rFonts w:ascii="Arial Narrow" w:eastAsia="Times New Roman" w:hAnsi="Arial Narrow" w:cs="Times New Roman"/>
          <w:sz w:val="24"/>
          <w:szCs w:val="24"/>
        </w:rPr>
        <w:t xml:space="preserve"> 13</w:t>
      </w:r>
      <w:r w:rsidRPr="00520358">
        <w:rPr>
          <w:rFonts w:ascii="Arial Narrow" w:eastAsia="Times New Roman" w:hAnsi="Arial Narrow" w:cs="Times New Roman"/>
          <w:sz w:val="24"/>
          <w:szCs w:val="24"/>
          <w:vertAlign w:val="superscript"/>
        </w:rPr>
        <w:t>ο</w:t>
      </w:r>
      <w:r w:rsidRPr="00520358">
        <w:rPr>
          <w:rFonts w:ascii="Arial Narrow" w:eastAsia="Times New Roman" w:hAnsi="Arial Narrow" w:cs="Times New Roman"/>
          <w:sz w:val="24"/>
          <w:szCs w:val="24"/>
        </w:rPr>
        <w:t xml:space="preserve"> και 14</w:t>
      </w:r>
      <w:r w:rsidRPr="00520358">
        <w:rPr>
          <w:rFonts w:ascii="Arial Narrow" w:eastAsia="Times New Roman" w:hAnsi="Arial Narrow" w:cs="Times New Roman"/>
          <w:sz w:val="24"/>
          <w:szCs w:val="24"/>
          <w:vertAlign w:val="superscript"/>
        </w:rPr>
        <w:t>ο</w:t>
      </w:r>
      <w:r w:rsidRPr="00520358">
        <w:rPr>
          <w:rFonts w:ascii="Arial Narrow" w:eastAsia="Times New Roman" w:hAnsi="Arial Narrow" w:cs="Times New Roman"/>
          <w:sz w:val="24"/>
          <w:szCs w:val="24"/>
        </w:rPr>
        <w:t xml:space="preserve"> αιώνα εμπορικό κέντρο με την ονομασία </w:t>
      </w:r>
      <w:r w:rsidRPr="00520358">
        <w:rPr>
          <w:rFonts w:ascii="Arial Narrow" w:eastAsia="Times New Roman" w:hAnsi="Arial Narrow" w:cs="Times New Roman"/>
          <w:b/>
          <w:sz w:val="24"/>
          <w:szCs w:val="24"/>
          <w:lang w:val="en-US"/>
        </w:rPr>
        <w:t>Julphar</w:t>
      </w:r>
      <w:r w:rsidRPr="00520358">
        <w:rPr>
          <w:rFonts w:ascii="Arial Narrow" w:eastAsia="Times New Roman" w:hAnsi="Arial Narrow" w:cs="Times New Roman"/>
          <w:sz w:val="24"/>
          <w:szCs w:val="24"/>
        </w:rPr>
        <w:t xml:space="preserve">. Είναι το </w:t>
      </w:r>
      <w:r w:rsidRPr="00520358">
        <w:rPr>
          <w:rFonts w:ascii="Arial Narrow" w:eastAsia="Times New Roman" w:hAnsi="Arial Narrow" w:cs="Times New Roman"/>
          <w:b/>
          <w:sz w:val="24"/>
          <w:szCs w:val="24"/>
        </w:rPr>
        <w:t>4</w:t>
      </w:r>
      <w:r w:rsidRPr="00520358">
        <w:rPr>
          <w:rFonts w:ascii="Arial Narrow" w:eastAsia="Times New Roman" w:hAnsi="Arial Narrow" w:cs="Times New Roman"/>
          <w:b/>
          <w:sz w:val="24"/>
          <w:szCs w:val="24"/>
          <w:vertAlign w:val="superscript"/>
        </w:rPr>
        <w:t>ο</w:t>
      </w:r>
      <w:r w:rsidRPr="00520358">
        <w:rPr>
          <w:rFonts w:ascii="Arial Narrow" w:eastAsia="Times New Roman" w:hAnsi="Arial Narrow" w:cs="Times New Roman"/>
          <w:b/>
          <w:sz w:val="24"/>
          <w:szCs w:val="24"/>
        </w:rPr>
        <w:t xml:space="preserve"> μεγαλύτερο</w:t>
      </w:r>
      <w:r w:rsidRPr="00520358">
        <w:rPr>
          <w:rFonts w:ascii="Arial Narrow" w:eastAsia="Times New Roman" w:hAnsi="Arial Narrow" w:cs="Times New Roman"/>
          <w:sz w:val="24"/>
          <w:szCs w:val="24"/>
        </w:rPr>
        <w:t xml:space="preserve"> σε </w:t>
      </w:r>
      <w:r w:rsidR="007D21F1" w:rsidRPr="00520358">
        <w:rPr>
          <w:rFonts w:ascii="Arial Narrow" w:eastAsia="Times New Roman" w:hAnsi="Arial Narrow" w:cs="Times New Roman"/>
          <w:sz w:val="24"/>
          <w:szCs w:val="24"/>
        </w:rPr>
        <w:t>έ</w:t>
      </w:r>
      <w:r w:rsidRPr="00520358">
        <w:rPr>
          <w:rFonts w:ascii="Arial Narrow" w:eastAsia="Times New Roman" w:hAnsi="Arial Narrow" w:cs="Times New Roman"/>
          <w:sz w:val="24"/>
          <w:szCs w:val="24"/>
        </w:rPr>
        <w:t xml:space="preserve">κταση </w:t>
      </w:r>
      <w:r w:rsidR="007D21F1" w:rsidRPr="00520358">
        <w:rPr>
          <w:rFonts w:ascii="Arial Narrow" w:eastAsia="Times New Roman" w:hAnsi="Arial Narrow" w:cs="Times New Roman"/>
          <w:sz w:val="24"/>
          <w:szCs w:val="24"/>
        </w:rPr>
        <w:t>Ε</w:t>
      </w:r>
      <w:r w:rsidRPr="00520358">
        <w:rPr>
          <w:rFonts w:ascii="Arial Narrow" w:eastAsia="Times New Roman" w:hAnsi="Arial Narrow" w:cs="Times New Roman"/>
          <w:sz w:val="24"/>
          <w:szCs w:val="24"/>
        </w:rPr>
        <w:t>μιράτο (</w:t>
      </w:r>
      <w:r w:rsidRPr="00520358">
        <w:rPr>
          <w:rFonts w:ascii="Arial Narrow" w:eastAsia="Times New Roman" w:hAnsi="Arial Narrow" w:cs="Times New Roman"/>
          <w:b/>
          <w:sz w:val="24"/>
          <w:szCs w:val="24"/>
        </w:rPr>
        <w:t xml:space="preserve">3% </w:t>
      </w:r>
      <w:r w:rsidR="007D21F1" w:rsidRPr="00520358">
        <w:rPr>
          <w:rFonts w:ascii="Arial Narrow" w:eastAsia="Times New Roman" w:hAnsi="Arial Narrow" w:cs="Times New Roman"/>
          <w:b/>
          <w:sz w:val="24"/>
          <w:szCs w:val="24"/>
        </w:rPr>
        <w:t xml:space="preserve">της έκτασης </w:t>
      </w:r>
      <w:r w:rsidRPr="00520358">
        <w:rPr>
          <w:rFonts w:ascii="Arial Narrow" w:eastAsia="Times New Roman" w:hAnsi="Arial Narrow" w:cs="Times New Roman"/>
          <w:sz w:val="24"/>
          <w:szCs w:val="24"/>
        </w:rPr>
        <w:t xml:space="preserve">των ΗΑΕ) και έχει πληθυσμό περίπου </w:t>
      </w:r>
      <w:r w:rsidRPr="00520358">
        <w:rPr>
          <w:rFonts w:ascii="Arial Narrow" w:eastAsia="Times New Roman" w:hAnsi="Arial Narrow" w:cs="Times New Roman"/>
          <w:b/>
          <w:sz w:val="24"/>
          <w:szCs w:val="24"/>
        </w:rPr>
        <w:t>400.000 κατοίκους</w:t>
      </w:r>
      <w:r w:rsidRPr="00520358">
        <w:rPr>
          <w:rFonts w:ascii="Arial Narrow" w:eastAsia="Times New Roman" w:hAnsi="Arial Narrow" w:cs="Times New Roman"/>
          <w:sz w:val="24"/>
          <w:szCs w:val="24"/>
        </w:rPr>
        <w:t>.</w:t>
      </w:r>
      <w:r w:rsidR="00CB6797" w:rsidRPr="00520358">
        <w:rPr>
          <w:rFonts w:ascii="Arial Narrow" w:eastAsia="Times New Roman" w:hAnsi="Arial Narrow" w:cs="Times New Roman"/>
          <w:sz w:val="24"/>
          <w:szCs w:val="24"/>
        </w:rPr>
        <w:t xml:space="preserve"> Το </w:t>
      </w:r>
      <w:r w:rsidR="00CB6797" w:rsidRPr="00520358">
        <w:rPr>
          <w:rFonts w:ascii="Arial Narrow" w:eastAsia="Times New Roman" w:hAnsi="Arial Narrow" w:cs="Times New Roman"/>
          <w:b/>
          <w:sz w:val="24"/>
          <w:szCs w:val="24"/>
        </w:rPr>
        <w:t>ΑΕΠ</w:t>
      </w:r>
      <w:r w:rsidR="00CB6797" w:rsidRPr="00520358">
        <w:rPr>
          <w:rFonts w:ascii="Arial Narrow" w:eastAsia="Times New Roman" w:hAnsi="Arial Narrow" w:cs="Times New Roman"/>
          <w:sz w:val="24"/>
          <w:szCs w:val="24"/>
        </w:rPr>
        <w:t xml:space="preserve"> του Εμιράτου </w:t>
      </w:r>
      <w:r w:rsidR="0084621C" w:rsidRPr="00520358">
        <w:rPr>
          <w:rFonts w:ascii="Arial Narrow" w:eastAsia="Times New Roman" w:hAnsi="Arial Narrow" w:cs="Times New Roman"/>
          <w:sz w:val="24"/>
          <w:szCs w:val="24"/>
        </w:rPr>
        <w:t xml:space="preserve">εκτιμάται ότι </w:t>
      </w:r>
      <w:r w:rsidR="00CB6797" w:rsidRPr="00520358">
        <w:rPr>
          <w:rFonts w:ascii="Arial Narrow" w:eastAsia="Times New Roman" w:hAnsi="Arial Narrow" w:cs="Times New Roman"/>
          <w:sz w:val="24"/>
          <w:szCs w:val="24"/>
        </w:rPr>
        <w:t>ανήλθε το 202</w:t>
      </w:r>
      <w:r w:rsidR="0084621C" w:rsidRPr="00520358">
        <w:rPr>
          <w:rFonts w:ascii="Arial Narrow" w:eastAsia="Times New Roman" w:hAnsi="Arial Narrow" w:cs="Times New Roman"/>
          <w:sz w:val="24"/>
          <w:szCs w:val="24"/>
        </w:rPr>
        <w:t>4</w:t>
      </w:r>
      <w:r w:rsidR="00CB6797" w:rsidRPr="00520358">
        <w:rPr>
          <w:rFonts w:ascii="Arial Narrow" w:eastAsia="Times New Roman" w:hAnsi="Arial Narrow" w:cs="Times New Roman"/>
          <w:sz w:val="24"/>
          <w:szCs w:val="24"/>
        </w:rPr>
        <w:t xml:space="preserve"> στα</w:t>
      </w:r>
      <w:r w:rsidR="001B23BB" w:rsidRPr="00520358">
        <w:rPr>
          <w:rFonts w:ascii="Arial Narrow" w:eastAsia="Times New Roman" w:hAnsi="Arial Narrow" w:cs="Times New Roman"/>
          <w:sz w:val="24"/>
          <w:szCs w:val="24"/>
        </w:rPr>
        <w:t xml:space="preserve"> </w:t>
      </w:r>
      <w:r w:rsidR="009B5241" w:rsidRPr="00520358">
        <w:rPr>
          <w:rFonts w:ascii="Arial Narrow" w:eastAsia="Times New Roman" w:hAnsi="Arial Narrow" w:cs="Times New Roman"/>
          <w:sz w:val="24"/>
          <w:szCs w:val="24"/>
        </w:rPr>
        <w:t>4</w:t>
      </w:r>
      <w:r w:rsidR="0084621C" w:rsidRPr="00520358">
        <w:rPr>
          <w:rFonts w:ascii="Arial Narrow" w:eastAsia="Times New Roman" w:hAnsi="Arial Narrow" w:cs="Times New Roman"/>
          <w:sz w:val="24"/>
          <w:szCs w:val="24"/>
        </w:rPr>
        <w:t>7,7</w:t>
      </w:r>
      <w:r w:rsidR="001B23BB" w:rsidRPr="00520358">
        <w:rPr>
          <w:rFonts w:ascii="Arial Narrow" w:eastAsia="Times New Roman" w:hAnsi="Arial Narrow" w:cs="Times New Roman"/>
          <w:sz w:val="24"/>
          <w:szCs w:val="24"/>
        </w:rPr>
        <w:t xml:space="preserve"> δισεκ. </w:t>
      </w:r>
      <w:r w:rsidR="00BE18A5" w:rsidRPr="00520358">
        <w:rPr>
          <w:rFonts w:ascii="Arial Narrow" w:eastAsia="Times New Roman" w:hAnsi="Arial Narrow" w:cs="Times New Roman"/>
          <w:sz w:val="24"/>
          <w:szCs w:val="24"/>
        </w:rPr>
        <w:t>Ντίρχαμ</w:t>
      </w:r>
      <w:r w:rsidR="00CB6797" w:rsidRPr="00520358">
        <w:rPr>
          <w:rFonts w:ascii="Arial Narrow" w:eastAsia="Times New Roman" w:hAnsi="Arial Narrow" w:cs="Times New Roman"/>
          <w:sz w:val="24"/>
          <w:szCs w:val="24"/>
        </w:rPr>
        <w:t xml:space="preserve"> </w:t>
      </w:r>
      <w:r w:rsidR="001B23BB" w:rsidRPr="00520358">
        <w:rPr>
          <w:rFonts w:ascii="Arial Narrow" w:eastAsia="Times New Roman" w:hAnsi="Arial Narrow" w:cs="Times New Roman"/>
          <w:sz w:val="24"/>
          <w:szCs w:val="24"/>
        </w:rPr>
        <w:t>(</w:t>
      </w:r>
      <w:r w:rsidR="001B23BB" w:rsidRPr="00520358">
        <w:rPr>
          <w:rFonts w:ascii="Arial Narrow" w:eastAsia="Times New Roman" w:hAnsi="Arial Narrow" w:cs="Times New Roman"/>
          <w:b/>
          <w:sz w:val="24"/>
          <w:szCs w:val="24"/>
        </w:rPr>
        <w:t>1</w:t>
      </w:r>
      <w:r w:rsidR="0084621C" w:rsidRPr="00520358">
        <w:rPr>
          <w:rFonts w:ascii="Arial Narrow" w:eastAsia="Times New Roman" w:hAnsi="Arial Narrow" w:cs="Times New Roman"/>
          <w:b/>
          <w:sz w:val="24"/>
          <w:szCs w:val="24"/>
        </w:rPr>
        <w:t>3</w:t>
      </w:r>
      <w:r w:rsidR="00CB6797" w:rsidRPr="00520358">
        <w:rPr>
          <w:rFonts w:ascii="Arial Narrow" w:eastAsia="Times New Roman" w:hAnsi="Arial Narrow" w:cs="Times New Roman"/>
          <w:b/>
          <w:sz w:val="24"/>
          <w:szCs w:val="24"/>
        </w:rPr>
        <w:t xml:space="preserve"> </w:t>
      </w:r>
      <w:r w:rsidR="00133844" w:rsidRPr="00520358">
        <w:rPr>
          <w:rFonts w:ascii="Arial Narrow" w:eastAsia="Times New Roman" w:hAnsi="Arial Narrow" w:cs="Times New Roman"/>
          <w:b/>
          <w:sz w:val="24"/>
          <w:szCs w:val="24"/>
        </w:rPr>
        <w:t xml:space="preserve">δισεκ. </w:t>
      </w:r>
      <w:r w:rsidR="001B23BB" w:rsidRPr="00520358">
        <w:rPr>
          <w:rFonts w:ascii="Arial Narrow" w:eastAsia="Times New Roman" w:hAnsi="Arial Narrow" w:cs="Times New Roman"/>
          <w:b/>
          <w:sz w:val="24"/>
          <w:szCs w:val="24"/>
        </w:rPr>
        <w:t xml:space="preserve"> $</w:t>
      </w:r>
      <w:r w:rsidR="001B23BB" w:rsidRPr="00520358">
        <w:rPr>
          <w:rFonts w:ascii="Arial Narrow" w:eastAsia="Times New Roman" w:hAnsi="Arial Narrow" w:cs="Times New Roman"/>
          <w:sz w:val="24"/>
          <w:szCs w:val="24"/>
        </w:rPr>
        <w:t>)</w:t>
      </w:r>
      <w:r w:rsidR="00A1547E" w:rsidRPr="00520358">
        <w:rPr>
          <w:rFonts w:ascii="Arial Narrow" w:eastAsia="Times New Roman" w:hAnsi="Arial Narrow" w:cs="Times New Roman"/>
          <w:sz w:val="24"/>
          <w:szCs w:val="24"/>
        </w:rPr>
        <w:t xml:space="preserve">, </w:t>
      </w:r>
      <w:r w:rsidR="0084621C" w:rsidRPr="00520358">
        <w:rPr>
          <w:rFonts w:ascii="Arial Narrow" w:eastAsia="Times New Roman" w:hAnsi="Arial Narrow" w:cs="Times New Roman"/>
          <w:sz w:val="24"/>
          <w:szCs w:val="24"/>
        </w:rPr>
        <w:t>αυξημένο</w:t>
      </w:r>
      <w:r w:rsidR="00A1547E" w:rsidRPr="00520358">
        <w:rPr>
          <w:rFonts w:ascii="Arial Narrow" w:eastAsia="Times New Roman" w:hAnsi="Arial Narrow" w:cs="Times New Roman"/>
          <w:sz w:val="24"/>
          <w:szCs w:val="24"/>
        </w:rPr>
        <w:t xml:space="preserve"> κατά </w:t>
      </w:r>
      <w:r w:rsidR="0084621C" w:rsidRPr="00520358">
        <w:rPr>
          <w:rFonts w:ascii="Arial Narrow" w:eastAsia="Times New Roman" w:hAnsi="Arial Narrow" w:cs="Times New Roman"/>
          <w:sz w:val="24"/>
          <w:szCs w:val="24"/>
        </w:rPr>
        <w:t>6,7</w:t>
      </w:r>
      <w:r w:rsidR="00A1547E" w:rsidRPr="00520358">
        <w:rPr>
          <w:rFonts w:ascii="Arial Narrow" w:eastAsia="Times New Roman" w:hAnsi="Arial Narrow" w:cs="Times New Roman"/>
          <w:sz w:val="24"/>
          <w:szCs w:val="24"/>
        </w:rPr>
        <w:t>% το 202</w:t>
      </w:r>
      <w:r w:rsidR="0084621C" w:rsidRPr="00520358">
        <w:rPr>
          <w:rFonts w:ascii="Arial Narrow" w:eastAsia="Times New Roman" w:hAnsi="Arial Narrow" w:cs="Times New Roman"/>
          <w:sz w:val="24"/>
          <w:szCs w:val="24"/>
        </w:rPr>
        <w:t>4</w:t>
      </w:r>
      <w:r w:rsidR="00A1547E" w:rsidRPr="00520358">
        <w:rPr>
          <w:rFonts w:ascii="Arial Narrow" w:eastAsia="Times New Roman" w:hAnsi="Arial Narrow" w:cs="Times New Roman"/>
          <w:sz w:val="24"/>
          <w:szCs w:val="24"/>
        </w:rPr>
        <w:t>.</w:t>
      </w:r>
      <w:r w:rsidR="0084621C" w:rsidRPr="00520358">
        <w:rPr>
          <w:rStyle w:val="FootnoteReference"/>
          <w:rFonts w:ascii="Arial Narrow" w:eastAsia="Times New Roman" w:hAnsi="Arial Narrow" w:cs="Times New Roman"/>
          <w:sz w:val="24"/>
          <w:szCs w:val="24"/>
        </w:rPr>
        <w:footnoteReference w:id="7"/>
      </w:r>
      <w:r w:rsidR="001B23BB" w:rsidRPr="00520358">
        <w:rPr>
          <w:rFonts w:ascii="Arial Narrow" w:eastAsia="Times New Roman" w:hAnsi="Arial Narrow" w:cs="Times New Roman"/>
          <w:sz w:val="24"/>
          <w:szCs w:val="24"/>
        </w:rPr>
        <w:t xml:space="preserve"> Η μεταποίηση συμβάλλει περίπου στο 30% του ΑΕΠ, ακολουθούμενη από τον κλάδο χονδρικού και λιανικού εμπορίου (15%) και τον κλάδο ανάπτυξης ακινήτων (7%).</w:t>
      </w:r>
    </w:p>
    <w:p w14:paraId="52EFB257" w14:textId="7F8A0B97" w:rsidR="00701865" w:rsidRPr="00520358" w:rsidRDefault="00477726" w:rsidP="00B44CE3">
      <w:pPr>
        <w:suppressAutoHyphens/>
        <w:autoSpaceDN w:val="0"/>
        <w:ind w:firstLine="567"/>
        <w:jc w:val="both"/>
        <w:rPr>
          <w:rFonts w:ascii="Arial Narrow" w:eastAsia="Calibri" w:hAnsi="Arial Narrow" w:cs="Times New Roman"/>
          <w:sz w:val="24"/>
          <w:szCs w:val="24"/>
          <w:lang w:eastAsia="en-US"/>
        </w:rPr>
      </w:pPr>
      <w:r w:rsidRPr="00520358">
        <w:rPr>
          <w:rFonts w:ascii="Arial Narrow" w:eastAsia="Times New Roman" w:hAnsi="Arial Narrow" w:cs="Times New Roman"/>
          <w:sz w:val="24"/>
          <w:szCs w:val="24"/>
        </w:rPr>
        <w:t>Η</w:t>
      </w:r>
      <w:r w:rsidR="00701865" w:rsidRPr="00520358">
        <w:rPr>
          <w:rFonts w:ascii="Arial Narrow" w:eastAsia="Times New Roman" w:hAnsi="Arial Narrow" w:cs="Times New Roman"/>
          <w:sz w:val="24"/>
          <w:szCs w:val="24"/>
        </w:rPr>
        <w:t xml:space="preserve"> Ras Al Khaimah ακολουθεί μια </w:t>
      </w:r>
      <w:r w:rsidR="00701865" w:rsidRPr="00520358">
        <w:rPr>
          <w:rFonts w:ascii="Arial Narrow" w:eastAsia="Times New Roman" w:hAnsi="Arial Narrow" w:cs="Times New Roman"/>
          <w:b/>
          <w:sz w:val="24"/>
          <w:szCs w:val="24"/>
        </w:rPr>
        <w:t>ισχυρή πολιτική οικονομικής διαφοροποίησης</w:t>
      </w:r>
      <w:r w:rsidR="00701865" w:rsidRPr="00520358">
        <w:rPr>
          <w:rFonts w:ascii="Arial Narrow" w:eastAsia="Times New Roman" w:hAnsi="Arial Narrow" w:cs="Times New Roman"/>
          <w:sz w:val="24"/>
          <w:szCs w:val="24"/>
        </w:rPr>
        <w:t xml:space="preserve"> και έχει γνωρίσει </w:t>
      </w:r>
      <w:r w:rsidR="001B23BB" w:rsidRPr="00520358">
        <w:rPr>
          <w:rFonts w:ascii="Arial Narrow" w:eastAsia="Times New Roman" w:hAnsi="Arial Narrow" w:cs="Times New Roman"/>
          <w:b/>
          <w:sz w:val="24"/>
          <w:szCs w:val="24"/>
        </w:rPr>
        <w:t xml:space="preserve">σημαντική </w:t>
      </w:r>
      <w:r w:rsidR="00701865" w:rsidRPr="00520358">
        <w:rPr>
          <w:rFonts w:ascii="Arial Narrow" w:eastAsia="Times New Roman" w:hAnsi="Arial Narrow" w:cs="Times New Roman"/>
          <w:b/>
          <w:sz w:val="24"/>
          <w:szCs w:val="24"/>
        </w:rPr>
        <w:t>ανάπτυξη</w:t>
      </w:r>
      <w:r w:rsidR="00701865" w:rsidRPr="00520358">
        <w:rPr>
          <w:rFonts w:ascii="Arial Narrow" w:eastAsia="Times New Roman" w:hAnsi="Arial Narrow" w:cs="Times New Roman"/>
          <w:sz w:val="24"/>
          <w:szCs w:val="24"/>
        </w:rPr>
        <w:t xml:space="preserve"> τα τελευταία χρόνια. Η δημιουργία </w:t>
      </w:r>
      <w:r w:rsidR="00B44CE3" w:rsidRPr="00520358">
        <w:rPr>
          <w:rFonts w:ascii="Arial Narrow" w:eastAsia="Times New Roman" w:hAnsi="Arial Narrow" w:cs="Times New Roman"/>
          <w:sz w:val="24"/>
          <w:szCs w:val="24"/>
        </w:rPr>
        <w:t xml:space="preserve">2 </w:t>
      </w:r>
      <w:r w:rsidR="007D21F1" w:rsidRPr="00520358">
        <w:rPr>
          <w:rFonts w:ascii="Arial Narrow" w:eastAsia="Times New Roman" w:hAnsi="Arial Narrow" w:cs="Times New Roman"/>
          <w:b/>
          <w:sz w:val="24"/>
          <w:szCs w:val="24"/>
        </w:rPr>
        <w:t>Ε</w:t>
      </w:r>
      <w:r w:rsidR="00701865" w:rsidRPr="00520358">
        <w:rPr>
          <w:rFonts w:ascii="Arial Narrow" w:eastAsia="Times New Roman" w:hAnsi="Arial Narrow" w:cs="Times New Roman"/>
          <w:b/>
          <w:sz w:val="24"/>
          <w:szCs w:val="24"/>
        </w:rPr>
        <w:t>λε</w:t>
      </w:r>
      <w:r w:rsidR="007D21F1" w:rsidRPr="00520358">
        <w:rPr>
          <w:rFonts w:ascii="Arial Narrow" w:eastAsia="Times New Roman" w:hAnsi="Arial Narrow" w:cs="Times New Roman"/>
          <w:b/>
          <w:sz w:val="24"/>
          <w:szCs w:val="24"/>
        </w:rPr>
        <w:t>υθέρ</w:t>
      </w:r>
      <w:r w:rsidR="00701865" w:rsidRPr="00520358">
        <w:rPr>
          <w:rFonts w:ascii="Arial Narrow" w:eastAsia="Times New Roman" w:hAnsi="Arial Narrow" w:cs="Times New Roman"/>
          <w:b/>
          <w:sz w:val="24"/>
          <w:szCs w:val="24"/>
        </w:rPr>
        <w:t xml:space="preserve">ων </w:t>
      </w:r>
      <w:r w:rsidR="007D21F1" w:rsidRPr="00520358">
        <w:rPr>
          <w:rFonts w:ascii="Arial Narrow" w:eastAsia="Times New Roman" w:hAnsi="Arial Narrow" w:cs="Times New Roman"/>
          <w:b/>
          <w:sz w:val="24"/>
          <w:szCs w:val="24"/>
        </w:rPr>
        <w:t>Ζ</w:t>
      </w:r>
      <w:r w:rsidR="00701865" w:rsidRPr="00520358">
        <w:rPr>
          <w:rFonts w:ascii="Arial Narrow" w:eastAsia="Times New Roman" w:hAnsi="Arial Narrow" w:cs="Times New Roman"/>
          <w:b/>
          <w:sz w:val="24"/>
          <w:szCs w:val="24"/>
        </w:rPr>
        <w:t>ωνών</w:t>
      </w:r>
      <w:r w:rsidR="00701865" w:rsidRPr="00520358">
        <w:rPr>
          <w:rFonts w:ascii="Arial Narrow" w:eastAsia="Times New Roman" w:hAnsi="Arial Narrow" w:cs="Times New Roman"/>
          <w:sz w:val="24"/>
          <w:szCs w:val="24"/>
        </w:rPr>
        <w:t xml:space="preserve"> και </w:t>
      </w:r>
      <w:r w:rsidR="007D21F1" w:rsidRPr="00520358">
        <w:rPr>
          <w:rFonts w:ascii="Arial Narrow" w:eastAsia="Times New Roman" w:hAnsi="Arial Narrow" w:cs="Times New Roman"/>
          <w:sz w:val="24"/>
          <w:szCs w:val="24"/>
        </w:rPr>
        <w:t>β</w:t>
      </w:r>
      <w:r w:rsidR="00701865" w:rsidRPr="00520358">
        <w:rPr>
          <w:rFonts w:ascii="Arial Narrow" w:eastAsia="Times New Roman" w:hAnsi="Arial Narrow" w:cs="Times New Roman"/>
          <w:sz w:val="24"/>
          <w:szCs w:val="24"/>
        </w:rPr>
        <w:t xml:space="preserve">ιομηχανικών περιοχών προσέλκυσε μια ποικιλία </w:t>
      </w:r>
      <w:r w:rsidR="00701865" w:rsidRPr="00520358">
        <w:rPr>
          <w:rFonts w:ascii="Arial Narrow" w:eastAsia="Times New Roman" w:hAnsi="Arial Narrow" w:cs="Times New Roman"/>
          <w:b/>
          <w:sz w:val="24"/>
          <w:szCs w:val="24"/>
        </w:rPr>
        <w:t>ξένων επενδύσεων</w:t>
      </w:r>
      <w:r w:rsidR="00701865" w:rsidRPr="00520358">
        <w:rPr>
          <w:rFonts w:ascii="Arial Narrow" w:eastAsia="Times New Roman" w:hAnsi="Arial Narrow" w:cs="Times New Roman"/>
          <w:sz w:val="24"/>
          <w:szCs w:val="24"/>
        </w:rPr>
        <w:t xml:space="preserve"> - από </w:t>
      </w:r>
      <w:r w:rsidR="00F71AF1" w:rsidRPr="00520358">
        <w:rPr>
          <w:rFonts w:ascii="Arial Narrow" w:eastAsia="Times New Roman" w:hAnsi="Arial Narrow" w:cs="Times New Roman"/>
          <w:sz w:val="24"/>
          <w:szCs w:val="24"/>
        </w:rPr>
        <w:t>μ</w:t>
      </w:r>
      <w:r w:rsidR="00701865" w:rsidRPr="00520358">
        <w:rPr>
          <w:rFonts w:ascii="Arial Narrow" w:eastAsia="Times New Roman" w:hAnsi="Arial Narrow" w:cs="Times New Roman"/>
          <w:sz w:val="24"/>
          <w:szCs w:val="24"/>
        </w:rPr>
        <w:t>ΜΕ έως πολυεθνικές</w:t>
      </w:r>
      <w:r w:rsidR="00B44CE3" w:rsidRPr="00520358">
        <w:rPr>
          <w:rFonts w:ascii="Arial Narrow" w:eastAsia="Times New Roman" w:hAnsi="Arial Narrow" w:cs="Times New Roman"/>
          <w:sz w:val="24"/>
          <w:szCs w:val="24"/>
        </w:rPr>
        <w:t xml:space="preserve">. Παράλληλα, </w:t>
      </w:r>
      <w:r w:rsidR="00701865" w:rsidRPr="00520358">
        <w:rPr>
          <w:rFonts w:ascii="Arial Narrow" w:eastAsia="Times New Roman" w:hAnsi="Arial Narrow" w:cs="Times New Roman"/>
          <w:sz w:val="24"/>
          <w:szCs w:val="24"/>
        </w:rPr>
        <w:t xml:space="preserve">ο </w:t>
      </w:r>
      <w:r w:rsidR="00701865" w:rsidRPr="00520358">
        <w:rPr>
          <w:rFonts w:ascii="Arial Narrow" w:eastAsia="Times New Roman" w:hAnsi="Arial Narrow" w:cs="Times New Roman"/>
          <w:b/>
          <w:sz w:val="24"/>
          <w:szCs w:val="24"/>
        </w:rPr>
        <w:t xml:space="preserve">τουριστικός </w:t>
      </w:r>
      <w:r w:rsidR="007D21F1" w:rsidRPr="00520358">
        <w:rPr>
          <w:rFonts w:ascii="Arial Narrow" w:eastAsia="Times New Roman" w:hAnsi="Arial Narrow" w:cs="Times New Roman"/>
          <w:b/>
          <w:sz w:val="24"/>
          <w:szCs w:val="24"/>
        </w:rPr>
        <w:t>κλάδος</w:t>
      </w:r>
      <w:r w:rsidR="00701865" w:rsidRPr="00520358">
        <w:rPr>
          <w:rFonts w:ascii="Arial Narrow" w:eastAsia="Times New Roman" w:hAnsi="Arial Narrow" w:cs="Times New Roman"/>
          <w:sz w:val="24"/>
          <w:szCs w:val="24"/>
        </w:rPr>
        <w:t xml:space="preserve"> του </w:t>
      </w:r>
      <w:r w:rsidR="00DE1C27" w:rsidRPr="00520358">
        <w:rPr>
          <w:rFonts w:ascii="Arial Narrow" w:eastAsia="Times New Roman" w:hAnsi="Arial Narrow" w:cs="Times New Roman"/>
          <w:sz w:val="24"/>
          <w:szCs w:val="24"/>
        </w:rPr>
        <w:t>Ε</w:t>
      </w:r>
      <w:r w:rsidR="00701865" w:rsidRPr="00520358">
        <w:rPr>
          <w:rFonts w:ascii="Arial Narrow" w:eastAsia="Times New Roman" w:hAnsi="Arial Narrow" w:cs="Times New Roman"/>
          <w:sz w:val="24"/>
          <w:szCs w:val="24"/>
        </w:rPr>
        <w:t xml:space="preserve">μιράτου </w:t>
      </w:r>
      <w:r w:rsidR="00BF32D2" w:rsidRPr="00520358">
        <w:rPr>
          <w:rFonts w:ascii="Arial Narrow" w:eastAsia="Times New Roman" w:hAnsi="Arial Narrow" w:cs="Times New Roman"/>
          <w:sz w:val="24"/>
          <w:szCs w:val="24"/>
        </w:rPr>
        <w:t xml:space="preserve">(1,24 εκατ. τουρίστες το 2024) </w:t>
      </w:r>
      <w:r w:rsidR="00701865" w:rsidRPr="00520358">
        <w:rPr>
          <w:rFonts w:ascii="Arial Narrow" w:eastAsia="Times New Roman" w:hAnsi="Arial Narrow" w:cs="Times New Roman"/>
          <w:sz w:val="24"/>
          <w:szCs w:val="24"/>
        </w:rPr>
        <w:t xml:space="preserve">συνεχίζει να είναι ένας από τους </w:t>
      </w:r>
      <w:r w:rsidR="00701865" w:rsidRPr="00520358">
        <w:rPr>
          <w:rFonts w:ascii="Arial Narrow" w:eastAsia="Times New Roman" w:hAnsi="Arial Narrow" w:cs="Times New Roman"/>
          <w:b/>
          <w:bCs/>
          <w:sz w:val="24"/>
          <w:szCs w:val="24"/>
        </w:rPr>
        <w:t>ταχύτερα αναπτυσσόμενους</w:t>
      </w:r>
      <w:r w:rsidR="00701865" w:rsidRPr="00520358">
        <w:rPr>
          <w:rFonts w:ascii="Arial Narrow" w:eastAsia="Times New Roman" w:hAnsi="Arial Narrow" w:cs="Times New Roman"/>
          <w:sz w:val="24"/>
          <w:szCs w:val="24"/>
        </w:rPr>
        <w:t xml:space="preserve"> στην περιοχή</w:t>
      </w:r>
      <w:r w:rsidR="00B44CE3" w:rsidRPr="00520358">
        <w:rPr>
          <w:rFonts w:ascii="Arial Narrow" w:eastAsia="Times New Roman" w:hAnsi="Arial Narrow" w:cs="Times New Roman"/>
          <w:sz w:val="24"/>
          <w:szCs w:val="24"/>
        </w:rPr>
        <w:t>, με</w:t>
      </w:r>
      <w:r w:rsidR="00406AC3" w:rsidRPr="00520358">
        <w:rPr>
          <w:rFonts w:ascii="Arial Narrow" w:eastAsia="Times New Roman" w:hAnsi="Arial Narrow" w:cs="Times New Roman"/>
          <w:sz w:val="24"/>
          <w:szCs w:val="24"/>
        </w:rPr>
        <w:t xml:space="preserve"> </w:t>
      </w:r>
      <w:r w:rsidR="0084621C" w:rsidRPr="00520358">
        <w:rPr>
          <w:rFonts w:ascii="Arial Narrow" w:eastAsia="Times New Roman" w:hAnsi="Arial Narrow" w:cs="Times New Roman"/>
          <w:sz w:val="24"/>
          <w:szCs w:val="24"/>
        </w:rPr>
        <w:t xml:space="preserve">έμφαση στις </w:t>
      </w:r>
      <w:r w:rsidR="00B44CE3" w:rsidRPr="00520358">
        <w:rPr>
          <w:rFonts w:ascii="Arial Narrow" w:eastAsia="Times New Roman" w:hAnsi="Arial Narrow" w:cs="Times New Roman"/>
          <w:sz w:val="24"/>
          <w:szCs w:val="24"/>
        </w:rPr>
        <w:t xml:space="preserve">σύνθετες τουριστικές υποδομές. </w:t>
      </w:r>
      <w:r w:rsidR="0084621C" w:rsidRPr="00520358">
        <w:rPr>
          <w:rFonts w:ascii="Arial Narrow" w:eastAsia="Times New Roman" w:hAnsi="Arial Narrow" w:cs="Times New Roman"/>
          <w:sz w:val="24"/>
          <w:szCs w:val="24"/>
        </w:rPr>
        <w:t xml:space="preserve">Σε μία από αυτές, συνολικού προϋπολογισμού 5,2 δισεκ. δολαρίων (40% του τοπικού ΑΕΠ) </w:t>
      </w:r>
      <w:r w:rsidR="00AF6457" w:rsidRPr="00520358">
        <w:rPr>
          <w:rFonts w:ascii="Arial Narrow" w:eastAsia="Times New Roman" w:hAnsi="Arial Narrow" w:cs="Times New Roman"/>
          <w:sz w:val="24"/>
          <w:szCs w:val="24"/>
        </w:rPr>
        <w:t>αναμένεται ότι θα λειτουργήσει</w:t>
      </w:r>
      <w:r w:rsidR="0084621C" w:rsidRPr="00520358">
        <w:rPr>
          <w:rFonts w:ascii="Arial Narrow" w:eastAsia="Times New Roman" w:hAnsi="Arial Narrow" w:cs="Times New Roman"/>
          <w:sz w:val="24"/>
          <w:szCs w:val="24"/>
        </w:rPr>
        <w:t>, από το 2027,</w:t>
      </w:r>
      <w:r w:rsidR="00AF6457" w:rsidRPr="00520358">
        <w:rPr>
          <w:rFonts w:ascii="Arial Narrow" w:eastAsia="Times New Roman" w:hAnsi="Arial Narrow" w:cs="Times New Roman"/>
          <w:sz w:val="24"/>
          <w:szCs w:val="24"/>
        </w:rPr>
        <w:t xml:space="preserve"> το πρώτο καζίνο στην ευρύτερη περιοχή.</w:t>
      </w:r>
    </w:p>
    <w:p w14:paraId="3EE76991" w14:textId="42638046" w:rsidR="00701865" w:rsidRPr="00520358" w:rsidRDefault="00701865" w:rsidP="00D32119">
      <w:pPr>
        <w:suppressAutoHyphens/>
        <w:autoSpaceDN w:val="0"/>
        <w:ind w:firstLine="567"/>
        <w:jc w:val="both"/>
        <w:rPr>
          <w:rFonts w:ascii="Arial Narrow" w:eastAsia="Times New Roman" w:hAnsi="Arial Narrow" w:cs="Times New Roman"/>
          <w:sz w:val="24"/>
          <w:szCs w:val="24"/>
        </w:rPr>
      </w:pPr>
      <w:r w:rsidRPr="00520358">
        <w:rPr>
          <w:rFonts w:ascii="Arial Narrow" w:eastAsia="Times New Roman" w:hAnsi="Arial Narrow" w:cs="Times New Roman"/>
          <w:sz w:val="24"/>
          <w:szCs w:val="24"/>
        </w:rPr>
        <w:t xml:space="preserve">Σημαντική είναι η προοπτική περαιτέρω ανάπτυξης της γεωργίας, καθώς ήδη </w:t>
      </w:r>
      <w:r w:rsidRPr="00520358">
        <w:rPr>
          <w:rFonts w:ascii="Arial Narrow" w:eastAsia="Times New Roman" w:hAnsi="Arial Narrow" w:cs="Times New Roman"/>
          <w:b/>
          <w:sz w:val="24"/>
          <w:szCs w:val="24"/>
        </w:rPr>
        <w:t xml:space="preserve">πάνω από 15% της γης </w:t>
      </w:r>
      <w:r w:rsidR="0025372A" w:rsidRPr="00520358">
        <w:rPr>
          <w:rFonts w:ascii="Arial Narrow" w:eastAsia="Times New Roman" w:hAnsi="Arial Narrow" w:cs="Times New Roman"/>
          <w:bCs/>
          <w:sz w:val="24"/>
          <w:szCs w:val="24"/>
        </w:rPr>
        <w:t>του Εμιράτου</w:t>
      </w:r>
      <w:r w:rsidR="0025372A" w:rsidRPr="00520358">
        <w:rPr>
          <w:rFonts w:ascii="Arial Narrow" w:eastAsia="Times New Roman" w:hAnsi="Arial Narrow" w:cs="Times New Roman"/>
          <w:b/>
          <w:sz w:val="24"/>
          <w:szCs w:val="24"/>
        </w:rPr>
        <w:t xml:space="preserve"> </w:t>
      </w:r>
      <w:r w:rsidRPr="00520358">
        <w:rPr>
          <w:rFonts w:ascii="Arial Narrow" w:eastAsia="Times New Roman" w:hAnsi="Arial Narrow" w:cs="Times New Roman"/>
          <w:b/>
          <w:sz w:val="24"/>
          <w:szCs w:val="24"/>
        </w:rPr>
        <w:t>καλλιεργείται</w:t>
      </w:r>
      <w:r w:rsidR="001B23BB" w:rsidRPr="00520358">
        <w:rPr>
          <w:rFonts w:ascii="Arial Narrow" w:eastAsia="Times New Roman" w:hAnsi="Arial Narrow" w:cs="Times New Roman"/>
          <w:b/>
          <w:sz w:val="24"/>
          <w:szCs w:val="24"/>
        </w:rPr>
        <w:t xml:space="preserve">, </w:t>
      </w:r>
      <w:r w:rsidR="001B23BB" w:rsidRPr="00520358">
        <w:rPr>
          <w:rFonts w:ascii="Arial Narrow" w:eastAsia="Times New Roman" w:hAnsi="Arial Narrow" w:cs="Times New Roman"/>
          <w:sz w:val="24"/>
          <w:szCs w:val="24"/>
        </w:rPr>
        <w:t xml:space="preserve">συμβάλλοντας κατά 5% ετησίως στο ΑΕΠ του </w:t>
      </w:r>
      <w:r w:rsidR="002B358F" w:rsidRPr="00520358">
        <w:rPr>
          <w:rFonts w:ascii="Arial Narrow" w:eastAsia="Times New Roman" w:hAnsi="Arial Narrow" w:cs="Times New Roman"/>
          <w:sz w:val="24"/>
          <w:szCs w:val="24"/>
        </w:rPr>
        <w:t>Ε</w:t>
      </w:r>
      <w:r w:rsidR="001B23BB" w:rsidRPr="00520358">
        <w:rPr>
          <w:rFonts w:ascii="Arial Narrow" w:eastAsia="Times New Roman" w:hAnsi="Arial Narrow" w:cs="Times New Roman"/>
          <w:sz w:val="24"/>
          <w:szCs w:val="24"/>
        </w:rPr>
        <w:t>μιράτου</w:t>
      </w:r>
      <w:r w:rsidRPr="00520358">
        <w:rPr>
          <w:rFonts w:ascii="Arial Narrow" w:eastAsia="Times New Roman" w:hAnsi="Arial Narrow" w:cs="Times New Roman"/>
          <w:sz w:val="24"/>
          <w:szCs w:val="24"/>
        </w:rPr>
        <w:t>. Αρκετές εταιρείες εμπλέκονται στην παραγωγή γαλακτοκομικών προϊόντων, στην κτηνοτροφία και στην εκτροφή πουλερικών.</w:t>
      </w:r>
    </w:p>
    <w:p w14:paraId="4F5B7A57" w14:textId="77777777" w:rsidR="00520358" w:rsidRDefault="009453B8" w:rsidP="00520358">
      <w:pPr>
        <w:suppressAutoHyphens/>
        <w:autoSpaceDN w:val="0"/>
        <w:ind w:firstLine="567"/>
        <w:jc w:val="both"/>
        <w:rPr>
          <w:rFonts w:ascii="Arial Narrow" w:eastAsia="Times New Roman" w:hAnsi="Arial Narrow" w:cs="Times New Roman"/>
          <w:sz w:val="24"/>
          <w:szCs w:val="24"/>
        </w:rPr>
      </w:pPr>
      <w:r w:rsidRPr="00520358">
        <w:rPr>
          <w:rFonts w:ascii="Arial Narrow" w:eastAsia="Times New Roman" w:hAnsi="Arial Narrow" w:cs="Times New Roman"/>
          <w:sz w:val="24"/>
          <w:szCs w:val="24"/>
        </w:rPr>
        <w:t xml:space="preserve">Τα </w:t>
      </w:r>
      <w:r w:rsidRPr="00520358">
        <w:rPr>
          <w:rFonts w:ascii="Arial Narrow" w:eastAsia="Times New Roman" w:hAnsi="Arial Narrow" w:cs="Times New Roman"/>
          <w:b/>
          <w:sz w:val="24"/>
          <w:szCs w:val="24"/>
        </w:rPr>
        <w:t>ορυχεία</w:t>
      </w:r>
      <w:r w:rsidRPr="00520358">
        <w:rPr>
          <w:rFonts w:ascii="Arial Narrow" w:eastAsia="Times New Roman" w:hAnsi="Arial Narrow" w:cs="Times New Roman"/>
          <w:sz w:val="24"/>
          <w:szCs w:val="24"/>
        </w:rPr>
        <w:t xml:space="preserve"> συμπεριλαμβάνονται</w:t>
      </w:r>
      <w:r w:rsidR="00AE5F31" w:rsidRPr="00520358">
        <w:rPr>
          <w:rFonts w:ascii="Arial Narrow" w:eastAsia="Times New Roman" w:hAnsi="Arial Narrow" w:cs="Times New Roman"/>
          <w:sz w:val="24"/>
          <w:szCs w:val="24"/>
        </w:rPr>
        <w:t xml:space="preserve"> στις πλέον σημαντικές δραστηριότητες του </w:t>
      </w:r>
      <w:r w:rsidR="00DE1C27" w:rsidRPr="00520358">
        <w:rPr>
          <w:rFonts w:ascii="Arial Narrow" w:eastAsia="Times New Roman" w:hAnsi="Arial Narrow" w:cs="Times New Roman"/>
          <w:sz w:val="24"/>
          <w:szCs w:val="24"/>
        </w:rPr>
        <w:t>Ε</w:t>
      </w:r>
      <w:r w:rsidR="00AE5F31" w:rsidRPr="00520358">
        <w:rPr>
          <w:rFonts w:ascii="Arial Narrow" w:eastAsia="Times New Roman" w:hAnsi="Arial Narrow" w:cs="Times New Roman"/>
          <w:sz w:val="24"/>
          <w:szCs w:val="24"/>
        </w:rPr>
        <w:t>μιράτου</w:t>
      </w:r>
      <w:r w:rsidR="002B358F" w:rsidRPr="00520358">
        <w:rPr>
          <w:rFonts w:ascii="Arial Narrow" w:eastAsia="Times New Roman" w:hAnsi="Arial Narrow" w:cs="Times New Roman"/>
          <w:sz w:val="24"/>
          <w:szCs w:val="24"/>
        </w:rPr>
        <w:t>, το οποίο ε</w:t>
      </w:r>
      <w:r w:rsidR="00AE5F31" w:rsidRPr="00520358">
        <w:rPr>
          <w:rFonts w:ascii="Arial Narrow" w:eastAsia="Times New Roman" w:hAnsi="Arial Narrow" w:cs="Times New Roman"/>
          <w:sz w:val="24"/>
          <w:szCs w:val="24"/>
        </w:rPr>
        <w:t xml:space="preserve">πιπρόσθετα, διαθέτει </w:t>
      </w:r>
      <w:r w:rsidR="00DE1C27" w:rsidRPr="00520358">
        <w:rPr>
          <w:rFonts w:ascii="Arial Narrow" w:eastAsia="Times New Roman" w:hAnsi="Arial Narrow" w:cs="Times New Roman"/>
          <w:b/>
          <w:sz w:val="24"/>
          <w:szCs w:val="24"/>
        </w:rPr>
        <w:t xml:space="preserve">2 </w:t>
      </w:r>
      <w:r w:rsidR="00AE5F31" w:rsidRPr="00520358">
        <w:rPr>
          <w:rFonts w:ascii="Arial Narrow" w:eastAsia="Times New Roman" w:hAnsi="Arial Narrow" w:cs="Times New Roman"/>
          <w:b/>
          <w:sz w:val="24"/>
          <w:szCs w:val="24"/>
        </w:rPr>
        <w:t xml:space="preserve">λατομεία και </w:t>
      </w:r>
      <w:r w:rsidR="00DE1C27" w:rsidRPr="00520358">
        <w:rPr>
          <w:rFonts w:ascii="Arial Narrow" w:eastAsia="Times New Roman" w:hAnsi="Arial Narrow" w:cs="Times New Roman"/>
          <w:b/>
          <w:sz w:val="24"/>
          <w:szCs w:val="24"/>
        </w:rPr>
        <w:t>4</w:t>
      </w:r>
      <w:r w:rsidR="00AE5F31" w:rsidRPr="00520358">
        <w:rPr>
          <w:rFonts w:ascii="Arial Narrow" w:eastAsia="Times New Roman" w:hAnsi="Arial Narrow" w:cs="Times New Roman"/>
          <w:b/>
          <w:sz w:val="24"/>
          <w:szCs w:val="24"/>
        </w:rPr>
        <w:t xml:space="preserve"> τσιμεντοβιομηχανίες</w:t>
      </w:r>
      <w:r w:rsidR="00AE5F31" w:rsidRPr="00520358">
        <w:rPr>
          <w:rFonts w:ascii="Arial Narrow" w:eastAsia="Times New Roman" w:hAnsi="Arial Narrow" w:cs="Times New Roman"/>
          <w:sz w:val="24"/>
          <w:szCs w:val="24"/>
        </w:rPr>
        <w:t>, εργοστάσια παραγωγής πλακιδίων και κεραμικών, επιτραπέζι</w:t>
      </w:r>
      <w:r w:rsidRPr="00520358">
        <w:rPr>
          <w:rFonts w:ascii="Arial Narrow" w:eastAsia="Times New Roman" w:hAnsi="Arial Narrow" w:cs="Times New Roman"/>
          <w:sz w:val="24"/>
          <w:szCs w:val="24"/>
        </w:rPr>
        <w:t>ων</w:t>
      </w:r>
      <w:r w:rsidR="00AE5F31" w:rsidRPr="00520358">
        <w:rPr>
          <w:rFonts w:ascii="Arial Narrow" w:eastAsia="Times New Roman" w:hAnsi="Arial Narrow" w:cs="Times New Roman"/>
          <w:sz w:val="24"/>
          <w:szCs w:val="24"/>
        </w:rPr>
        <w:t xml:space="preserve"> </w:t>
      </w:r>
      <w:r w:rsidRPr="00520358">
        <w:rPr>
          <w:rFonts w:ascii="Arial Narrow" w:eastAsia="Times New Roman" w:hAnsi="Arial Narrow" w:cs="Times New Roman"/>
          <w:sz w:val="24"/>
          <w:szCs w:val="24"/>
        </w:rPr>
        <w:t>ειδών</w:t>
      </w:r>
      <w:r w:rsidR="00AE5F31" w:rsidRPr="00520358">
        <w:rPr>
          <w:rFonts w:ascii="Arial Narrow" w:eastAsia="Times New Roman" w:hAnsi="Arial Narrow" w:cs="Times New Roman"/>
          <w:sz w:val="24"/>
          <w:szCs w:val="24"/>
        </w:rPr>
        <w:t xml:space="preserve"> από γυαλί και φαρμακευτικ</w:t>
      </w:r>
      <w:r w:rsidRPr="00520358">
        <w:rPr>
          <w:rFonts w:ascii="Arial Narrow" w:eastAsia="Times New Roman" w:hAnsi="Arial Narrow" w:cs="Times New Roman"/>
          <w:sz w:val="24"/>
          <w:szCs w:val="24"/>
        </w:rPr>
        <w:t>ών</w:t>
      </w:r>
      <w:r w:rsidR="00AE5F31" w:rsidRPr="00520358">
        <w:rPr>
          <w:rFonts w:ascii="Arial Narrow" w:eastAsia="Times New Roman" w:hAnsi="Arial Narrow" w:cs="Times New Roman"/>
          <w:sz w:val="24"/>
          <w:szCs w:val="24"/>
        </w:rPr>
        <w:t xml:space="preserve"> προϊόντ</w:t>
      </w:r>
      <w:r w:rsidRPr="00520358">
        <w:rPr>
          <w:rFonts w:ascii="Arial Narrow" w:eastAsia="Times New Roman" w:hAnsi="Arial Narrow" w:cs="Times New Roman"/>
          <w:sz w:val="24"/>
          <w:szCs w:val="24"/>
        </w:rPr>
        <w:t>ων</w:t>
      </w:r>
      <w:r w:rsidR="00AE5F31" w:rsidRPr="00520358">
        <w:rPr>
          <w:rFonts w:ascii="Arial Narrow" w:eastAsia="Times New Roman" w:hAnsi="Arial Narrow" w:cs="Times New Roman"/>
          <w:sz w:val="24"/>
          <w:szCs w:val="24"/>
        </w:rPr>
        <w:t xml:space="preserve">. </w:t>
      </w:r>
      <w:bookmarkStart w:id="19" w:name="_Toc496023361"/>
      <w:bookmarkStart w:id="20" w:name="_Toc496025312"/>
      <w:bookmarkStart w:id="21" w:name="_Toc496026313"/>
      <w:bookmarkStart w:id="22" w:name="_Toc496097570"/>
      <w:bookmarkStart w:id="23" w:name="_Toc496099479"/>
      <w:bookmarkStart w:id="24" w:name="_Toc14342460"/>
    </w:p>
    <w:bookmarkEnd w:id="19"/>
    <w:bookmarkEnd w:id="20"/>
    <w:bookmarkEnd w:id="21"/>
    <w:bookmarkEnd w:id="22"/>
    <w:bookmarkEnd w:id="23"/>
    <w:bookmarkEnd w:id="24"/>
    <w:p w14:paraId="39BC6ACC" w14:textId="6A704364" w:rsidR="00A94807" w:rsidRPr="00520358" w:rsidRDefault="001A4E09" w:rsidP="002E382A">
      <w:pPr>
        <w:shd w:val="clear" w:color="auto" w:fill="FFFFFF"/>
        <w:suppressAutoHyphens/>
        <w:autoSpaceDN w:val="0"/>
        <w:jc w:val="both"/>
        <w:rPr>
          <w:rFonts w:ascii="Arial Narrow" w:eastAsia="Times New Roman" w:hAnsi="Arial Narrow" w:cs="Times New Roman"/>
          <w:sz w:val="24"/>
          <w:szCs w:val="24"/>
          <w:lang w:eastAsia="en-US"/>
        </w:rPr>
      </w:pPr>
      <w:r w:rsidRPr="00520358">
        <w:rPr>
          <w:rFonts w:ascii="Arial Narrow" w:eastAsia="Times New Roman" w:hAnsi="Arial Narrow" w:cs="Times New Roman"/>
          <w:sz w:val="24"/>
          <w:szCs w:val="24"/>
          <w:lang w:eastAsia="en-US"/>
        </w:rPr>
        <w:t xml:space="preserve">Το Εμιράτο </w:t>
      </w:r>
      <w:r w:rsidR="00376A71" w:rsidRPr="00520358">
        <w:rPr>
          <w:rFonts w:ascii="Arial Narrow" w:eastAsia="Times New Roman" w:hAnsi="Arial Narrow" w:cs="Times New Roman"/>
          <w:sz w:val="24"/>
          <w:szCs w:val="24"/>
          <w:lang w:eastAsia="en-US"/>
        </w:rPr>
        <w:t xml:space="preserve">έχει περίπου </w:t>
      </w:r>
      <w:r w:rsidR="003E3B2D" w:rsidRPr="00520358">
        <w:rPr>
          <w:rFonts w:ascii="Arial Narrow" w:eastAsia="Times New Roman" w:hAnsi="Arial Narrow" w:cs="Times New Roman"/>
          <w:b/>
          <w:sz w:val="24"/>
          <w:szCs w:val="24"/>
          <w:lang w:eastAsia="en-US"/>
        </w:rPr>
        <w:t>3</w:t>
      </w:r>
      <w:r w:rsidR="00A93FA5" w:rsidRPr="00520358">
        <w:rPr>
          <w:rFonts w:ascii="Arial Narrow" w:eastAsia="Times New Roman" w:hAnsi="Arial Narrow" w:cs="Times New Roman"/>
          <w:b/>
          <w:sz w:val="24"/>
          <w:szCs w:val="24"/>
          <w:lang w:eastAsia="en-US"/>
        </w:rPr>
        <w:t>2</w:t>
      </w:r>
      <w:r w:rsidR="003E3B2D" w:rsidRPr="00520358">
        <w:rPr>
          <w:rFonts w:ascii="Arial Narrow" w:eastAsia="Times New Roman" w:hAnsi="Arial Narrow" w:cs="Times New Roman"/>
          <w:b/>
          <w:sz w:val="24"/>
          <w:szCs w:val="24"/>
          <w:lang w:eastAsia="en-US"/>
        </w:rPr>
        <w:t>0</w:t>
      </w:r>
      <w:r w:rsidR="00376A71" w:rsidRPr="00520358">
        <w:rPr>
          <w:rFonts w:ascii="Arial Narrow" w:eastAsia="Times New Roman" w:hAnsi="Arial Narrow" w:cs="Times New Roman"/>
          <w:b/>
          <w:sz w:val="24"/>
          <w:szCs w:val="24"/>
          <w:lang w:eastAsia="en-US"/>
        </w:rPr>
        <w:t>.000 πληθυσμό</w:t>
      </w:r>
      <w:r w:rsidR="00376A71" w:rsidRPr="00520358">
        <w:rPr>
          <w:rFonts w:ascii="Arial Narrow" w:eastAsia="Times New Roman" w:hAnsi="Arial Narrow" w:cs="Times New Roman"/>
          <w:sz w:val="24"/>
          <w:szCs w:val="24"/>
          <w:lang w:eastAsia="en-US"/>
        </w:rPr>
        <w:t xml:space="preserve"> και β</w:t>
      </w:r>
      <w:r w:rsidR="00AE5F31" w:rsidRPr="00520358">
        <w:rPr>
          <w:rFonts w:ascii="Arial Narrow" w:eastAsia="Times New Roman" w:hAnsi="Arial Narrow" w:cs="Times New Roman"/>
          <w:sz w:val="24"/>
          <w:szCs w:val="24"/>
          <w:lang w:eastAsia="en-US"/>
        </w:rPr>
        <w:t xml:space="preserve">ρίσκεται στον Κόλπο του Ομάν. </w:t>
      </w:r>
      <w:r w:rsidR="00A94807" w:rsidRPr="00520358">
        <w:rPr>
          <w:rFonts w:ascii="Arial Narrow" w:eastAsia="Times New Roman" w:hAnsi="Arial Narrow" w:cs="Times New Roman"/>
          <w:sz w:val="24"/>
          <w:szCs w:val="24"/>
          <w:lang w:eastAsia="en-US"/>
        </w:rPr>
        <w:t xml:space="preserve">Το </w:t>
      </w:r>
      <w:r w:rsidR="00A94807" w:rsidRPr="00520358">
        <w:rPr>
          <w:rFonts w:ascii="Arial Narrow" w:eastAsia="Times New Roman" w:hAnsi="Arial Narrow" w:cs="Times New Roman"/>
          <w:b/>
          <w:sz w:val="24"/>
          <w:szCs w:val="24"/>
          <w:lang w:eastAsia="en-US"/>
        </w:rPr>
        <w:t>ΑΕΠ</w:t>
      </w:r>
      <w:r w:rsidR="00A93FA5" w:rsidRPr="00520358">
        <w:rPr>
          <w:rFonts w:ascii="Arial Narrow" w:eastAsia="Times New Roman" w:hAnsi="Arial Narrow" w:cs="Times New Roman"/>
          <w:b/>
          <w:sz w:val="24"/>
          <w:szCs w:val="24"/>
          <w:lang w:eastAsia="en-US"/>
        </w:rPr>
        <w:t xml:space="preserve"> εκτιμάται ότι</w:t>
      </w:r>
      <w:r w:rsidR="00A94807" w:rsidRPr="00520358">
        <w:rPr>
          <w:rFonts w:ascii="Arial Narrow" w:eastAsia="Times New Roman" w:hAnsi="Arial Narrow" w:cs="Times New Roman"/>
          <w:sz w:val="24"/>
          <w:szCs w:val="24"/>
          <w:lang w:eastAsia="en-US"/>
        </w:rPr>
        <w:t xml:space="preserve"> ανήλθε στα </w:t>
      </w:r>
      <w:r w:rsidR="00354CE3" w:rsidRPr="00520358">
        <w:rPr>
          <w:rFonts w:ascii="Arial Narrow" w:eastAsia="Times New Roman" w:hAnsi="Arial Narrow" w:cs="Times New Roman"/>
          <w:sz w:val="24"/>
          <w:szCs w:val="24"/>
          <w:lang w:eastAsia="en-US"/>
        </w:rPr>
        <w:t>2</w:t>
      </w:r>
      <w:r w:rsidR="00A93FA5" w:rsidRPr="00520358">
        <w:rPr>
          <w:rFonts w:ascii="Arial Narrow" w:eastAsia="Times New Roman" w:hAnsi="Arial Narrow" w:cs="Times New Roman"/>
          <w:sz w:val="24"/>
          <w:szCs w:val="24"/>
          <w:lang w:eastAsia="en-US"/>
        </w:rPr>
        <w:t xml:space="preserve">9,1 </w:t>
      </w:r>
      <w:r w:rsidR="00F96D56" w:rsidRPr="00520358">
        <w:rPr>
          <w:rFonts w:ascii="Arial Narrow" w:eastAsia="Times New Roman" w:hAnsi="Arial Narrow" w:cs="Times New Roman"/>
          <w:sz w:val="24"/>
          <w:szCs w:val="24"/>
          <w:lang w:eastAsia="en-US"/>
        </w:rPr>
        <w:t xml:space="preserve">δισεκ. </w:t>
      </w:r>
      <w:r w:rsidR="00BE18A5" w:rsidRPr="00520358">
        <w:rPr>
          <w:rFonts w:ascii="Arial Narrow" w:eastAsia="Times New Roman" w:hAnsi="Arial Narrow" w:cs="Times New Roman"/>
          <w:sz w:val="24"/>
          <w:szCs w:val="24"/>
          <w:lang w:eastAsia="en-US"/>
        </w:rPr>
        <w:t>Ντίρχαμ</w:t>
      </w:r>
      <w:r w:rsidR="00F96D56" w:rsidRPr="00520358">
        <w:rPr>
          <w:rFonts w:ascii="Arial Narrow" w:eastAsia="Times New Roman" w:hAnsi="Arial Narrow" w:cs="Times New Roman"/>
          <w:sz w:val="24"/>
          <w:szCs w:val="24"/>
          <w:lang w:eastAsia="en-US"/>
        </w:rPr>
        <w:t xml:space="preserve"> (</w:t>
      </w:r>
      <w:r w:rsidR="00CC11BC" w:rsidRPr="00520358">
        <w:rPr>
          <w:rFonts w:ascii="Arial Narrow" w:eastAsia="Times New Roman" w:hAnsi="Arial Narrow" w:cs="Times New Roman"/>
          <w:sz w:val="24"/>
          <w:szCs w:val="24"/>
          <w:lang w:eastAsia="en-US"/>
        </w:rPr>
        <w:t>$</w:t>
      </w:r>
      <w:r w:rsidR="00354CE3" w:rsidRPr="00520358">
        <w:rPr>
          <w:rFonts w:ascii="Arial Narrow" w:eastAsia="Times New Roman" w:hAnsi="Arial Narrow" w:cs="Times New Roman"/>
          <w:b/>
          <w:sz w:val="24"/>
          <w:szCs w:val="24"/>
          <w:lang w:eastAsia="en-US"/>
        </w:rPr>
        <w:t>7,</w:t>
      </w:r>
      <w:r w:rsidR="00A93FA5" w:rsidRPr="00520358">
        <w:rPr>
          <w:rFonts w:ascii="Arial Narrow" w:eastAsia="Times New Roman" w:hAnsi="Arial Narrow" w:cs="Times New Roman"/>
          <w:b/>
          <w:sz w:val="24"/>
          <w:szCs w:val="24"/>
          <w:lang w:eastAsia="en-US"/>
        </w:rPr>
        <w:t>93</w:t>
      </w:r>
      <w:r w:rsidR="00A94807" w:rsidRPr="00520358">
        <w:rPr>
          <w:rFonts w:ascii="Arial Narrow" w:eastAsia="Times New Roman" w:hAnsi="Arial Narrow" w:cs="Times New Roman"/>
          <w:b/>
          <w:sz w:val="24"/>
          <w:szCs w:val="24"/>
          <w:lang w:eastAsia="en-US"/>
        </w:rPr>
        <w:t xml:space="preserve"> </w:t>
      </w:r>
      <w:r w:rsidR="00133844" w:rsidRPr="00520358">
        <w:rPr>
          <w:rFonts w:ascii="Arial Narrow" w:eastAsia="Times New Roman" w:hAnsi="Arial Narrow" w:cs="Times New Roman"/>
          <w:b/>
          <w:sz w:val="24"/>
          <w:szCs w:val="24"/>
          <w:lang w:eastAsia="en-US"/>
        </w:rPr>
        <w:t xml:space="preserve">δισεκ. </w:t>
      </w:r>
      <w:r w:rsidR="00F96D56" w:rsidRPr="00520358">
        <w:rPr>
          <w:rFonts w:ascii="Arial Narrow" w:eastAsia="Times New Roman" w:hAnsi="Arial Narrow" w:cs="Times New Roman"/>
          <w:b/>
          <w:sz w:val="24"/>
          <w:szCs w:val="24"/>
          <w:lang w:eastAsia="en-US"/>
        </w:rPr>
        <w:t>)</w:t>
      </w:r>
      <w:r w:rsidR="00A94807" w:rsidRPr="00520358">
        <w:rPr>
          <w:rFonts w:ascii="Arial Narrow" w:eastAsia="Times New Roman" w:hAnsi="Arial Narrow" w:cs="Times New Roman"/>
          <w:sz w:val="24"/>
          <w:szCs w:val="24"/>
          <w:lang w:eastAsia="en-US"/>
        </w:rPr>
        <w:t xml:space="preserve"> το 202</w:t>
      </w:r>
      <w:r w:rsidR="00A93FA5" w:rsidRPr="00520358">
        <w:rPr>
          <w:rFonts w:ascii="Arial Narrow" w:eastAsia="Times New Roman" w:hAnsi="Arial Narrow" w:cs="Times New Roman"/>
          <w:sz w:val="24"/>
          <w:szCs w:val="24"/>
          <w:lang w:eastAsia="en-US"/>
        </w:rPr>
        <w:t>4, αυξημένο κατά 7,8%</w:t>
      </w:r>
      <w:r w:rsidR="00A94807" w:rsidRPr="00520358">
        <w:rPr>
          <w:rFonts w:ascii="Arial Narrow" w:eastAsia="Times New Roman" w:hAnsi="Arial Narrow" w:cs="Times New Roman"/>
          <w:sz w:val="24"/>
          <w:szCs w:val="24"/>
          <w:lang w:eastAsia="en-US"/>
        </w:rPr>
        <w:t>.</w:t>
      </w:r>
      <w:r w:rsidR="00A93FA5" w:rsidRPr="00520358">
        <w:rPr>
          <w:rStyle w:val="FootnoteReference"/>
          <w:rFonts w:ascii="Arial Narrow" w:eastAsia="Times New Roman" w:hAnsi="Arial Narrow" w:cs="Times New Roman"/>
          <w:sz w:val="24"/>
          <w:szCs w:val="24"/>
          <w:lang w:eastAsia="en-US"/>
        </w:rPr>
        <w:footnoteReference w:id="8"/>
      </w:r>
      <w:r w:rsidR="003E3B2D" w:rsidRPr="00520358">
        <w:rPr>
          <w:rFonts w:ascii="Arial Narrow" w:eastAsia="Times New Roman" w:hAnsi="Arial Narrow" w:cs="Times New Roman"/>
          <w:sz w:val="24"/>
          <w:szCs w:val="24"/>
          <w:lang w:eastAsia="en-US"/>
        </w:rPr>
        <w:t xml:space="preserve"> Οι κλάδοι </w:t>
      </w:r>
      <w:r w:rsidR="00A93FA5" w:rsidRPr="00520358">
        <w:rPr>
          <w:rFonts w:ascii="Arial Narrow" w:eastAsia="Times New Roman" w:hAnsi="Arial Narrow" w:cs="Times New Roman"/>
          <w:b/>
          <w:bCs/>
          <w:sz w:val="24"/>
          <w:szCs w:val="24"/>
          <w:lang w:eastAsia="en-US"/>
        </w:rPr>
        <w:t>μεταποίησης (13,8%),</w:t>
      </w:r>
      <w:r w:rsidR="00A93FA5" w:rsidRPr="00520358">
        <w:rPr>
          <w:rFonts w:ascii="Arial Narrow" w:eastAsia="Times New Roman" w:hAnsi="Arial Narrow" w:cs="Times New Roman"/>
          <w:sz w:val="24"/>
          <w:szCs w:val="24"/>
          <w:lang w:eastAsia="en-US"/>
        </w:rPr>
        <w:t xml:space="preserve"> </w:t>
      </w:r>
      <w:r w:rsidR="003E3B2D" w:rsidRPr="00520358">
        <w:rPr>
          <w:rFonts w:ascii="Arial Narrow" w:eastAsia="Times New Roman" w:hAnsi="Arial Narrow" w:cs="Times New Roman"/>
          <w:b/>
          <w:bCs/>
          <w:sz w:val="24"/>
          <w:szCs w:val="24"/>
          <w:lang w:eastAsia="en-US"/>
        </w:rPr>
        <w:t>χονδρικού και λιανικού εμπορίου (</w:t>
      </w:r>
      <w:r w:rsidR="00A93FA5" w:rsidRPr="00520358">
        <w:rPr>
          <w:rFonts w:ascii="Arial Narrow" w:eastAsia="Times New Roman" w:hAnsi="Arial Narrow" w:cs="Times New Roman"/>
          <w:b/>
          <w:bCs/>
          <w:sz w:val="24"/>
          <w:szCs w:val="24"/>
          <w:lang w:eastAsia="en-US"/>
        </w:rPr>
        <w:t>13</w:t>
      </w:r>
      <w:r w:rsidR="003E3B2D" w:rsidRPr="00520358">
        <w:rPr>
          <w:rFonts w:ascii="Arial Narrow" w:eastAsia="Times New Roman" w:hAnsi="Arial Narrow" w:cs="Times New Roman"/>
          <w:b/>
          <w:bCs/>
          <w:sz w:val="24"/>
          <w:szCs w:val="24"/>
          <w:lang w:eastAsia="en-US"/>
        </w:rPr>
        <w:t>%),</w:t>
      </w:r>
      <w:r w:rsidR="003E3B2D" w:rsidRPr="00520358">
        <w:rPr>
          <w:rFonts w:ascii="Arial Narrow" w:eastAsia="Times New Roman" w:hAnsi="Arial Narrow" w:cs="Times New Roman"/>
          <w:sz w:val="24"/>
          <w:szCs w:val="24"/>
          <w:lang w:eastAsia="en-US"/>
        </w:rPr>
        <w:t xml:space="preserve"> μεταφορών και αποθήκευσης (</w:t>
      </w:r>
      <w:r w:rsidR="00A93FA5" w:rsidRPr="00520358">
        <w:rPr>
          <w:rFonts w:ascii="Arial Narrow" w:eastAsia="Times New Roman" w:hAnsi="Arial Narrow" w:cs="Times New Roman"/>
          <w:sz w:val="24"/>
          <w:szCs w:val="24"/>
          <w:lang w:eastAsia="en-US"/>
        </w:rPr>
        <w:t>10,6</w:t>
      </w:r>
      <w:r w:rsidR="003E3B2D" w:rsidRPr="00520358">
        <w:rPr>
          <w:rFonts w:ascii="Arial Narrow" w:eastAsia="Times New Roman" w:hAnsi="Arial Narrow" w:cs="Times New Roman"/>
          <w:sz w:val="24"/>
          <w:szCs w:val="24"/>
          <w:lang w:eastAsia="en-US"/>
        </w:rPr>
        <w:t>%) και κατασκευών (</w:t>
      </w:r>
      <w:r w:rsidR="00A93FA5" w:rsidRPr="00520358">
        <w:rPr>
          <w:rFonts w:ascii="Arial Narrow" w:eastAsia="Times New Roman" w:hAnsi="Arial Narrow" w:cs="Times New Roman"/>
          <w:sz w:val="24"/>
          <w:szCs w:val="24"/>
          <w:lang w:eastAsia="en-US"/>
        </w:rPr>
        <w:t>9</w:t>
      </w:r>
      <w:r w:rsidR="003E3B2D" w:rsidRPr="00520358">
        <w:rPr>
          <w:rFonts w:ascii="Arial Narrow" w:eastAsia="Times New Roman" w:hAnsi="Arial Narrow" w:cs="Times New Roman"/>
          <w:sz w:val="24"/>
          <w:szCs w:val="24"/>
          <w:lang w:eastAsia="en-US"/>
        </w:rPr>
        <w:t>%) είναι οι σπουδαιότεροι της οικονομίας του Εμιράτου.</w:t>
      </w:r>
    </w:p>
    <w:p w14:paraId="554EA871" w14:textId="18D568F6" w:rsidR="00AE5F31" w:rsidRPr="00520358" w:rsidRDefault="00F96D56" w:rsidP="00D32119">
      <w:pPr>
        <w:shd w:val="clear" w:color="auto" w:fill="FFFFFF"/>
        <w:suppressAutoHyphens/>
        <w:autoSpaceDN w:val="0"/>
        <w:ind w:firstLine="567"/>
        <w:jc w:val="both"/>
        <w:rPr>
          <w:rFonts w:ascii="Arial Narrow" w:eastAsia="Times New Roman" w:hAnsi="Arial Narrow" w:cs="Times New Roman"/>
          <w:sz w:val="24"/>
          <w:szCs w:val="24"/>
          <w:lang w:eastAsia="en-US"/>
        </w:rPr>
      </w:pPr>
      <w:r w:rsidRPr="00520358">
        <w:rPr>
          <w:rFonts w:ascii="Arial Narrow" w:eastAsia="Calibri" w:hAnsi="Arial Narrow" w:cs="Times New Roman"/>
          <w:sz w:val="24"/>
          <w:szCs w:val="24"/>
          <w:lang w:eastAsia="en-US"/>
        </w:rPr>
        <w:t>Απολαμβάνει στρατηγικής θέσης</w:t>
      </w:r>
      <w:r w:rsidR="00376A71" w:rsidRPr="00520358">
        <w:rPr>
          <w:rFonts w:ascii="Arial Narrow" w:eastAsia="Calibri" w:hAnsi="Arial Narrow" w:cs="Times New Roman"/>
          <w:sz w:val="24"/>
          <w:szCs w:val="24"/>
          <w:lang w:eastAsia="en-US"/>
        </w:rPr>
        <w:t>,</w:t>
      </w:r>
      <w:r w:rsidRPr="00520358">
        <w:rPr>
          <w:rFonts w:ascii="Arial Narrow" w:eastAsia="Calibri" w:hAnsi="Arial Narrow" w:cs="Times New Roman"/>
          <w:sz w:val="24"/>
          <w:szCs w:val="24"/>
          <w:lang w:eastAsia="en-US"/>
        </w:rPr>
        <w:t xml:space="preserve"> καθώς</w:t>
      </w:r>
      <w:r w:rsidR="00376A71" w:rsidRPr="00520358">
        <w:rPr>
          <w:rFonts w:ascii="Arial Narrow" w:eastAsia="Calibri" w:hAnsi="Arial Narrow" w:cs="Times New Roman"/>
          <w:sz w:val="24"/>
          <w:szCs w:val="24"/>
          <w:lang w:eastAsia="en-US"/>
        </w:rPr>
        <w:t xml:space="preserve"> το λιμάνι της </w:t>
      </w:r>
      <w:r w:rsidR="00376A71" w:rsidRPr="00520358">
        <w:rPr>
          <w:rFonts w:ascii="Arial Narrow" w:eastAsia="Calibri" w:hAnsi="Arial Narrow" w:cs="Times New Roman"/>
          <w:sz w:val="24"/>
          <w:szCs w:val="24"/>
          <w:lang w:val="en-US" w:eastAsia="en-US"/>
        </w:rPr>
        <w:t>Fujairah</w:t>
      </w:r>
      <w:r w:rsidR="00376A71" w:rsidRPr="00520358">
        <w:rPr>
          <w:rFonts w:ascii="Arial Narrow" w:eastAsia="Calibri" w:hAnsi="Arial Narrow" w:cs="Times New Roman"/>
          <w:sz w:val="24"/>
          <w:szCs w:val="24"/>
          <w:lang w:eastAsia="en-US"/>
        </w:rPr>
        <w:t xml:space="preserve"> είναι η </w:t>
      </w:r>
      <w:r w:rsidR="00376A71" w:rsidRPr="00520358">
        <w:rPr>
          <w:rFonts w:ascii="Arial Narrow" w:eastAsia="Calibri" w:hAnsi="Arial Narrow" w:cs="Times New Roman"/>
          <w:b/>
          <w:sz w:val="24"/>
          <w:szCs w:val="24"/>
          <w:lang w:eastAsia="en-US"/>
        </w:rPr>
        <w:t>μόνη πρόσβαση</w:t>
      </w:r>
      <w:r w:rsidR="00376A71" w:rsidRPr="00520358">
        <w:rPr>
          <w:rFonts w:ascii="Arial Narrow" w:eastAsia="Calibri" w:hAnsi="Arial Narrow" w:cs="Times New Roman"/>
          <w:sz w:val="24"/>
          <w:szCs w:val="24"/>
          <w:lang w:eastAsia="en-US"/>
        </w:rPr>
        <w:t xml:space="preserve"> των ΗΑΕ στον </w:t>
      </w:r>
      <w:r w:rsidR="00376A71" w:rsidRPr="00520358">
        <w:rPr>
          <w:rFonts w:ascii="Arial Narrow" w:eastAsia="Calibri" w:hAnsi="Arial Narrow" w:cs="Times New Roman"/>
          <w:b/>
          <w:sz w:val="24"/>
          <w:szCs w:val="24"/>
          <w:lang w:eastAsia="en-US"/>
        </w:rPr>
        <w:t xml:space="preserve">Ινδικό </w:t>
      </w:r>
      <w:r w:rsidR="00376A71" w:rsidRPr="00520358">
        <w:rPr>
          <w:rFonts w:ascii="Arial Narrow" w:eastAsia="Calibri" w:hAnsi="Arial Narrow" w:cs="Times New Roman"/>
          <w:sz w:val="24"/>
          <w:szCs w:val="24"/>
          <w:lang w:eastAsia="en-US"/>
        </w:rPr>
        <w:t xml:space="preserve">Ωκεανό. </w:t>
      </w:r>
      <w:r w:rsidR="00AE5F31" w:rsidRPr="00520358">
        <w:rPr>
          <w:rFonts w:ascii="Arial Narrow" w:eastAsia="Times New Roman" w:hAnsi="Arial Narrow" w:cs="Times New Roman"/>
          <w:sz w:val="24"/>
          <w:szCs w:val="24"/>
          <w:lang w:eastAsia="en-US"/>
        </w:rPr>
        <w:t>Το 1985, το λιμάνι της εκβαθύνθηκε και επεκτάθηκε προκειμένου να προσελκύσει νέες ναυτιλιακές εταιρείες και νέες δραστηριότητες. Το λιμάνι της παρέχει πρόσβαση στα ΗΑΕ</w:t>
      </w:r>
      <w:r w:rsidR="005D6E45" w:rsidRPr="00520358">
        <w:rPr>
          <w:rFonts w:ascii="Arial Narrow" w:eastAsia="Times New Roman" w:hAnsi="Arial Narrow" w:cs="Times New Roman"/>
          <w:sz w:val="24"/>
          <w:szCs w:val="24"/>
          <w:lang w:eastAsia="en-US"/>
        </w:rPr>
        <w:t>,</w:t>
      </w:r>
      <w:r w:rsidR="00AE5F31" w:rsidRPr="00520358">
        <w:rPr>
          <w:rFonts w:ascii="Arial Narrow" w:eastAsia="Times New Roman" w:hAnsi="Arial Narrow" w:cs="Times New Roman"/>
          <w:sz w:val="24"/>
          <w:szCs w:val="24"/>
          <w:lang w:eastAsia="en-US"/>
        </w:rPr>
        <w:t xml:space="preserve"> αποφεύγοντας τα στενά του </w:t>
      </w:r>
      <w:r w:rsidR="00AE5F31" w:rsidRPr="00520358">
        <w:rPr>
          <w:rFonts w:ascii="Arial Narrow" w:eastAsia="Times New Roman" w:hAnsi="Arial Narrow" w:cs="Times New Roman"/>
          <w:sz w:val="24"/>
          <w:szCs w:val="24"/>
          <w:lang w:val="en-GB" w:eastAsia="en-US"/>
        </w:rPr>
        <w:t>Hormuz</w:t>
      </w:r>
      <w:r w:rsidR="00AE5F31" w:rsidRPr="00520358">
        <w:rPr>
          <w:rFonts w:ascii="Arial Narrow" w:eastAsia="Times New Roman" w:hAnsi="Arial Narrow" w:cs="Times New Roman"/>
          <w:sz w:val="24"/>
          <w:szCs w:val="24"/>
          <w:lang w:eastAsia="en-US"/>
        </w:rPr>
        <w:t xml:space="preserve"> και είναι </w:t>
      </w:r>
      <w:r w:rsidRPr="00520358">
        <w:rPr>
          <w:rFonts w:ascii="Arial Narrow" w:eastAsia="Times New Roman" w:hAnsi="Arial Narrow" w:cs="Times New Roman"/>
          <w:sz w:val="24"/>
          <w:szCs w:val="24"/>
          <w:lang w:eastAsia="en-US"/>
        </w:rPr>
        <w:t>μεταξύ των</w:t>
      </w:r>
      <w:r w:rsidR="00AE5F31" w:rsidRPr="00520358">
        <w:rPr>
          <w:rFonts w:ascii="Arial Narrow" w:eastAsia="Times New Roman" w:hAnsi="Arial Narrow" w:cs="Times New Roman"/>
          <w:sz w:val="24"/>
          <w:szCs w:val="24"/>
          <w:lang w:eastAsia="en-US"/>
        </w:rPr>
        <w:t xml:space="preserve"> </w:t>
      </w:r>
      <w:r w:rsidR="00853759" w:rsidRPr="00520358">
        <w:rPr>
          <w:rFonts w:ascii="Arial Narrow" w:eastAsia="Times New Roman" w:hAnsi="Arial Narrow" w:cs="Times New Roman"/>
          <w:sz w:val="24"/>
          <w:szCs w:val="24"/>
          <w:lang w:eastAsia="en-US"/>
        </w:rPr>
        <w:t>3</w:t>
      </w:r>
      <w:r w:rsidRPr="00520358">
        <w:rPr>
          <w:rFonts w:ascii="Arial Narrow" w:eastAsia="Times New Roman" w:hAnsi="Arial Narrow" w:cs="Times New Roman"/>
          <w:sz w:val="24"/>
          <w:szCs w:val="24"/>
          <w:lang w:eastAsia="en-US"/>
        </w:rPr>
        <w:t xml:space="preserve"> λιμένων παγκοσμίως</w:t>
      </w:r>
      <w:r w:rsidR="00AE5F31" w:rsidRPr="00520358">
        <w:rPr>
          <w:rFonts w:ascii="Arial Narrow" w:eastAsia="Times New Roman" w:hAnsi="Arial Narrow" w:cs="Times New Roman"/>
          <w:sz w:val="24"/>
          <w:szCs w:val="24"/>
          <w:lang w:eastAsia="en-US"/>
        </w:rPr>
        <w:t xml:space="preserve"> </w:t>
      </w:r>
      <w:r w:rsidRPr="00520358">
        <w:rPr>
          <w:rFonts w:ascii="Arial Narrow" w:eastAsia="Times New Roman" w:hAnsi="Arial Narrow" w:cs="Times New Roman"/>
          <w:b/>
          <w:sz w:val="24"/>
          <w:szCs w:val="24"/>
          <w:lang w:eastAsia="en-US"/>
        </w:rPr>
        <w:t>στην αποθήκευση</w:t>
      </w:r>
      <w:r w:rsidR="00AE5F31" w:rsidRPr="00520358">
        <w:rPr>
          <w:rFonts w:ascii="Arial Narrow" w:eastAsia="Times New Roman" w:hAnsi="Arial Narrow" w:cs="Times New Roman"/>
          <w:b/>
          <w:sz w:val="24"/>
          <w:szCs w:val="24"/>
          <w:lang w:eastAsia="en-US"/>
        </w:rPr>
        <w:t xml:space="preserve"> καυσίμων</w:t>
      </w:r>
      <w:r w:rsidRPr="00520358">
        <w:rPr>
          <w:rFonts w:ascii="Arial Narrow" w:eastAsia="Times New Roman" w:hAnsi="Arial Narrow" w:cs="Times New Roman"/>
          <w:b/>
          <w:sz w:val="24"/>
          <w:szCs w:val="24"/>
          <w:lang w:eastAsia="en-US"/>
        </w:rPr>
        <w:t xml:space="preserve"> και στον ανεφοδιασμό πλοίων</w:t>
      </w:r>
      <w:r w:rsidR="00AE5F31" w:rsidRPr="00520358">
        <w:rPr>
          <w:rFonts w:ascii="Arial Narrow" w:eastAsia="Times New Roman" w:hAnsi="Arial Narrow" w:cs="Times New Roman"/>
          <w:sz w:val="24"/>
          <w:szCs w:val="24"/>
          <w:lang w:eastAsia="en-US"/>
        </w:rPr>
        <w:t xml:space="preserve">. </w:t>
      </w:r>
    </w:p>
    <w:p w14:paraId="2DEF0995" w14:textId="073374ED" w:rsidR="00376A71" w:rsidRPr="00520358" w:rsidRDefault="00376A71" w:rsidP="00D32119">
      <w:pPr>
        <w:shd w:val="clear" w:color="auto" w:fill="FFFFFF"/>
        <w:suppressAutoHyphens/>
        <w:autoSpaceDN w:val="0"/>
        <w:ind w:firstLine="567"/>
        <w:jc w:val="both"/>
        <w:rPr>
          <w:rFonts w:ascii="Arial Narrow" w:eastAsia="Calibri" w:hAnsi="Arial Narrow" w:cs="Times New Roman"/>
          <w:sz w:val="24"/>
          <w:szCs w:val="24"/>
          <w:lang w:eastAsia="en-US"/>
        </w:rPr>
      </w:pPr>
      <w:r w:rsidRPr="00520358">
        <w:rPr>
          <w:rFonts w:ascii="Arial Narrow" w:eastAsia="Calibri" w:hAnsi="Arial Narrow" w:cs="Times New Roman"/>
          <w:sz w:val="24"/>
          <w:szCs w:val="24"/>
          <w:lang w:eastAsia="en-US"/>
        </w:rPr>
        <w:t xml:space="preserve">Το 2015, η </w:t>
      </w:r>
      <w:r w:rsidR="005D6E45" w:rsidRPr="00520358">
        <w:rPr>
          <w:rFonts w:ascii="Arial Narrow" w:eastAsia="Calibri" w:hAnsi="Arial Narrow" w:cs="Times New Roman"/>
          <w:sz w:val="24"/>
          <w:szCs w:val="24"/>
          <w:lang w:eastAsia="en-US"/>
        </w:rPr>
        <w:t>Τ</w:t>
      </w:r>
      <w:r w:rsidRPr="00520358">
        <w:rPr>
          <w:rFonts w:ascii="Arial Narrow" w:eastAsia="Calibri" w:hAnsi="Arial Narrow" w:cs="Times New Roman"/>
          <w:sz w:val="24"/>
          <w:szCs w:val="24"/>
          <w:lang w:eastAsia="en-US"/>
        </w:rPr>
        <w:t xml:space="preserve">οπική Κυβέρνηση εκπόνησε το </w:t>
      </w:r>
      <w:r w:rsidR="00E95E01" w:rsidRPr="00520358">
        <w:rPr>
          <w:rFonts w:ascii="Arial Narrow" w:eastAsia="Calibri" w:hAnsi="Arial Narrow" w:cs="Times New Roman"/>
          <w:sz w:val="24"/>
          <w:szCs w:val="24"/>
          <w:lang w:eastAsia="en-US"/>
        </w:rPr>
        <w:t>“</w:t>
      </w:r>
      <w:r w:rsidRPr="00520358">
        <w:rPr>
          <w:rFonts w:ascii="Arial Narrow" w:eastAsia="Calibri" w:hAnsi="Arial Narrow" w:cs="Times New Roman"/>
          <w:b/>
          <w:sz w:val="24"/>
          <w:szCs w:val="24"/>
          <w:lang w:eastAsia="en-US"/>
        </w:rPr>
        <w:t>Fujairah Plan 2040</w:t>
      </w:r>
      <w:r w:rsidR="00E95E01" w:rsidRPr="00520358">
        <w:rPr>
          <w:rFonts w:ascii="Arial Narrow" w:eastAsia="Calibri" w:hAnsi="Arial Narrow" w:cs="Times New Roman"/>
          <w:sz w:val="24"/>
          <w:szCs w:val="24"/>
          <w:lang w:eastAsia="en-US"/>
        </w:rPr>
        <w:t>”</w:t>
      </w:r>
      <w:r w:rsidR="00853759" w:rsidRPr="00520358">
        <w:rPr>
          <w:rFonts w:ascii="Arial Narrow" w:eastAsia="Calibri" w:hAnsi="Arial Narrow" w:cs="Times New Roman"/>
          <w:sz w:val="24"/>
          <w:szCs w:val="24"/>
          <w:lang w:eastAsia="en-US"/>
        </w:rPr>
        <w:t xml:space="preserve">, το οποίο προβλέπει </w:t>
      </w:r>
      <w:r w:rsidRPr="00520358">
        <w:rPr>
          <w:rFonts w:ascii="Arial Narrow" w:eastAsia="Calibri" w:hAnsi="Arial Narrow" w:cs="Times New Roman"/>
          <w:sz w:val="24"/>
          <w:szCs w:val="24"/>
          <w:lang w:eastAsia="en-US"/>
        </w:rPr>
        <w:t xml:space="preserve">την </w:t>
      </w:r>
      <w:r w:rsidRPr="00520358">
        <w:rPr>
          <w:rFonts w:ascii="Arial Narrow" w:eastAsia="Calibri" w:hAnsi="Arial Narrow" w:cs="Times New Roman"/>
          <w:b/>
          <w:sz w:val="24"/>
          <w:szCs w:val="24"/>
          <w:lang w:eastAsia="en-US"/>
        </w:rPr>
        <w:t>ανάπτυξη</w:t>
      </w:r>
      <w:r w:rsidRPr="00520358">
        <w:rPr>
          <w:rFonts w:ascii="Arial Narrow" w:eastAsia="Calibri" w:hAnsi="Arial Narrow" w:cs="Times New Roman"/>
          <w:sz w:val="24"/>
          <w:szCs w:val="24"/>
          <w:lang w:eastAsia="en-US"/>
        </w:rPr>
        <w:t xml:space="preserve"> του </w:t>
      </w:r>
      <w:r w:rsidRPr="00520358">
        <w:rPr>
          <w:rFonts w:ascii="Arial Narrow" w:eastAsia="Calibri" w:hAnsi="Arial Narrow" w:cs="Times New Roman"/>
          <w:b/>
          <w:sz w:val="24"/>
          <w:szCs w:val="24"/>
          <w:lang w:eastAsia="en-US"/>
        </w:rPr>
        <w:t>λιμανιού</w:t>
      </w:r>
      <w:r w:rsidRPr="00520358">
        <w:rPr>
          <w:rFonts w:ascii="Arial Narrow" w:eastAsia="Calibri" w:hAnsi="Arial Narrow" w:cs="Times New Roman"/>
          <w:sz w:val="24"/>
          <w:szCs w:val="24"/>
          <w:lang w:eastAsia="en-US"/>
        </w:rPr>
        <w:t xml:space="preserve"> με την προσθήκη νέων τερματικών σταθμών για πετρέλαιο, ναυτιλιακές υπηρεσίες, ξηρό χύδην φορτίο και εμπορευματοκιβώτια</w:t>
      </w:r>
      <w:r w:rsidR="00273E3B" w:rsidRPr="00520358">
        <w:rPr>
          <w:rFonts w:ascii="Arial Narrow" w:eastAsia="Calibri" w:hAnsi="Arial Narrow" w:cs="Times New Roman"/>
          <w:sz w:val="24"/>
          <w:szCs w:val="24"/>
          <w:lang w:eastAsia="en-US"/>
        </w:rPr>
        <w:t xml:space="preserve">, </w:t>
      </w:r>
      <w:r w:rsidRPr="00520358">
        <w:rPr>
          <w:rFonts w:ascii="Arial Narrow" w:eastAsia="Calibri" w:hAnsi="Arial Narrow" w:cs="Times New Roman"/>
          <w:sz w:val="24"/>
          <w:szCs w:val="24"/>
          <w:lang w:eastAsia="en-US"/>
        </w:rPr>
        <w:t xml:space="preserve">μαζί με την </w:t>
      </w:r>
      <w:r w:rsidRPr="00520358">
        <w:rPr>
          <w:rFonts w:ascii="Arial Narrow" w:eastAsia="Calibri" w:hAnsi="Arial Narrow" w:cs="Times New Roman"/>
          <w:b/>
          <w:sz w:val="24"/>
          <w:szCs w:val="24"/>
          <w:lang w:eastAsia="en-US"/>
        </w:rPr>
        <w:t>επέκταση του αεροδρομίου</w:t>
      </w:r>
      <w:r w:rsidRPr="00520358">
        <w:rPr>
          <w:rFonts w:ascii="Arial Narrow" w:eastAsia="Calibri" w:hAnsi="Arial Narrow" w:cs="Times New Roman"/>
          <w:sz w:val="24"/>
          <w:szCs w:val="24"/>
          <w:lang w:eastAsia="en-US"/>
        </w:rPr>
        <w:t xml:space="preserve"> και τη </w:t>
      </w:r>
      <w:r w:rsidRPr="00520358">
        <w:rPr>
          <w:rFonts w:ascii="Arial Narrow" w:eastAsia="Calibri" w:hAnsi="Arial Narrow" w:cs="Times New Roman"/>
          <w:b/>
          <w:sz w:val="24"/>
          <w:szCs w:val="24"/>
          <w:lang w:eastAsia="en-US"/>
        </w:rPr>
        <w:t>μετεγκατάσταση του</w:t>
      </w:r>
      <w:r w:rsidRPr="00520358">
        <w:rPr>
          <w:rFonts w:ascii="Arial Narrow" w:eastAsia="Calibri" w:hAnsi="Arial Narrow" w:cs="Times New Roman"/>
          <w:sz w:val="24"/>
          <w:szCs w:val="24"/>
          <w:lang w:eastAsia="en-US"/>
        </w:rPr>
        <w:t xml:space="preserve"> </w:t>
      </w:r>
      <w:r w:rsidRPr="00520358">
        <w:rPr>
          <w:rFonts w:ascii="Arial Narrow" w:eastAsia="Calibri" w:hAnsi="Arial Narrow" w:cs="Times New Roman"/>
          <w:b/>
          <w:sz w:val="24"/>
          <w:szCs w:val="24"/>
          <w:lang w:eastAsia="en-US"/>
        </w:rPr>
        <w:t>τερματικού σταθμού</w:t>
      </w:r>
      <w:r w:rsidRPr="00520358">
        <w:rPr>
          <w:rFonts w:ascii="Arial Narrow" w:eastAsia="Calibri" w:hAnsi="Arial Narrow" w:cs="Times New Roman"/>
          <w:sz w:val="24"/>
          <w:szCs w:val="24"/>
          <w:lang w:eastAsia="en-US"/>
        </w:rPr>
        <w:t xml:space="preserve"> </w:t>
      </w:r>
      <w:r w:rsidR="00273E3B" w:rsidRPr="00520358">
        <w:rPr>
          <w:rFonts w:ascii="Arial Narrow" w:eastAsia="Calibri" w:hAnsi="Arial Narrow" w:cs="Times New Roman"/>
          <w:b/>
          <w:sz w:val="24"/>
          <w:szCs w:val="24"/>
          <w:lang w:eastAsia="en-US"/>
        </w:rPr>
        <w:t>για τα φορτία</w:t>
      </w:r>
      <w:r w:rsidRPr="00520358">
        <w:rPr>
          <w:rFonts w:ascii="Arial Narrow" w:eastAsia="Calibri" w:hAnsi="Arial Narrow" w:cs="Times New Roman"/>
          <w:sz w:val="24"/>
          <w:szCs w:val="24"/>
          <w:lang w:eastAsia="en-US"/>
        </w:rPr>
        <w:t>.</w:t>
      </w:r>
      <w:r w:rsidR="00AC2FEF" w:rsidRPr="00520358">
        <w:rPr>
          <w:rFonts w:ascii="Arial Narrow" w:eastAsia="Calibri" w:hAnsi="Arial Narrow" w:cs="Times New Roman"/>
          <w:sz w:val="24"/>
          <w:szCs w:val="24"/>
          <w:lang w:eastAsia="en-US"/>
        </w:rPr>
        <w:t xml:space="preserve"> Τον Ιούνιο 2021, ολοκληρώθηκε το πρόγραμμα επέκτασης υποδομών λιμένος </w:t>
      </w:r>
      <w:r w:rsidR="00AC2FEF" w:rsidRPr="00520358">
        <w:rPr>
          <w:rFonts w:ascii="Arial Narrow" w:eastAsia="Calibri" w:hAnsi="Arial Narrow" w:cs="Times New Roman"/>
          <w:sz w:val="24"/>
          <w:szCs w:val="24"/>
          <w:lang w:val="en-US" w:eastAsia="en-US"/>
        </w:rPr>
        <w:t>Fujairah</w:t>
      </w:r>
      <w:r w:rsidR="00145AD5" w:rsidRPr="00520358">
        <w:rPr>
          <w:rFonts w:ascii="Arial Narrow" w:eastAsia="Calibri" w:hAnsi="Arial Narrow" w:cs="Times New Roman"/>
          <w:sz w:val="24"/>
          <w:szCs w:val="24"/>
          <w:lang w:eastAsia="en-US"/>
        </w:rPr>
        <w:t xml:space="preserve">, συνολικού προϋπολογισμού 1 </w:t>
      </w:r>
      <w:r w:rsidR="00133844" w:rsidRPr="00520358">
        <w:rPr>
          <w:rFonts w:ascii="Arial Narrow" w:eastAsia="Calibri" w:hAnsi="Arial Narrow" w:cs="Times New Roman"/>
          <w:sz w:val="24"/>
          <w:szCs w:val="24"/>
          <w:lang w:eastAsia="en-US"/>
        </w:rPr>
        <w:t xml:space="preserve">δισεκ. </w:t>
      </w:r>
      <w:r w:rsidR="00145AD5" w:rsidRPr="00520358">
        <w:rPr>
          <w:rFonts w:ascii="Arial Narrow" w:eastAsia="Calibri" w:hAnsi="Arial Narrow" w:cs="Times New Roman"/>
          <w:sz w:val="24"/>
          <w:szCs w:val="24"/>
          <w:lang w:eastAsia="en-US"/>
        </w:rPr>
        <w:t xml:space="preserve"> </w:t>
      </w:r>
      <w:r w:rsidR="00BE18A5" w:rsidRPr="00520358">
        <w:rPr>
          <w:rFonts w:ascii="Arial Narrow" w:eastAsia="Calibri" w:hAnsi="Arial Narrow" w:cs="Times New Roman"/>
          <w:sz w:val="24"/>
          <w:szCs w:val="24"/>
          <w:lang w:eastAsia="en-US"/>
        </w:rPr>
        <w:t>Ντίρχαμ</w:t>
      </w:r>
      <w:r w:rsidR="00145AD5" w:rsidRPr="00520358">
        <w:rPr>
          <w:rFonts w:ascii="Arial Narrow" w:eastAsia="Calibri" w:hAnsi="Arial Narrow" w:cs="Times New Roman"/>
          <w:sz w:val="24"/>
          <w:szCs w:val="24"/>
          <w:lang w:eastAsia="en-US"/>
        </w:rPr>
        <w:t xml:space="preserve"> ($272,5 εκ</w:t>
      </w:r>
      <w:r w:rsidR="00FF6101" w:rsidRPr="00520358">
        <w:rPr>
          <w:rFonts w:ascii="Arial Narrow" w:eastAsia="Calibri" w:hAnsi="Arial Narrow" w:cs="Times New Roman"/>
          <w:sz w:val="24"/>
          <w:szCs w:val="24"/>
          <w:lang w:eastAsia="en-US"/>
        </w:rPr>
        <w:t>ατ</w:t>
      </w:r>
      <w:r w:rsidR="00145AD5" w:rsidRPr="00520358">
        <w:rPr>
          <w:rFonts w:ascii="Arial Narrow" w:eastAsia="Calibri" w:hAnsi="Arial Narrow" w:cs="Times New Roman"/>
          <w:sz w:val="24"/>
          <w:szCs w:val="24"/>
          <w:lang w:eastAsia="en-US"/>
        </w:rPr>
        <w:t>.).</w:t>
      </w:r>
      <w:r w:rsidR="00AC2FEF" w:rsidRPr="00520358">
        <w:rPr>
          <w:rFonts w:ascii="Arial Narrow" w:eastAsia="Calibri" w:hAnsi="Arial Narrow" w:cs="Times New Roman"/>
          <w:sz w:val="24"/>
          <w:szCs w:val="24"/>
          <w:lang w:eastAsia="en-US"/>
        </w:rPr>
        <w:t xml:space="preserve"> Σημειώνεται ότι </w:t>
      </w:r>
      <w:r w:rsidR="00145AD5" w:rsidRPr="00520358">
        <w:rPr>
          <w:rFonts w:ascii="Arial Narrow" w:eastAsia="Calibri" w:hAnsi="Arial Narrow" w:cs="Times New Roman"/>
          <w:sz w:val="24"/>
          <w:szCs w:val="24"/>
          <w:lang w:eastAsia="en-US"/>
        </w:rPr>
        <w:t xml:space="preserve">το λιμενικό συγκρότημα </w:t>
      </w:r>
      <w:r w:rsidR="00145AD5" w:rsidRPr="00520358">
        <w:rPr>
          <w:rFonts w:ascii="Arial Narrow" w:eastAsia="Calibri" w:hAnsi="Arial Narrow" w:cs="Times New Roman"/>
          <w:sz w:val="24"/>
          <w:szCs w:val="24"/>
          <w:lang w:val="en-US" w:eastAsia="en-US"/>
        </w:rPr>
        <w:t>Fujairah</w:t>
      </w:r>
      <w:r w:rsidR="00145AD5" w:rsidRPr="00520358">
        <w:rPr>
          <w:rFonts w:ascii="Arial Narrow" w:eastAsia="Calibri" w:hAnsi="Arial Narrow" w:cs="Times New Roman"/>
          <w:sz w:val="24"/>
          <w:szCs w:val="24"/>
          <w:lang w:eastAsia="en-US"/>
        </w:rPr>
        <w:t xml:space="preserve"> ανήκει εξ ολοκλήρου στον Οργανισμό διαχείρισης λιμένων </w:t>
      </w:r>
      <w:r w:rsidR="00145AD5" w:rsidRPr="00520358">
        <w:rPr>
          <w:rFonts w:ascii="Arial Narrow" w:eastAsia="Calibri" w:hAnsi="Arial Narrow" w:cs="Times New Roman"/>
          <w:sz w:val="24"/>
          <w:szCs w:val="24"/>
          <w:lang w:val="en-US" w:eastAsia="en-US"/>
        </w:rPr>
        <w:t>Abu</w:t>
      </w:r>
      <w:r w:rsidR="00145AD5" w:rsidRPr="00520358">
        <w:rPr>
          <w:rFonts w:ascii="Arial Narrow" w:eastAsia="Calibri" w:hAnsi="Arial Narrow" w:cs="Times New Roman"/>
          <w:sz w:val="24"/>
          <w:szCs w:val="24"/>
          <w:lang w:eastAsia="en-US"/>
        </w:rPr>
        <w:t xml:space="preserve"> </w:t>
      </w:r>
      <w:r w:rsidR="00145AD5" w:rsidRPr="00520358">
        <w:rPr>
          <w:rFonts w:ascii="Arial Narrow" w:eastAsia="Calibri" w:hAnsi="Arial Narrow" w:cs="Times New Roman"/>
          <w:sz w:val="24"/>
          <w:szCs w:val="24"/>
          <w:lang w:val="en-US" w:eastAsia="en-US"/>
        </w:rPr>
        <w:t>Dhabi</w:t>
      </w:r>
      <w:r w:rsidR="00145AD5" w:rsidRPr="00520358">
        <w:rPr>
          <w:rFonts w:ascii="Arial Narrow" w:eastAsia="Calibri" w:hAnsi="Arial Narrow" w:cs="Times New Roman"/>
          <w:sz w:val="24"/>
          <w:szCs w:val="24"/>
          <w:lang w:eastAsia="en-US"/>
        </w:rPr>
        <w:t xml:space="preserve">, </w:t>
      </w:r>
      <w:r w:rsidR="00145AD5" w:rsidRPr="00520358">
        <w:rPr>
          <w:rFonts w:ascii="Arial Narrow" w:eastAsia="Calibri" w:hAnsi="Arial Narrow" w:cs="Times New Roman"/>
          <w:b/>
          <w:sz w:val="24"/>
          <w:szCs w:val="24"/>
          <w:lang w:val="en-US" w:eastAsia="en-US"/>
        </w:rPr>
        <w:t>Abu</w:t>
      </w:r>
      <w:r w:rsidR="00145AD5" w:rsidRPr="00520358">
        <w:rPr>
          <w:rFonts w:ascii="Arial Narrow" w:eastAsia="Calibri" w:hAnsi="Arial Narrow" w:cs="Times New Roman"/>
          <w:b/>
          <w:sz w:val="24"/>
          <w:szCs w:val="24"/>
          <w:lang w:eastAsia="en-US"/>
        </w:rPr>
        <w:t xml:space="preserve"> </w:t>
      </w:r>
      <w:r w:rsidR="00145AD5" w:rsidRPr="00520358">
        <w:rPr>
          <w:rFonts w:ascii="Arial Narrow" w:eastAsia="Calibri" w:hAnsi="Arial Narrow" w:cs="Times New Roman"/>
          <w:b/>
          <w:sz w:val="24"/>
          <w:szCs w:val="24"/>
          <w:lang w:val="en-US" w:eastAsia="en-US"/>
        </w:rPr>
        <w:t>Dhabi</w:t>
      </w:r>
      <w:r w:rsidR="00145AD5" w:rsidRPr="00520358">
        <w:rPr>
          <w:rFonts w:ascii="Arial Narrow" w:eastAsia="Calibri" w:hAnsi="Arial Narrow" w:cs="Times New Roman"/>
          <w:b/>
          <w:sz w:val="24"/>
          <w:szCs w:val="24"/>
          <w:lang w:eastAsia="en-US"/>
        </w:rPr>
        <w:t xml:space="preserve"> </w:t>
      </w:r>
      <w:r w:rsidR="00145AD5" w:rsidRPr="00520358">
        <w:rPr>
          <w:rFonts w:ascii="Arial Narrow" w:eastAsia="Calibri" w:hAnsi="Arial Narrow" w:cs="Times New Roman"/>
          <w:b/>
          <w:sz w:val="24"/>
          <w:szCs w:val="24"/>
          <w:lang w:val="en-US" w:eastAsia="en-US"/>
        </w:rPr>
        <w:t>Ports</w:t>
      </w:r>
      <w:r w:rsidR="00145AD5" w:rsidRPr="00520358">
        <w:rPr>
          <w:rFonts w:ascii="Arial Narrow" w:eastAsia="Calibri" w:hAnsi="Arial Narrow" w:cs="Times New Roman"/>
          <w:sz w:val="24"/>
          <w:szCs w:val="24"/>
          <w:lang w:eastAsia="en-US"/>
        </w:rPr>
        <w:t>.</w:t>
      </w:r>
    </w:p>
    <w:p w14:paraId="29D3C95D" w14:textId="141C4790" w:rsidR="00972A35" w:rsidRPr="00520358" w:rsidRDefault="00972A35" w:rsidP="00D32119">
      <w:pPr>
        <w:shd w:val="clear" w:color="auto" w:fill="FFFFFF"/>
        <w:suppressAutoHyphens/>
        <w:autoSpaceDN w:val="0"/>
        <w:ind w:firstLine="567"/>
        <w:jc w:val="both"/>
        <w:rPr>
          <w:rFonts w:ascii="Arial Narrow" w:eastAsia="Calibri" w:hAnsi="Arial Narrow" w:cs="Times New Roman"/>
          <w:sz w:val="24"/>
          <w:szCs w:val="24"/>
          <w:lang w:eastAsia="en-US"/>
        </w:rPr>
      </w:pPr>
      <w:r w:rsidRPr="00520358">
        <w:rPr>
          <w:rFonts w:ascii="Arial Narrow" w:eastAsia="Calibri" w:hAnsi="Arial Narrow" w:cs="Times New Roman"/>
          <w:sz w:val="24"/>
          <w:szCs w:val="24"/>
          <w:lang w:eastAsia="en-US"/>
        </w:rPr>
        <w:t xml:space="preserve">Άλλες σημαντικές οικονομικές δραστηριότητες του Εμιράτου είναι η </w:t>
      </w:r>
      <w:r w:rsidRPr="00520358">
        <w:rPr>
          <w:rFonts w:ascii="Arial Narrow" w:eastAsia="Calibri" w:hAnsi="Arial Narrow" w:cs="Times New Roman"/>
          <w:b/>
          <w:sz w:val="24"/>
          <w:szCs w:val="24"/>
          <w:lang w:eastAsia="en-US"/>
        </w:rPr>
        <w:t>γεωργία</w:t>
      </w:r>
      <w:r w:rsidRPr="00520358">
        <w:rPr>
          <w:rFonts w:ascii="Arial Narrow" w:eastAsia="Calibri" w:hAnsi="Arial Narrow" w:cs="Times New Roman"/>
          <w:sz w:val="24"/>
          <w:szCs w:val="24"/>
          <w:lang w:eastAsia="en-US"/>
        </w:rPr>
        <w:t xml:space="preserve"> και η </w:t>
      </w:r>
      <w:r w:rsidRPr="00520358">
        <w:rPr>
          <w:rFonts w:ascii="Arial Narrow" w:eastAsia="Calibri" w:hAnsi="Arial Narrow" w:cs="Times New Roman"/>
          <w:b/>
          <w:sz w:val="24"/>
          <w:szCs w:val="24"/>
          <w:lang w:eastAsia="en-US"/>
        </w:rPr>
        <w:t>αλιεία</w:t>
      </w:r>
      <w:r w:rsidRPr="00520358">
        <w:rPr>
          <w:rFonts w:ascii="Arial Narrow" w:eastAsia="Calibri" w:hAnsi="Arial Narrow" w:cs="Times New Roman"/>
          <w:sz w:val="24"/>
          <w:szCs w:val="24"/>
          <w:lang w:eastAsia="en-US"/>
        </w:rPr>
        <w:t xml:space="preserve">, ο </w:t>
      </w:r>
      <w:r w:rsidRPr="00520358">
        <w:rPr>
          <w:rFonts w:ascii="Arial Narrow" w:eastAsia="Calibri" w:hAnsi="Arial Narrow" w:cs="Times New Roman"/>
          <w:b/>
          <w:sz w:val="24"/>
          <w:szCs w:val="24"/>
          <w:lang w:eastAsia="en-US"/>
        </w:rPr>
        <w:t>τουρισμός</w:t>
      </w:r>
      <w:r w:rsidRPr="00520358">
        <w:rPr>
          <w:rFonts w:ascii="Arial Narrow" w:eastAsia="Calibri" w:hAnsi="Arial Narrow" w:cs="Times New Roman"/>
          <w:sz w:val="24"/>
          <w:szCs w:val="24"/>
          <w:lang w:eastAsia="en-US"/>
        </w:rPr>
        <w:t xml:space="preserve"> και η </w:t>
      </w:r>
      <w:r w:rsidRPr="00520358">
        <w:rPr>
          <w:rFonts w:ascii="Arial Narrow" w:eastAsia="Calibri" w:hAnsi="Arial Narrow" w:cs="Times New Roman"/>
          <w:b/>
          <w:sz w:val="24"/>
          <w:szCs w:val="24"/>
          <w:lang w:eastAsia="en-US"/>
        </w:rPr>
        <w:t>εξόρυξη και σύνθλιψη λίθων</w:t>
      </w:r>
      <w:r w:rsidRPr="00520358">
        <w:rPr>
          <w:rFonts w:ascii="Arial Narrow" w:eastAsia="Calibri" w:hAnsi="Arial Narrow" w:cs="Times New Roman"/>
          <w:sz w:val="24"/>
          <w:szCs w:val="24"/>
          <w:lang w:eastAsia="en-US"/>
        </w:rPr>
        <w:t xml:space="preserve"> για να χρησιμοποιηθούν ως δομικά υλικά στον κατασκευαστικό τομέα.</w:t>
      </w:r>
    </w:p>
    <w:p w14:paraId="0049D2A2" w14:textId="348DF84E" w:rsidR="007600A1" w:rsidRDefault="00022BD6" w:rsidP="007600A1">
      <w:pPr>
        <w:shd w:val="clear" w:color="auto" w:fill="FFFFFF"/>
        <w:suppressAutoHyphens/>
        <w:autoSpaceDN w:val="0"/>
        <w:jc w:val="both"/>
        <w:rPr>
          <w:rFonts w:ascii="Arial Narrow" w:eastAsia="Times New Roman" w:hAnsi="Arial Narrow" w:cs="Times New Roman"/>
          <w:b/>
          <w:bCs/>
          <w:color w:val="1F497D" w:themeColor="text2"/>
          <w:sz w:val="28"/>
          <w:szCs w:val="28"/>
          <w:lang w:eastAsia="en-US"/>
        </w:rPr>
      </w:pPr>
      <w:bookmarkStart w:id="25" w:name="_Toc496023359"/>
      <w:bookmarkStart w:id="26" w:name="_Toc496025310"/>
      <w:bookmarkStart w:id="27" w:name="_Toc496026311"/>
      <w:bookmarkStart w:id="28" w:name="_Toc496097568"/>
      <w:bookmarkStart w:id="29" w:name="_Toc496099477"/>
      <w:bookmarkStart w:id="30" w:name="_Toc14342458"/>
      <w:r>
        <w:rPr>
          <w:rFonts w:ascii="Arial Narrow" w:eastAsia="Calibri" w:hAnsi="Arial Narrow" w:cs="Times New Roman"/>
          <w:b/>
          <w:bCs/>
          <w:color w:val="1F497D" w:themeColor="text2"/>
          <w:sz w:val="28"/>
          <w:szCs w:val="28"/>
          <w:lang w:val="en-US"/>
        </w:rPr>
        <w:t xml:space="preserve">30.8. </w:t>
      </w:r>
      <w:r w:rsidR="007600A1">
        <w:rPr>
          <w:rFonts w:ascii="Arial Narrow" w:eastAsia="Calibri" w:hAnsi="Arial Narrow" w:cs="Times New Roman"/>
          <w:b/>
          <w:bCs/>
          <w:color w:val="1F497D" w:themeColor="text2"/>
          <w:sz w:val="28"/>
          <w:szCs w:val="28"/>
        </w:rPr>
        <w:t xml:space="preserve">ΕΜΙΡΑΤΟ </w:t>
      </w:r>
      <w:r w:rsidR="00CD130E" w:rsidRPr="002E382A">
        <w:rPr>
          <w:rFonts w:ascii="Arial Narrow" w:eastAsia="Calibri" w:hAnsi="Arial Narrow" w:cs="Times New Roman"/>
          <w:b/>
          <w:bCs/>
          <w:color w:val="1F497D" w:themeColor="text2"/>
          <w:sz w:val="28"/>
          <w:szCs w:val="28"/>
          <w:lang w:val="en"/>
        </w:rPr>
        <w:t>Ajman</w:t>
      </w:r>
      <w:bookmarkEnd w:id="25"/>
      <w:bookmarkEnd w:id="26"/>
      <w:bookmarkEnd w:id="27"/>
      <w:bookmarkEnd w:id="28"/>
      <w:bookmarkEnd w:id="29"/>
      <w:bookmarkEnd w:id="30"/>
      <w:r w:rsidR="00EE2024" w:rsidRPr="002E382A">
        <w:rPr>
          <w:rFonts w:ascii="Arial Narrow" w:eastAsia="Calibri" w:hAnsi="Arial Narrow" w:cs="Times New Roman"/>
          <w:b/>
          <w:bCs/>
          <w:color w:val="1F497D" w:themeColor="text2"/>
          <w:sz w:val="28"/>
          <w:szCs w:val="28"/>
        </w:rPr>
        <w:t xml:space="preserve"> (Α</w:t>
      </w:r>
      <w:r w:rsidR="00A94807" w:rsidRPr="002E382A">
        <w:rPr>
          <w:rFonts w:ascii="Arial Narrow" w:eastAsia="Calibri" w:hAnsi="Arial Narrow" w:cs="Times New Roman"/>
          <w:b/>
          <w:bCs/>
          <w:color w:val="1F497D" w:themeColor="text2"/>
          <w:sz w:val="28"/>
          <w:szCs w:val="28"/>
        </w:rPr>
        <w:t>τ</w:t>
      </w:r>
      <w:r w:rsidR="00EE2024" w:rsidRPr="002E382A">
        <w:rPr>
          <w:rFonts w:ascii="Arial Narrow" w:eastAsia="Calibri" w:hAnsi="Arial Narrow" w:cs="Times New Roman"/>
          <w:b/>
          <w:bCs/>
          <w:color w:val="1F497D" w:themeColor="text2"/>
          <w:sz w:val="28"/>
          <w:szCs w:val="28"/>
        </w:rPr>
        <w:t>ζμάν)</w:t>
      </w:r>
    </w:p>
    <w:p w14:paraId="4A9836C6" w14:textId="331679C2" w:rsidR="001A4715" w:rsidRPr="007600A1" w:rsidRDefault="00CD130E" w:rsidP="007600A1">
      <w:pPr>
        <w:shd w:val="clear" w:color="auto" w:fill="FFFFFF"/>
        <w:suppressAutoHyphens/>
        <w:autoSpaceDN w:val="0"/>
        <w:jc w:val="both"/>
        <w:rPr>
          <w:rFonts w:ascii="Arial Narrow" w:eastAsia="Times New Roman" w:hAnsi="Arial Narrow" w:cs="Times New Roman"/>
          <w:b/>
          <w:bCs/>
          <w:color w:val="1F497D" w:themeColor="text2"/>
          <w:sz w:val="28"/>
          <w:szCs w:val="28"/>
          <w:lang w:eastAsia="en-US"/>
        </w:rPr>
      </w:pPr>
      <w:r w:rsidRPr="00520358">
        <w:rPr>
          <w:rFonts w:ascii="Arial Narrow" w:eastAsia="Times New Roman" w:hAnsi="Arial Narrow" w:cs="Times New Roman"/>
          <w:sz w:val="24"/>
          <w:szCs w:val="24"/>
          <w:lang w:val="en-GB"/>
        </w:rPr>
        <w:t>T</w:t>
      </w:r>
      <w:r w:rsidRPr="00520358">
        <w:rPr>
          <w:rFonts w:ascii="Arial Narrow" w:eastAsia="Times New Roman" w:hAnsi="Arial Narrow" w:cs="Times New Roman"/>
          <w:sz w:val="24"/>
          <w:szCs w:val="24"/>
        </w:rPr>
        <w:t xml:space="preserve">ο </w:t>
      </w:r>
      <w:r w:rsidR="007C34DC" w:rsidRPr="00520358">
        <w:rPr>
          <w:rFonts w:ascii="Arial Narrow" w:eastAsia="Times New Roman" w:hAnsi="Arial Narrow" w:cs="Times New Roman"/>
          <w:sz w:val="24"/>
          <w:szCs w:val="24"/>
        </w:rPr>
        <w:t>Ε</w:t>
      </w:r>
      <w:r w:rsidRPr="00520358">
        <w:rPr>
          <w:rFonts w:ascii="Arial Narrow" w:eastAsia="Times New Roman" w:hAnsi="Arial Narrow" w:cs="Times New Roman"/>
          <w:sz w:val="24"/>
          <w:szCs w:val="24"/>
        </w:rPr>
        <w:t xml:space="preserve">μιράτο είναι το </w:t>
      </w:r>
      <w:r w:rsidRPr="00520358">
        <w:rPr>
          <w:rFonts w:ascii="Arial Narrow" w:eastAsia="Times New Roman" w:hAnsi="Arial Narrow" w:cs="Times New Roman"/>
          <w:b/>
          <w:sz w:val="24"/>
          <w:szCs w:val="24"/>
        </w:rPr>
        <w:t>μικρότερο σε έκταση</w:t>
      </w:r>
      <w:r w:rsidRPr="00520358">
        <w:rPr>
          <w:rFonts w:ascii="Arial Narrow" w:eastAsia="Times New Roman" w:hAnsi="Arial Narrow" w:cs="Times New Roman"/>
          <w:sz w:val="24"/>
          <w:szCs w:val="24"/>
        </w:rPr>
        <w:t xml:space="preserve">, αλλά </w:t>
      </w:r>
      <w:r w:rsidR="007C34DC" w:rsidRPr="00520358">
        <w:rPr>
          <w:rFonts w:ascii="Arial Narrow" w:eastAsia="Times New Roman" w:hAnsi="Arial Narrow" w:cs="Times New Roman"/>
          <w:b/>
          <w:sz w:val="24"/>
          <w:szCs w:val="24"/>
        </w:rPr>
        <w:t>4</w:t>
      </w:r>
      <w:r w:rsidR="007C34DC" w:rsidRPr="00520358">
        <w:rPr>
          <w:rFonts w:ascii="Arial Narrow" w:eastAsia="Times New Roman" w:hAnsi="Arial Narrow" w:cs="Times New Roman"/>
          <w:b/>
          <w:sz w:val="24"/>
          <w:szCs w:val="24"/>
          <w:vertAlign w:val="superscript"/>
        </w:rPr>
        <w:t>ο</w:t>
      </w:r>
      <w:r w:rsidR="007C34DC" w:rsidRPr="00520358">
        <w:rPr>
          <w:rFonts w:ascii="Arial Narrow" w:eastAsia="Times New Roman" w:hAnsi="Arial Narrow" w:cs="Times New Roman"/>
          <w:b/>
          <w:sz w:val="24"/>
          <w:szCs w:val="24"/>
        </w:rPr>
        <w:t xml:space="preserve"> </w:t>
      </w:r>
      <w:r w:rsidRPr="00520358">
        <w:rPr>
          <w:rFonts w:ascii="Arial Narrow" w:eastAsia="Times New Roman" w:hAnsi="Arial Narrow" w:cs="Times New Roman"/>
          <w:b/>
          <w:sz w:val="24"/>
          <w:szCs w:val="24"/>
        </w:rPr>
        <w:t>σε πληθυσμό</w:t>
      </w:r>
      <w:r w:rsidRPr="00520358">
        <w:rPr>
          <w:rFonts w:ascii="Arial Narrow" w:eastAsia="Times New Roman" w:hAnsi="Arial Narrow" w:cs="Times New Roman"/>
          <w:sz w:val="24"/>
          <w:szCs w:val="24"/>
        </w:rPr>
        <w:t xml:space="preserve"> (</w:t>
      </w:r>
      <w:r w:rsidR="007F1063" w:rsidRPr="00520358">
        <w:rPr>
          <w:rFonts w:ascii="Arial Narrow" w:eastAsia="Times New Roman" w:hAnsi="Arial Narrow" w:cs="Times New Roman"/>
          <w:sz w:val="24"/>
          <w:szCs w:val="24"/>
        </w:rPr>
        <w:t xml:space="preserve">περίπου </w:t>
      </w:r>
      <w:r w:rsidR="0086107A" w:rsidRPr="00520358">
        <w:rPr>
          <w:rFonts w:ascii="Arial Narrow" w:eastAsia="Times New Roman" w:hAnsi="Arial Narrow" w:cs="Times New Roman"/>
          <w:b/>
          <w:sz w:val="24"/>
          <w:szCs w:val="24"/>
        </w:rPr>
        <w:t>420</w:t>
      </w:r>
      <w:r w:rsidR="007F1063" w:rsidRPr="00520358">
        <w:rPr>
          <w:rFonts w:ascii="Arial Narrow" w:eastAsia="Times New Roman" w:hAnsi="Arial Narrow" w:cs="Times New Roman"/>
          <w:b/>
          <w:sz w:val="24"/>
          <w:szCs w:val="24"/>
        </w:rPr>
        <w:t>.000 κάτοικοι</w:t>
      </w:r>
      <w:r w:rsidR="007F1063" w:rsidRPr="00520358">
        <w:rPr>
          <w:rFonts w:ascii="Arial Narrow" w:eastAsia="Times New Roman" w:hAnsi="Arial Narrow" w:cs="Times New Roman"/>
          <w:sz w:val="24"/>
          <w:szCs w:val="24"/>
        </w:rPr>
        <w:t xml:space="preserve">). Βρίσκεται στα βόρεια της </w:t>
      </w:r>
      <w:r w:rsidR="007F1063" w:rsidRPr="00520358">
        <w:rPr>
          <w:rFonts w:ascii="Arial Narrow" w:eastAsia="Times New Roman" w:hAnsi="Arial Narrow" w:cs="Times New Roman"/>
          <w:sz w:val="24"/>
          <w:szCs w:val="24"/>
          <w:lang w:val="en-GB"/>
        </w:rPr>
        <w:t>Sharjah</w:t>
      </w:r>
      <w:r w:rsidR="0031789D" w:rsidRPr="00520358">
        <w:rPr>
          <w:rFonts w:ascii="Arial Narrow" w:eastAsia="Times New Roman" w:hAnsi="Arial Narrow" w:cs="Times New Roman"/>
          <w:sz w:val="24"/>
          <w:szCs w:val="24"/>
        </w:rPr>
        <w:t xml:space="preserve"> και ουσιαστικά βρίσκεται στις παρυφές της «μητροπολιτικής περιοχής»</w:t>
      </w:r>
      <w:r w:rsidR="001A4715" w:rsidRPr="00520358">
        <w:rPr>
          <w:rFonts w:ascii="Arial Narrow" w:eastAsia="Times New Roman" w:hAnsi="Arial Narrow" w:cs="Times New Roman"/>
          <w:sz w:val="24"/>
          <w:szCs w:val="24"/>
        </w:rPr>
        <w:t>, η οποία</w:t>
      </w:r>
      <w:r w:rsidR="007F1063" w:rsidRPr="00520358">
        <w:rPr>
          <w:rFonts w:ascii="Arial Narrow" w:eastAsia="Times New Roman" w:hAnsi="Arial Narrow" w:cs="Times New Roman"/>
          <w:sz w:val="24"/>
          <w:szCs w:val="24"/>
        </w:rPr>
        <w:t xml:space="preserve"> περιλαμβάνει τ</w:t>
      </w:r>
      <w:r w:rsidR="001A4715" w:rsidRPr="00520358">
        <w:rPr>
          <w:rFonts w:ascii="Arial Narrow" w:eastAsia="Times New Roman" w:hAnsi="Arial Narrow" w:cs="Times New Roman"/>
          <w:sz w:val="24"/>
          <w:szCs w:val="24"/>
        </w:rPr>
        <w:t xml:space="preserve">α Εμιράτα </w:t>
      </w:r>
      <w:r w:rsidR="007F1063" w:rsidRPr="00520358">
        <w:rPr>
          <w:rFonts w:ascii="Arial Narrow" w:eastAsia="Times New Roman" w:hAnsi="Arial Narrow" w:cs="Times New Roman"/>
          <w:sz w:val="24"/>
          <w:szCs w:val="24"/>
          <w:lang w:val="en-US"/>
        </w:rPr>
        <w:t>Dubai</w:t>
      </w:r>
      <w:r w:rsidR="007F1063" w:rsidRPr="00520358">
        <w:rPr>
          <w:rFonts w:ascii="Arial Narrow" w:eastAsia="Times New Roman" w:hAnsi="Arial Narrow" w:cs="Times New Roman"/>
          <w:sz w:val="24"/>
          <w:szCs w:val="24"/>
        </w:rPr>
        <w:t xml:space="preserve"> και </w:t>
      </w:r>
      <w:r w:rsidR="007F1063" w:rsidRPr="00520358">
        <w:rPr>
          <w:rFonts w:ascii="Arial Narrow" w:eastAsia="Times New Roman" w:hAnsi="Arial Narrow" w:cs="Times New Roman"/>
          <w:sz w:val="24"/>
          <w:szCs w:val="24"/>
          <w:lang w:val="en-US"/>
        </w:rPr>
        <w:t>Sharjah</w:t>
      </w:r>
      <w:r w:rsidR="007F1063" w:rsidRPr="00520358">
        <w:rPr>
          <w:rFonts w:ascii="Arial Narrow" w:eastAsia="Times New Roman" w:hAnsi="Arial Narrow" w:cs="Times New Roman"/>
          <w:sz w:val="24"/>
          <w:szCs w:val="24"/>
        </w:rPr>
        <w:t xml:space="preserve">. </w:t>
      </w:r>
    </w:p>
    <w:p w14:paraId="17B4A976" w14:textId="531770DE" w:rsidR="001A4715" w:rsidRPr="00520358" w:rsidRDefault="001A4715" w:rsidP="001A4715">
      <w:pPr>
        <w:suppressAutoHyphens/>
        <w:autoSpaceDN w:val="0"/>
        <w:ind w:firstLine="567"/>
        <w:jc w:val="both"/>
        <w:rPr>
          <w:rFonts w:ascii="Arial Narrow" w:eastAsia="Times New Roman" w:hAnsi="Arial Narrow" w:cs="Times New Roman"/>
          <w:sz w:val="24"/>
          <w:szCs w:val="24"/>
        </w:rPr>
      </w:pPr>
      <w:r w:rsidRPr="00520358">
        <w:rPr>
          <w:rFonts w:ascii="Arial Narrow" w:eastAsia="Times New Roman" w:hAnsi="Arial Narrow" w:cs="Times New Roman"/>
          <w:sz w:val="24"/>
          <w:szCs w:val="24"/>
        </w:rPr>
        <w:t xml:space="preserve">Το </w:t>
      </w:r>
      <w:r w:rsidRPr="00520358">
        <w:rPr>
          <w:rFonts w:ascii="Arial Narrow" w:eastAsia="Times New Roman" w:hAnsi="Arial Narrow" w:cs="Times New Roman"/>
          <w:sz w:val="24"/>
          <w:szCs w:val="24"/>
          <w:lang w:val="en-US"/>
        </w:rPr>
        <w:t>Ajman</w:t>
      </w:r>
      <w:r w:rsidRPr="00520358">
        <w:rPr>
          <w:rFonts w:ascii="Arial Narrow" w:eastAsia="Times New Roman" w:hAnsi="Arial Narrow" w:cs="Times New Roman"/>
          <w:sz w:val="24"/>
          <w:szCs w:val="24"/>
        </w:rPr>
        <w:t xml:space="preserve"> γ</w:t>
      </w:r>
      <w:r w:rsidR="007F1063" w:rsidRPr="00520358">
        <w:rPr>
          <w:rFonts w:ascii="Arial Narrow" w:eastAsia="Times New Roman" w:hAnsi="Arial Narrow" w:cs="Times New Roman"/>
          <w:sz w:val="24"/>
          <w:szCs w:val="24"/>
        </w:rPr>
        <w:t xml:space="preserve">νώρισε σημαντική ανάπτυξη μέσω του </w:t>
      </w:r>
      <w:r w:rsidR="007F1063" w:rsidRPr="00520358">
        <w:rPr>
          <w:rFonts w:ascii="Arial Narrow" w:eastAsia="Times New Roman" w:hAnsi="Arial Narrow" w:cs="Times New Roman"/>
          <w:b/>
          <w:sz w:val="24"/>
          <w:szCs w:val="24"/>
        </w:rPr>
        <w:t>εμπορικού λιμένος του</w:t>
      </w:r>
      <w:r w:rsidR="007F1063" w:rsidRPr="00520358">
        <w:rPr>
          <w:rFonts w:ascii="Arial Narrow" w:eastAsia="Times New Roman" w:hAnsi="Arial Narrow" w:cs="Times New Roman"/>
          <w:sz w:val="24"/>
          <w:szCs w:val="24"/>
        </w:rPr>
        <w:t xml:space="preserve">, της λειτουργίας </w:t>
      </w:r>
      <w:r w:rsidRPr="00520358">
        <w:rPr>
          <w:rFonts w:ascii="Arial Narrow" w:eastAsia="Times New Roman" w:hAnsi="Arial Narrow" w:cs="Times New Roman"/>
          <w:b/>
          <w:sz w:val="24"/>
          <w:szCs w:val="24"/>
        </w:rPr>
        <w:t>Ε</w:t>
      </w:r>
      <w:r w:rsidR="007F1063" w:rsidRPr="00520358">
        <w:rPr>
          <w:rFonts w:ascii="Arial Narrow" w:eastAsia="Times New Roman" w:hAnsi="Arial Narrow" w:cs="Times New Roman"/>
          <w:b/>
          <w:sz w:val="24"/>
          <w:szCs w:val="24"/>
        </w:rPr>
        <w:t xml:space="preserve">λεύθερης </w:t>
      </w:r>
      <w:r w:rsidRPr="00520358">
        <w:rPr>
          <w:rFonts w:ascii="Arial Narrow" w:eastAsia="Times New Roman" w:hAnsi="Arial Narrow" w:cs="Times New Roman"/>
          <w:b/>
          <w:sz w:val="24"/>
          <w:szCs w:val="24"/>
        </w:rPr>
        <w:t>Ζ</w:t>
      </w:r>
      <w:r w:rsidR="007F1063" w:rsidRPr="00520358">
        <w:rPr>
          <w:rFonts w:ascii="Arial Narrow" w:eastAsia="Times New Roman" w:hAnsi="Arial Narrow" w:cs="Times New Roman"/>
          <w:b/>
          <w:sz w:val="24"/>
          <w:szCs w:val="24"/>
        </w:rPr>
        <w:t>ώνης</w:t>
      </w:r>
      <w:r w:rsidRPr="00520358">
        <w:rPr>
          <w:rFonts w:ascii="Arial Narrow" w:eastAsia="Times New Roman" w:hAnsi="Arial Narrow" w:cs="Times New Roman"/>
          <w:b/>
          <w:sz w:val="24"/>
          <w:szCs w:val="24"/>
        </w:rPr>
        <w:t>,</w:t>
      </w:r>
      <w:r w:rsidR="007F1063" w:rsidRPr="00520358">
        <w:rPr>
          <w:rFonts w:ascii="Arial Narrow" w:eastAsia="Times New Roman" w:hAnsi="Arial Narrow" w:cs="Times New Roman"/>
          <w:sz w:val="24"/>
          <w:szCs w:val="24"/>
        </w:rPr>
        <w:t xml:space="preserve"> αλλά και της απόφασης της </w:t>
      </w:r>
      <w:r w:rsidR="001B2DEB" w:rsidRPr="00520358">
        <w:rPr>
          <w:rFonts w:ascii="Arial Narrow" w:eastAsia="Times New Roman" w:hAnsi="Arial Narrow" w:cs="Times New Roman"/>
          <w:sz w:val="24"/>
          <w:szCs w:val="24"/>
        </w:rPr>
        <w:t>Τ</w:t>
      </w:r>
      <w:r w:rsidR="007F1063" w:rsidRPr="00520358">
        <w:rPr>
          <w:rFonts w:ascii="Arial Narrow" w:eastAsia="Times New Roman" w:hAnsi="Arial Narrow" w:cs="Times New Roman"/>
          <w:sz w:val="24"/>
          <w:szCs w:val="24"/>
        </w:rPr>
        <w:t xml:space="preserve">οπικής </w:t>
      </w:r>
      <w:r w:rsidR="001B2DEB" w:rsidRPr="00520358">
        <w:rPr>
          <w:rFonts w:ascii="Arial Narrow" w:eastAsia="Times New Roman" w:hAnsi="Arial Narrow" w:cs="Times New Roman"/>
          <w:sz w:val="24"/>
          <w:szCs w:val="24"/>
        </w:rPr>
        <w:t>Κ</w:t>
      </w:r>
      <w:r w:rsidR="007F1063" w:rsidRPr="00520358">
        <w:rPr>
          <w:rFonts w:ascii="Arial Narrow" w:eastAsia="Times New Roman" w:hAnsi="Arial Narrow" w:cs="Times New Roman"/>
          <w:sz w:val="24"/>
          <w:szCs w:val="24"/>
        </w:rPr>
        <w:t xml:space="preserve">υβέρνησης να επιτρέψει πρώτη την </w:t>
      </w:r>
      <w:r w:rsidR="007F1063" w:rsidRPr="00520358">
        <w:rPr>
          <w:rFonts w:ascii="Arial Narrow" w:eastAsia="Times New Roman" w:hAnsi="Arial Narrow" w:cs="Times New Roman"/>
          <w:b/>
          <w:sz w:val="24"/>
          <w:szCs w:val="24"/>
        </w:rPr>
        <w:t>κατοχή γης από αλλοδαπούς</w:t>
      </w:r>
      <w:r w:rsidRPr="00520358">
        <w:rPr>
          <w:rFonts w:ascii="Arial Narrow" w:eastAsia="Times New Roman" w:hAnsi="Arial Narrow" w:cs="Times New Roman"/>
          <w:b/>
          <w:sz w:val="24"/>
          <w:szCs w:val="24"/>
        </w:rPr>
        <w:t>,</w:t>
      </w:r>
      <w:r w:rsidR="007F1063" w:rsidRPr="00520358">
        <w:rPr>
          <w:rFonts w:ascii="Arial Narrow" w:eastAsia="Times New Roman" w:hAnsi="Arial Narrow" w:cs="Times New Roman"/>
          <w:sz w:val="24"/>
          <w:szCs w:val="24"/>
        </w:rPr>
        <w:t xml:space="preserve"> ήδη από το 2004. </w:t>
      </w:r>
      <w:r w:rsidR="00D715D4" w:rsidRPr="00520358">
        <w:rPr>
          <w:rFonts w:ascii="Arial Narrow" w:eastAsia="Times New Roman" w:hAnsi="Arial Narrow" w:cs="Times New Roman"/>
          <w:sz w:val="24"/>
          <w:szCs w:val="24"/>
        </w:rPr>
        <w:t xml:space="preserve">Το </w:t>
      </w:r>
      <w:r w:rsidR="00D715D4" w:rsidRPr="00520358">
        <w:rPr>
          <w:rFonts w:ascii="Arial Narrow" w:eastAsia="Times New Roman" w:hAnsi="Arial Narrow" w:cs="Times New Roman"/>
          <w:b/>
          <w:sz w:val="24"/>
          <w:szCs w:val="24"/>
        </w:rPr>
        <w:t>ΑΕΠ</w:t>
      </w:r>
      <w:r w:rsidR="00D715D4" w:rsidRPr="00520358">
        <w:rPr>
          <w:rFonts w:ascii="Arial Narrow" w:eastAsia="Times New Roman" w:hAnsi="Arial Narrow" w:cs="Times New Roman"/>
          <w:sz w:val="24"/>
          <w:szCs w:val="24"/>
        </w:rPr>
        <w:t xml:space="preserve"> ανήλθε στα</w:t>
      </w:r>
      <w:r w:rsidR="00EE5B42" w:rsidRPr="00520358">
        <w:rPr>
          <w:rFonts w:ascii="Arial Narrow" w:eastAsia="Times New Roman" w:hAnsi="Arial Narrow" w:cs="Times New Roman"/>
          <w:sz w:val="24"/>
          <w:szCs w:val="24"/>
        </w:rPr>
        <w:t xml:space="preserve"> 33</w:t>
      </w:r>
      <w:r w:rsidR="00D715D4" w:rsidRPr="00520358">
        <w:rPr>
          <w:rFonts w:ascii="Arial Narrow" w:eastAsia="Times New Roman" w:hAnsi="Arial Narrow" w:cs="Times New Roman"/>
          <w:sz w:val="24"/>
          <w:szCs w:val="24"/>
        </w:rPr>
        <w:t xml:space="preserve"> δισεκ. </w:t>
      </w:r>
      <w:r w:rsidR="00BE18A5" w:rsidRPr="00520358">
        <w:rPr>
          <w:rFonts w:ascii="Arial Narrow" w:eastAsia="Times New Roman" w:hAnsi="Arial Narrow" w:cs="Times New Roman"/>
          <w:sz w:val="24"/>
          <w:szCs w:val="24"/>
        </w:rPr>
        <w:t>Ντίρχαμ</w:t>
      </w:r>
      <w:r w:rsidR="00D715D4" w:rsidRPr="00520358">
        <w:rPr>
          <w:rFonts w:ascii="Arial Narrow" w:eastAsia="Times New Roman" w:hAnsi="Arial Narrow" w:cs="Times New Roman"/>
          <w:sz w:val="24"/>
          <w:szCs w:val="24"/>
        </w:rPr>
        <w:t xml:space="preserve"> (</w:t>
      </w:r>
      <w:r w:rsidR="00D715D4" w:rsidRPr="00520358">
        <w:rPr>
          <w:rFonts w:ascii="Arial Narrow" w:eastAsia="Times New Roman" w:hAnsi="Arial Narrow" w:cs="Times New Roman"/>
          <w:b/>
          <w:sz w:val="24"/>
          <w:szCs w:val="24"/>
        </w:rPr>
        <w:t>$</w:t>
      </w:r>
      <w:r w:rsidR="00EE5B42" w:rsidRPr="00520358">
        <w:rPr>
          <w:rFonts w:ascii="Arial Narrow" w:eastAsia="Times New Roman" w:hAnsi="Arial Narrow" w:cs="Times New Roman"/>
          <w:b/>
          <w:sz w:val="24"/>
          <w:szCs w:val="24"/>
        </w:rPr>
        <w:t>9</w:t>
      </w:r>
      <w:r w:rsidR="00D715D4" w:rsidRPr="00520358">
        <w:rPr>
          <w:rFonts w:ascii="Arial Narrow" w:eastAsia="Times New Roman" w:hAnsi="Arial Narrow" w:cs="Times New Roman"/>
          <w:b/>
          <w:sz w:val="24"/>
          <w:szCs w:val="24"/>
        </w:rPr>
        <w:t xml:space="preserve"> </w:t>
      </w:r>
      <w:r w:rsidR="00133844" w:rsidRPr="00520358">
        <w:rPr>
          <w:rFonts w:ascii="Arial Narrow" w:eastAsia="Times New Roman" w:hAnsi="Arial Narrow" w:cs="Times New Roman"/>
          <w:b/>
          <w:sz w:val="24"/>
          <w:szCs w:val="24"/>
        </w:rPr>
        <w:t xml:space="preserve">δισεκ. </w:t>
      </w:r>
      <w:r w:rsidR="00D715D4" w:rsidRPr="00520358">
        <w:rPr>
          <w:rFonts w:ascii="Arial Narrow" w:eastAsia="Times New Roman" w:hAnsi="Arial Narrow" w:cs="Times New Roman"/>
          <w:b/>
          <w:sz w:val="24"/>
          <w:szCs w:val="24"/>
        </w:rPr>
        <w:t>)</w:t>
      </w:r>
      <w:r w:rsidR="00D715D4" w:rsidRPr="00520358">
        <w:rPr>
          <w:rFonts w:ascii="Arial Narrow" w:eastAsia="Times New Roman" w:hAnsi="Arial Narrow" w:cs="Times New Roman"/>
          <w:sz w:val="24"/>
          <w:szCs w:val="24"/>
        </w:rPr>
        <w:t xml:space="preserve"> το 202</w:t>
      </w:r>
      <w:r w:rsidR="00354CE3" w:rsidRPr="00520358">
        <w:rPr>
          <w:rFonts w:ascii="Arial Narrow" w:eastAsia="Times New Roman" w:hAnsi="Arial Narrow" w:cs="Times New Roman"/>
          <w:sz w:val="24"/>
          <w:szCs w:val="24"/>
        </w:rPr>
        <w:t>3</w:t>
      </w:r>
      <w:r w:rsidR="00D715D4" w:rsidRPr="00520358">
        <w:rPr>
          <w:rFonts w:ascii="Arial Narrow" w:eastAsia="Times New Roman" w:hAnsi="Arial Narrow" w:cs="Times New Roman"/>
          <w:sz w:val="24"/>
          <w:szCs w:val="24"/>
        </w:rPr>
        <w:t xml:space="preserve">. </w:t>
      </w:r>
      <w:r w:rsidR="007F1063" w:rsidRPr="00520358">
        <w:rPr>
          <w:rFonts w:ascii="Arial Narrow" w:eastAsia="Times New Roman" w:hAnsi="Arial Narrow" w:cs="Times New Roman"/>
          <w:sz w:val="24"/>
          <w:szCs w:val="24"/>
        </w:rPr>
        <w:t xml:space="preserve">Ο </w:t>
      </w:r>
      <w:r w:rsidR="00C921CC" w:rsidRPr="00520358">
        <w:rPr>
          <w:rFonts w:ascii="Arial Narrow" w:eastAsia="Times New Roman" w:hAnsi="Arial Narrow" w:cs="Times New Roman"/>
          <w:sz w:val="24"/>
          <w:szCs w:val="24"/>
        </w:rPr>
        <w:t xml:space="preserve">κλάδος </w:t>
      </w:r>
      <w:r w:rsidR="00C921CC" w:rsidRPr="00520358">
        <w:rPr>
          <w:rFonts w:ascii="Arial Narrow" w:eastAsia="Times New Roman" w:hAnsi="Arial Narrow" w:cs="Times New Roman"/>
          <w:b/>
          <w:sz w:val="24"/>
          <w:szCs w:val="24"/>
        </w:rPr>
        <w:t>κατασκευών και διαχείρισης ακινήτων</w:t>
      </w:r>
      <w:r w:rsidR="00C921CC" w:rsidRPr="00520358">
        <w:rPr>
          <w:rFonts w:ascii="Arial Narrow" w:eastAsia="Times New Roman" w:hAnsi="Arial Narrow" w:cs="Times New Roman"/>
          <w:sz w:val="24"/>
          <w:szCs w:val="24"/>
        </w:rPr>
        <w:t xml:space="preserve"> συμβάλλει περίπου στο </w:t>
      </w:r>
      <w:r w:rsidR="00C921CC" w:rsidRPr="00520358">
        <w:rPr>
          <w:rFonts w:ascii="Arial Narrow" w:eastAsia="Times New Roman" w:hAnsi="Arial Narrow" w:cs="Times New Roman"/>
          <w:b/>
          <w:sz w:val="24"/>
          <w:szCs w:val="24"/>
        </w:rPr>
        <w:t>1/3</w:t>
      </w:r>
      <w:r w:rsidR="00C921CC" w:rsidRPr="00520358">
        <w:rPr>
          <w:rFonts w:ascii="Arial Narrow" w:eastAsia="Times New Roman" w:hAnsi="Arial Narrow" w:cs="Times New Roman"/>
          <w:sz w:val="24"/>
          <w:szCs w:val="24"/>
        </w:rPr>
        <w:t xml:space="preserve"> του τοπικού </w:t>
      </w:r>
      <w:r w:rsidR="00C921CC" w:rsidRPr="00520358">
        <w:rPr>
          <w:rFonts w:ascii="Arial Narrow" w:eastAsia="Times New Roman" w:hAnsi="Arial Narrow" w:cs="Times New Roman"/>
          <w:b/>
          <w:sz w:val="24"/>
          <w:szCs w:val="24"/>
        </w:rPr>
        <w:t>ΑΕΠ</w:t>
      </w:r>
      <w:r w:rsidR="00C921CC" w:rsidRPr="00520358">
        <w:rPr>
          <w:rFonts w:ascii="Arial Narrow" w:eastAsia="Times New Roman" w:hAnsi="Arial Narrow" w:cs="Times New Roman"/>
          <w:sz w:val="24"/>
          <w:szCs w:val="24"/>
        </w:rPr>
        <w:t xml:space="preserve">, ακολουθούμενος από τους κλάδους της </w:t>
      </w:r>
      <w:r w:rsidR="00C921CC" w:rsidRPr="00520358">
        <w:rPr>
          <w:rFonts w:ascii="Arial Narrow" w:eastAsia="Times New Roman" w:hAnsi="Arial Narrow" w:cs="Times New Roman"/>
          <w:b/>
          <w:sz w:val="24"/>
          <w:szCs w:val="24"/>
        </w:rPr>
        <w:t>μεταποίησης</w:t>
      </w:r>
      <w:r w:rsidR="00C921CC" w:rsidRPr="00520358">
        <w:rPr>
          <w:rFonts w:ascii="Arial Narrow" w:eastAsia="Times New Roman" w:hAnsi="Arial Narrow" w:cs="Times New Roman"/>
          <w:sz w:val="24"/>
          <w:szCs w:val="24"/>
        </w:rPr>
        <w:t xml:space="preserve"> </w:t>
      </w:r>
      <w:r w:rsidR="00C921CC" w:rsidRPr="00520358">
        <w:rPr>
          <w:rFonts w:ascii="Arial Narrow" w:eastAsia="Times New Roman" w:hAnsi="Arial Narrow" w:cs="Times New Roman"/>
          <w:b/>
          <w:sz w:val="24"/>
          <w:szCs w:val="24"/>
        </w:rPr>
        <w:t>(19%)</w:t>
      </w:r>
      <w:r w:rsidR="00C921CC" w:rsidRPr="00520358">
        <w:rPr>
          <w:rFonts w:ascii="Arial Narrow" w:eastAsia="Times New Roman" w:hAnsi="Arial Narrow" w:cs="Times New Roman"/>
          <w:sz w:val="24"/>
          <w:szCs w:val="24"/>
        </w:rPr>
        <w:t xml:space="preserve"> και του </w:t>
      </w:r>
      <w:r w:rsidR="00C921CC" w:rsidRPr="00520358">
        <w:rPr>
          <w:rFonts w:ascii="Arial Narrow" w:eastAsia="Times New Roman" w:hAnsi="Arial Narrow" w:cs="Times New Roman"/>
          <w:b/>
          <w:sz w:val="24"/>
          <w:szCs w:val="24"/>
        </w:rPr>
        <w:t>εμπορίου (19%)</w:t>
      </w:r>
      <w:r w:rsidR="00C921CC" w:rsidRPr="00520358">
        <w:rPr>
          <w:rFonts w:ascii="Arial Narrow" w:eastAsia="Times New Roman" w:hAnsi="Arial Narrow" w:cs="Times New Roman"/>
          <w:sz w:val="24"/>
          <w:szCs w:val="24"/>
        </w:rPr>
        <w:t>.</w:t>
      </w:r>
      <w:r w:rsidRPr="00520358">
        <w:rPr>
          <w:rFonts w:ascii="Arial Narrow" w:eastAsia="Times New Roman" w:hAnsi="Arial Narrow" w:cs="Times New Roman"/>
          <w:sz w:val="24"/>
          <w:szCs w:val="24"/>
        </w:rPr>
        <w:t xml:space="preserve"> Το Εμιράτο δ</w:t>
      </w:r>
      <w:r w:rsidR="00CD130E" w:rsidRPr="00520358">
        <w:rPr>
          <w:rFonts w:ascii="Arial Narrow" w:eastAsia="Times New Roman" w:hAnsi="Arial Narrow" w:cs="Times New Roman"/>
          <w:sz w:val="24"/>
          <w:szCs w:val="24"/>
        </w:rPr>
        <w:t xml:space="preserve">ιαθέτει </w:t>
      </w:r>
      <w:r w:rsidR="00CD130E" w:rsidRPr="00520358">
        <w:rPr>
          <w:rFonts w:ascii="Arial Narrow" w:eastAsia="Times New Roman" w:hAnsi="Arial Narrow" w:cs="Times New Roman"/>
          <w:b/>
          <w:sz w:val="24"/>
          <w:szCs w:val="24"/>
        </w:rPr>
        <w:t>ανεπτυγμένη μεταποιητική δραστηριότητα</w:t>
      </w:r>
      <w:r w:rsidR="005746C5" w:rsidRPr="00520358">
        <w:rPr>
          <w:rFonts w:ascii="Arial Narrow" w:eastAsia="Times New Roman" w:hAnsi="Arial Narrow" w:cs="Times New Roman"/>
          <w:b/>
          <w:sz w:val="24"/>
          <w:szCs w:val="24"/>
        </w:rPr>
        <w:t>,</w:t>
      </w:r>
      <w:r w:rsidR="00CD130E" w:rsidRPr="00520358">
        <w:rPr>
          <w:rFonts w:ascii="Arial Narrow" w:eastAsia="Times New Roman" w:hAnsi="Arial Narrow" w:cs="Times New Roman"/>
          <w:sz w:val="24"/>
          <w:szCs w:val="24"/>
        </w:rPr>
        <w:t xml:space="preserve"> με αρκετά εργοστάσια να</w:t>
      </w:r>
      <w:r w:rsidR="009F4696" w:rsidRPr="00520358">
        <w:rPr>
          <w:rFonts w:ascii="Arial Narrow" w:eastAsia="Times New Roman" w:hAnsi="Arial Narrow" w:cs="Times New Roman"/>
          <w:sz w:val="24"/>
          <w:szCs w:val="24"/>
        </w:rPr>
        <w:t xml:space="preserve"> </w:t>
      </w:r>
      <w:r w:rsidR="00CD130E" w:rsidRPr="00520358">
        <w:rPr>
          <w:rFonts w:ascii="Arial Narrow" w:eastAsia="Times New Roman" w:hAnsi="Arial Narrow" w:cs="Times New Roman"/>
          <w:sz w:val="24"/>
          <w:szCs w:val="24"/>
        </w:rPr>
        <w:t xml:space="preserve">παράγουν μια σειρά από αγαθά, όπως </w:t>
      </w:r>
      <w:r w:rsidR="00C921CC" w:rsidRPr="00520358">
        <w:rPr>
          <w:rFonts w:ascii="Arial Narrow" w:eastAsia="Times New Roman" w:hAnsi="Arial Narrow" w:cs="Times New Roman"/>
          <w:sz w:val="24"/>
          <w:szCs w:val="24"/>
        </w:rPr>
        <w:t xml:space="preserve">προϊόντα μετάλλου, </w:t>
      </w:r>
      <w:r w:rsidR="00CD130E" w:rsidRPr="00520358">
        <w:rPr>
          <w:rFonts w:ascii="Arial Narrow" w:eastAsia="Times New Roman" w:hAnsi="Arial Narrow" w:cs="Times New Roman"/>
          <w:sz w:val="24"/>
          <w:szCs w:val="24"/>
        </w:rPr>
        <w:t xml:space="preserve">τρόφιμα, (μη αλκοολούχα) ποτά, καπνό, υφάσματα, δερμάτινα είδη και προϊόντα χαρτιού. </w:t>
      </w:r>
    </w:p>
    <w:p w14:paraId="50EEDFBB" w14:textId="0D0AB8B6" w:rsidR="007618D6" w:rsidRPr="00520358" w:rsidRDefault="00CD130E" w:rsidP="001A4715">
      <w:pPr>
        <w:suppressAutoHyphens/>
        <w:autoSpaceDN w:val="0"/>
        <w:ind w:firstLine="567"/>
        <w:jc w:val="both"/>
        <w:rPr>
          <w:rFonts w:ascii="Arial Narrow" w:eastAsia="Times New Roman" w:hAnsi="Arial Narrow" w:cs="Times New Roman"/>
          <w:sz w:val="24"/>
          <w:szCs w:val="24"/>
        </w:rPr>
      </w:pPr>
      <w:r w:rsidRPr="00520358">
        <w:rPr>
          <w:rFonts w:ascii="Arial Narrow" w:eastAsia="Times New Roman" w:hAnsi="Arial Narrow" w:cs="Times New Roman"/>
          <w:sz w:val="24"/>
          <w:szCs w:val="24"/>
        </w:rPr>
        <w:t xml:space="preserve">Οι φιλοδοξίες της </w:t>
      </w:r>
      <w:r w:rsidR="001A4715" w:rsidRPr="00520358">
        <w:rPr>
          <w:rFonts w:ascii="Arial Narrow" w:eastAsia="Times New Roman" w:hAnsi="Arial Narrow" w:cs="Times New Roman"/>
          <w:sz w:val="24"/>
          <w:szCs w:val="24"/>
        </w:rPr>
        <w:t>Τ</w:t>
      </w:r>
      <w:r w:rsidRPr="00520358">
        <w:rPr>
          <w:rFonts w:ascii="Arial Narrow" w:eastAsia="Times New Roman" w:hAnsi="Arial Narrow" w:cs="Times New Roman"/>
          <w:sz w:val="24"/>
          <w:szCs w:val="24"/>
        </w:rPr>
        <w:t xml:space="preserve">οπικής </w:t>
      </w:r>
      <w:r w:rsidR="001A4715" w:rsidRPr="00520358">
        <w:rPr>
          <w:rFonts w:ascii="Arial Narrow" w:eastAsia="Times New Roman" w:hAnsi="Arial Narrow" w:cs="Times New Roman"/>
          <w:sz w:val="24"/>
          <w:szCs w:val="24"/>
        </w:rPr>
        <w:t>Κ</w:t>
      </w:r>
      <w:r w:rsidRPr="00520358">
        <w:rPr>
          <w:rFonts w:ascii="Arial Narrow" w:eastAsia="Times New Roman" w:hAnsi="Arial Narrow" w:cs="Times New Roman"/>
          <w:sz w:val="24"/>
          <w:szCs w:val="24"/>
        </w:rPr>
        <w:t xml:space="preserve">υβέρνησης αποτυπώνονται στην απόφασή της το 2001 να κατασκευάσει </w:t>
      </w:r>
      <w:r w:rsidR="001A4715" w:rsidRPr="00520358">
        <w:rPr>
          <w:rFonts w:ascii="Arial Narrow" w:eastAsia="Times New Roman" w:hAnsi="Arial Narrow" w:cs="Times New Roman"/>
          <w:b/>
          <w:sz w:val="24"/>
          <w:szCs w:val="24"/>
        </w:rPr>
        <w:t>δ</w:t>
      </w:r>
      <w:r w:rsidRPr="00520358">
        <w:rPr>
          <w:rFonts w:ascii="Arial Narrow" w:eastAsia="Times New Roman" w:hAnsi="Arial Narrow" w:cs="Times New Roman"/>
          <w:b/>
          <w:sz w:val="24"/>
          <w:szCs w:val="24"/>
        </w:rPr>
        <w:t xml:space="preserve">ιεθνές </w:t>
      </w:r>
      <w:r w:rsidR="001A4715" w:rsidRPr="00520358">
        <w:rPr>
          <w:rFonts w:ascii="Arial Narrow" w:eastAsia="Times New Roman" w:hAnsi="Arial Narrow" w:cs="Times New Roman"/>
          <w:b/>
          <w:sz w:val="24"/>
          <w:szCs w:val="24"/>
        </w:rPr>
        <w:t>α</w:t>
      </w:r>
      <w:r w:rsidRPr="00520358">
        <w:rPr>
          <w:rFonts w:ascii="Arial Narrow" w:eastAsia="Times New Roman" w:hAnsi="Arial Narrow" w:cs="Times New Roman"/>
          <w:b/>
          <w:sz w:val="24"/>
          <w:szCs w:val="24"/>
        </w:rPr>
        <w:t>εροδρόμιο</w:t>
      </w:r>
      <w:r w:rsidRPr="00520358">
        <w:rPr>
          <w:rFonts w:ascii="Arial Narrow" w:eastAsia="Times New Roman" w:hAnsi="Arial Narrow" w:cs="Times New Roman"/>
          <w:sz w:val="24"/>
          <w:szCs w:val="24"/>
        </w:rPr>
        <w:t xml:space="preserve"> στο </w:t>
      </w:r>
      <w:r w:rsidRPr="00520358">
        <w:rPr>
          <w:rFonts w:ascii="Arial Narrow" w:eastAsia="Times New Roman" w:hAnsi="Arial Narrow" w:cs="Times New Roman"/>
          <w:sz w:val="24"/>
          <w:szCs w:val="24"/>
          <w:lang w:val="en-US"/>
        </w:rPr>
        <w:t>Ajman</w:t>
      </w:r>
      <w:r w:rsidRPr="00520358">
        <w:rPr>
          <w:rFonts w:ascii="Arial Narrow" w:eastAsia="Times New Roman" w:hAnsi="Arial Narrow" w:cs="Times New Roman"/>
          <w:sz w:val="24"/>
          <w:szCs w:val="24"/>
        </w:rPr>
        <w:t xml:space="preserve">, παρότι το αεροδρόμιο της </w:t>
      </w:r>
      <w:r w:rsidRPr="00520358">
        <w:rPr>
          <w:rFonts w:ascii="Arial Narrow" w:eastAsia="Times New Roman" w:hAnsi="Arial Narrow" w:cs="Times New Roman"/>
          <w:sz w:val="24"/>
          <w:szCs w:val="24"/>
          <w:lang w:val="en-US"/>
        </w:rPr>
        <w:t>Sharjah</w:t>
      </w:r>
      <w:r w:rsidRPr="00520358">
        <w:rPr>
          <w:rFonts w:ascii="Arial Narrow" w:eastAsia="Times New Roman" w:hAnsi="Arial Narrow" w:cs="Times New Roman"/>
          <w:sz w:val="24"/>
          <w:szCs w:val="24"/>
        </w:rPr>
        <w:t xml:space="preserve"> και του </w:t>
      </w:r>
      <w:r w:rsidR="009F4696" w:rsidRPr="00520358">
        <w:rPr>
          <w:rFonts w:ascii="Arial Narrow" w:eastAsia="Times New Roman" w:hAnsi="Arial Narrow" w:cs="Times New Roman"/>
          <w:sz w:val="24"/>
          <w:szCs w:val="24"/>
          <w:lang w:val="en-US"/>
        </w:rPr>
        <w:t>Dubai</w:t>
      </w:r>
      <w:r w:rsidRPr="00520358">
        <w:rPr>
          <w:rFonts w:ascii="Arial Narrow" w:eastAsia="Times New Roman" w:hAnsi="Arial Narrow" w:cs="Times New Roman"/>
          <w:sz w:val="24"/>
          <w:szCs w:val="24"/>
        </w:rPr>
        <w:t xml:space="preserve"> είναι μόλις δεκάδες χιλιόμετρα μακριά. Η κατασκευή του έχει λάβει συνεχόμενες </w:t>
      </w:r>
      <w:r w:rsidRPr="00520358">
        <w:rPr>
          <w:rFonts w:ascii="Arial Narrow" w:eastAsia="Times New Roman" w:hAnsi="Arial Narrow" w:cs="Times New Roman"/>
          <w:b/>
          <w:sz w:val="24"/>
          <w:szCs w:val="24"/>
        </w:rPr>
        <w:t>αναβολές</w:t>
      </w:r>
      <w:r w:rsidRPr="00520358">
        <w:rPr>
          <w:rFonts w:ascii="Arial Narrow" w:eastAsia="Times New Roman" w:hAnsi="Arial Narrow" w:cs="Times New Roman"/>
          <w:sz w:val="24"/>
          <w:szCs w:val="24"/>
        </w:rPr>
        <w:t>.</w:t>
      </w:r>
    </w:p>
    <w:p w14:paraId="52785A9B" w14:textId="66B23BEA" w:rsidR="00AE5F31" w:rsidRPr="002E382A" w:rsidRDefault="00022BD6" w:rsidP="005B3B1A">
      <w:pPr>
        <w:rPr>
          <w:rFonts w:ascii="Arial Narrow" w:eastAsia="Times New Roman" w:hAnsi="Arial Narrow" w:cs="Times New Roman"/>
          <w:b/>
          <w:color w:val="1F497D" w:themeColor="text2"/>
          <w:sz w:val="28"/>
          <w:szCs w:val="28"/>
        </w:rPr>
      </w:pPr>
      <w:bookmarkStart w:id="31" w:name="_Toc496023362"/>
      <w:bookmarkStart w:id="32" w:name="_Toc496025313"/>
      <w:bookmarkStart w:id="33" w:name="_Toc496026314"/>
      <w:bookmarkStart w:id="34" w:name="_Toc496097571"/>
      <w:bookmarkStart w:id="35" w:name="_Toc496099480"/>
      <w:bookmarkStart w:id="36" w:name="_Toc14342461"/>
      <w:r w:rsidRPr="00022BD6">
        <w:rPr>
          <w:rFonts w:ascii="Arial Narrow" w:eastAsia="Calibri" w:hAnsi="Arial Narrow" w:cs="Times New Roman"/>
          <w:b/>
          <w:color w:val="1F497D" w:themeColor="text2"/>
          <w:sz w:val="28"/>
          <w:szCs w:val="28"/>
        </w:rPr>
        <w:t xml:space="preserve">30.9. </w:t>
      </w:r>
      <w:r w:rsidR="007600A1">
        <w:rPr>
          <w:rFonts w:ascii="Arial Narrow" w:eastAsia="Calibri" w:hAnsi="Arial Narrow" w:cs="Times New Roman"/>
          <w:b/>
          <w:color w:val="1F497D" w:themeColor="text2"/>
          <w:sz w:val="28"/>
          <w:szCs w:val="28"/>
        </w:rPr>
        <w:t xml:space="preserve">ΕΜΙΡΑΤΟ </w:t>
      </w:r>
      <w:r w:rsidR="009F4696" w:rsidRPr="002E382A">
        <w:rPr>
          <w:rFonts w:ascii="Arial Narrow" w:eastAsia="Calibri" w:hAnsi="Arial Narrow" w:cs="Times New Roman"/>
          <w:b/>
          <w:color w:val="1F497D" w:themeColor="text2"/>
          <w:sz w:val="28"/>
          <w:szCs w:val="28"/>
          <w:lang w:val="en-US"/>
        </w:rPr>
        <w:t>Umm</w:t>
      </w:r>
      <w:r w:rsidR="009F4696" w:rsidRPr="002E382A">
        <w:rPr>
          <w:rFonts w:ascii="Arial Narrow" w:eastAsia="Calibri" w:hAnsi="Arial Narrow" w:cs="Times New Roman"/>
          <w:b/>
          <w:color w:val="1F497D" w:themeColor="text2"/>
          <w:sz w:val="28"/>
          <w:szCs w:val="28"/>
        </w:rPr>
        <w:t xml:space="preserve"> </w:t>
      </w:r>
      <w:r w:rsidR="009F4696" w:rsidRPr="002E382A">
        <w:rPr>
          <w:rFonts w:ascii="Arial Narrow" w:eastAsia="Calibri" w:hAnsi="Arial Narrow" w:cs="Times New Roman"/>
          <w:b/>
          <w:color w:val="1F497D" w:themeColor="text2"/>
          <w:sz w:val="28"/>
          <w:szCs w:val="28"/>
          <w:lang w:val="en-US"/>
        </w:rPr>
        <w:t>Al</w:t>
      </w:r>
      <w:r w:rsidR="009F4696" w:rsidRPr="002E382A">
        <w:rPr>
          <w:rFonts w:ascii="Arial Narrow" w:eastAsia="Calibri" w:hAnsi="Arial Narrow" w:cs="Times New Roman"/>
          <w:b/>
          <w:color w:val="1F497D" w:themeColor="text2"/>
          <w:sz w:val="28"/>
          <w:szCs w:val="28"/>
        </w:rPr>
        <w:t xml:space="preserve"> </w:t>
      </w:r>
      <w:r w:rsidR="009F4696" w:rsidRPr="002E382A">
        <w:rPr>
          <w:rFonts w:ascii="Arial Narrow" w:eastAsia="Calibri" w:hAnsi="Arial Narrow" w:cs="Times New Roman"/>
          <w:b/>
          <w:color w:val="1F497D" w:themeColor="text2"/>
          <w:sz w:val="28"/>
          <w:szCs w:val="28"/>
          <w:lang w:val="en-US"/>
        </w:rPr>
        <w:t>Quwain</w:t>
      </w:r>
      <w:r w:rsidR="009F4696" w:rsidRPr="002E382A">
        <w:rPr>
          <w:rFonts w:ascii="Arial Narrow" w:eastAsia="Calibri" w:hAnsi="Arial Narrow" w:cs="Times New Roman"/>
          <w:b/>
          <w:color w:val="1F497D" w:themeColor="text2"/>
          <w:sz w:val="28"/>
          <w:szCs w:val="28"/>
        </w:rPr>
        <w:t xml:space="preserve"> (</w:t>
      </w:r>
      <w:r w:rsidR="00AE5F31" w:rsidRPr="002E382A">
        <w:rPr>
          <w:rFonts w:ascii="Arial Narrow" w:eastAsia="Calibri" w:hAnsi="Arial Narrow" w:cs="Times New Roman"/>
          <w:b/>
          <w:color w:val="1F497D" w:themeColor="text2"/>
          <w:sz w:val="28"/>
          <w:szCs w:val="28"/>
        </w:rPr>
        <w:t>Ουμ Αλ Κουέιν</w:t>
      </w:r>
      <w:bookmarkEnd w:id="31"/>
      <w:bookmarkEnd w:id="32"/>
      <w:bookmarkEnd w:id="33"/>
      <w:bookmarkEnd w:id="34"/>
      <w:bookmarkEnd w:id="35"/>
      <w:bookmarkEnd w:id="36"/>
      <w:r w:rsidR="009F4696" w:rsidRPr="002E382A">
        <w:rPr>
          <w:rFonts w:ascii="Arial Narrow" w:eastAsia="Calibri" w:hAnsi="Arial Narrow" w:cs="Times New Roman"/>
          <w:b/>
          <w:color w:val="1F497D" w:themeColor="text2"/>
          <w:sz w:val="28"/>
          <w:szCs w:val="28"/>
        </w:rPr>
        <w:t>)</w:t>
      </w:r>
    </w:p>
    <w:p w14:paraId="7AFCDCAE" w14:textId="63959E26" w:rsidR="00DF51D9" w:rsidRPr="00520358" w:rsidRDefault="00AE5F31" w:rsidP="00D32119">
      <w:pPr>
        <w:suppressAutoHyphens/>
        <w:autoSpaceDN w:val="0"/>
        <w:ind w:firstLine="567"/>
        <w:jc w:val="both"/>
        <w:rPr>
          <w:rFonts w:ascii="Arial Narrow" w:eastAsia="Times New Roman" w:hAnsi="Arial Narrow" w:cs="Times New Roman"/>
          <w:sz w:val="24"/>
          <w:szCs w:val="24"/>
        </w:rPr>
      </w:pPr>
      <w:r w:rsidRPr="00520358">
        <w:rPr>
          <w:rFonts w:ascii="Arial Narrow" w:eastAsia="Times New Roman" w:hAnsi="Arial Narrow" w:cs="Times New Roman"/>
          <w:sz w:val="24"/>
          <w:szCs w:val="24"/>
        </w:rPr>
        <w:t xml:space="preserve">Το </w:t>
      </w:r>
      <w:r w:rsidR="00493136" w:rsidRPr="00520358">
        <w:rPr>
          <w:rFonts w:ascii="Arial Narrow" w:eastAsia="Times New Roman" w:hAnsi="Arial Narrow" w:cs="Times New Roman"/>
          <w:sz w:val="24"/>
          <w:szCs w:val="24"/>
          <w:lang w:val="en-US"/>
        </w:rPr>
        <w:t>E</w:t>
      </w:r>
      <w:r w:rsidRPr="00520358">
        <w:rPr>
          <w:rFonts w:ascii="Arial Narrow" w:eastAsia="Times New Roman" w:hAnsi="Arial Narrow" w:cs="Times New Roman"/>
          <w:sz w:val="24"/>
          <w:szCs w:val="24"/>
        </w:rPr>
        <w:t>μιράτο</w:t>
      </w:r>
      <w:r w:rsidR="007A239E" w:rsidRPr="00520358">
        <w:rPr>
          <w:rFonts w:ascii="Arial Narrow" w:eastAsia="Times New Roman" w:hAnsi="Arial Narrow" w:cs="Times New Roman"/>
          <w:sz w:val="24"/>
          <w:szCs w:val="24"/>
        </w:rPr>
        <w:t xml:space="preserve"> είναι το </w:t>
      </w:r>
      <w:r w:rsidR="00493136" w:rsidRPr="00520358">
        <w:rPr>
          <w:rFonts w:ascii="Arial Narrow" w:eastAsia="Times New Roman" w:hAnsi="Arial Narrow" w:cs="Times New Roman"/>
          <w:b/>
          <w:sz w:val="24"/>
          <w:szCs w:val="24"/>
        </w:rPr>
        <w:t>2</w:t>
      </w:r>
      <w:r w:rsidR="00493136" w:rsidRPr="00520358">
        <w:rPr>
          <w:rFonts w:ascii="Arial Narrow" w:eastAsia="Times New Roman" w:hAnsi="Arial Narrow" w:cs="Times New Roman"/>
          <w:b/>
          <w:sz w:val="24"/>
          <w:szCs w:val="24"/>
          <w:vertAlign w:val="superscript"/>
          <w:lang w:val="en-US"/>
        </w:rPr>
        <w:t>o</w:t>
      </w:r>
      <w:r w:rsidR="00493136" w:rsidRPr="00520358">
        <w:rPr>
          <w:rFonts w:ascii="Arial Narrow" w:eastAsia="Times New Roman" w:hAnsi="Arial Narrow" w:cs="Times New Roman"/>
          <w:b/>
          <w:sz w:val="24"/>
          <w:szCs w:val="24"/>
        </w:rPr>
        <w:t xml:space="preserve"> </w:t>
      </w:r>
      <w:r w:rsidR="007A239E" w:rsidRPr="00520358">
        <w:rPr>
          <w:rFonts w:ascii="Arial Narrow" w:eastAsia="Times New Roman" w:hAnsi="Arial Narrow" w:cs="Times New Roman"/>
          <w:b/>
          <w:sz w:val="24"/>
          <w:szCs w:val="24"/>
        </w:rPr>
        <w:t>μικρότερο</w:t>
      </w:r>
      <w:r w:rsidR="007A239E" w:rsidRPr="00520358">
        <w:rPr>
          <w:rFonts w:ascii="Arial Narrow" w:eastAsia="Times New Roman" w:hAnsi="Arial Narrow" w:cs="Times New Roman"/>
          <w:sz w:val="24"/>
          <w:szCs w:val="24"/>
        </w:rPr>
        <w:t xml:space="preserve"> σε έκταση </w:t>
      </w:r>
      <w:r w:rsidR="001A4E09" w:rsidRPr="00520358">
        <w:rPr>
          <w:rFonts w:ascii="Arial Narrow" w:eastAsia="Times New Roman" w:hAnsi="Arial Narrow" w:cs="Times New Roman"/>
          <w:sz w:val="24"/>
          <w:szCs w:val="24"/>
        </w:rPr>
        <w:t>(</w:t>
      </w:r>
      <w:r w:rsidR="001A4E09" w:rsidRPr="00520358">
        <w:rPr>
          <w:rFonts w:ascii="Arial Narrow" w:eastAsia="Times New Roman" w:hAnsi="Arial Narrow" w:cs="Times New Roman"/>
          <w:b/>
          <w:sz w:val="24"/>
          <w:szCs w:val="24"/>
        </w:rPr>
        <w:t>1% των ΗΑΕ</w:t>
      </w:r>
      <w:r w:rsidR="001A4E09" w:rsidRPr="00520358">
        <w:rPr>
          <w:rFonts w:ascii="Arial Narrow" w:eastAsia="Times New Roman" w:hAnsi="Arial Narrow" w:cs="Times New Roman"/>
          <w:sz w:val="24"/>
          <w:szCs w:val="24"/>
        </w:rPr>
        <w:t xml:space="preserve">) </w:t>
      </w:r>
      <w:r w:rsidR="007A239E" w:rsidRPr="00520358">
        <w:rPr>
          <w:rFonts w:ascii="Arial Narrow" w:eastAsia="Times New Roman" w:hAnsi="Arial Narrow" w:cs="Times New Roman"/>
          <w:sz w:val="24"/>
          <w:szCs w:val="24"/>
        </w:rPr>
        <w:t xml:space="preserve">και το </w:t>
      </w:r>
      <w:r w:rsidR="007A239E" w:rsidRPr="00520358">
        <w:rPr>
          <w:rFonts w:ascii="Arial Narrow" w:eastAsia="Times New Roman" w:hAnsi="Arial Narrow" w:cs="Times New Roman"/>
          <w:b/>
          <w:sz w:val="24"/>
          <w:szCs w:val="24"/>
        </w:rPr>
        <w:t>μικρότερο σε πληθυσμό</w:t>
      </w:r>
      <w:r w:rsidR="007A239E" w:rsidRPr="00520358">
        <w:rPr>
          <w:rFonts w:ascii="Arial Narrow" w:eastAsia="Times New Roman" w:hAnsi="Arial Narrow" w:cs="Times New Roman"/>
          <w:sz w:val="24"/>
          <w:szCs w:val="24"/>
        </w:rPr>
        <w:t xml:space="preserve"> (πε</w:t>
      </w:r>
      <w:r w:rsidR="00493136" w:rsidRPr="00520358">
        <w:rPr>
          <w:rFonts w:ascii="Arial Narrow" w:eastAsia="Times New Roman" w:hAnsi="Arial Narrow" w:cs="Times New Roman"/>
          <w:sz w:val="24"/>
          <w:szCs w:val="24"/>
        </w:rPr>
        <w:t>ρίπου</w:t>
      </w:r>
      <w:r w:rsidR="007A239E" w:rsidRPr="00520358">
        <w:rPr>
          <w:rFonts w:ascii="Arial Narrow" w:eastAsia="Times New Roman" w:hAnsi="Arial Narrow" w:cs="Times New Roman"/>
          <w:sz w:val="24"/>
          <w:szCs w:val="24"/>
        </w:rPr>
        <w:t xml:space="preserve"> </w:t>
      </w:r>
      <w:r w:rsidR="007A239E" w:rsidRPr="00520358">
        <w:rPr>
          <w:rFonts w:ascii="Arial Narrow" w:eastAsia="Times New Roman" w:hAnsi="Arial Narrow" w:cs="Times New Roman"/>
          <w:b/>
          <w:sz w:val="24"/>
          <w:szCs w:val="24"/>
        </w:rPr>
        <w:t>70.000 κάτοικοι</w:t>
      </w:r>
      <w:r w:rsidR="007A239E" w:rsidRPr="00520358">
        <w:rPr>
          <w:rFonts w:ascii="Arial Narrow" w:eastAsia="Times New Roman" w:hAnsi="Arial Narrow" w:cs="Times New Roman"/>
          <w:sz w:val="24"/>
          <w:szCs w:val="24"/>
        </w:rPr>
        <w:t>).</w:t>
      </w:r>
      <w:r w:rsidRPr="00520358">
        <w:rPr>
          <w:rFonts w:ascii="Arial Narrow" w:eastAsia="Times New Roman" w:hAnsi="Arial Narrow" w:cs="Times New Roman"/>
          <w:sz w:val="24"/>
          <w:szCs w:val="24"/>
        </w:rPr>
        <w:t xml:space="preserve"> </w:t>
      </w:r>
      <w:r w:rsidR="00DF51D9" w:rsidRPr="00520358">
        <w:rPr>
          <w:rFonts w:ascii="Arial Narrow" w:eastAsia="Times New Roman" w:hAnsi="Arial Narrow" w:cs="Times New Roman"/>
          <w:sz w:val="24"/>
          <w:szCs w:val="24"/>
        </w:rPr>
        <w:t>Η</w:t>
      </w:r>
      <w:r w:rsidR="001A4E09" w:rsidRPr="00520358">
        <w:rPr>
          <w:rFonts w:ascii="Arial Narrow" w:eastAsia="Times New Roman" w:hAnsi="Arial Narrow" w:cs="Times New Roman"/>
          <w:sz w:val="24"/>
          <w:szCs w:val="24"/>
        </w:rPr>
        <w:t xml:space="preserve"> </w:t>
      </w:r>
      <w:r w:rsidR="001A4E09" w:rsidRPr="00520358">
        <w:rPr>
          <w:rFonts w:ascii="Arial Narrow" w:eastAsia="Times New Roman" w:hAnsi="Arial Narrow" w:cs="Times New Roman"/>
          <w:b/>
          <w:sz w:val="24"/>
          <w:szCs w:val="24"/>
        </w:rPr>
        <w:t>αλιεία</w:t>
      </w:r>
      <w:r w:rsidR="001A4E09" w:rsidRPr="00520358">
        <w:rPr>
          <w:rFonts w:ascii="Arial Narrow" w:eastAsia="Times New Roman" w:hAnsi="Arial Narrow" w:cs="Times New Roman"/>
          <w:sz w:val="24"/>
          <w:szCs w:val="24"/>
        </w:rPr>
        <w:t xml:space="preserve"> και η</w:t>
      </w:r>
      <w:r w:rsidR="00DF51D9" w:rsidRPr="00520358">
        <w:rPr>
          <w:rFonts w:ascii="Arial Narrow" w:eastAsia="Times New Roman" w:hAnsi="Arial Narrow" w:cs="Times New Roman"/>
          <w:sz w:val="24"/>
          <w:szCs w:val="24"/>
        </w:rPr>
        <w:t xml:space="preserve"> </w:t>
      </w:r>
      <w:r w:rsidR="00DF51D9" w:rsidRPr="00520358">
        <w:rPr>
          <w:rFonts w:ascii="Arial Narrow" w:eastAsia="Times New Roman" w:hAnsi="Arial Narrow" w:cs="Times New Roman"/>
          <w:b/>
          <w:sz w:val="24"/>
          <w:szCs w:val="24"/>
        </w:rPr>
        <w:t>γεωργία</w:t>
      </w:r>
      <w:r w:rsidR="00DF51D9" w:rsidRPr="00520358">
        <w:rPr>
          <w:rFonts w:ascii="Arial Narrow" w:eastAsia="Times New Roman" w:hAnsi="Arial Narrow" w:cs="Times New Roman"/>
          <w:sz w:val="24"/>
          <w:szCs w:val="24"/>
        </w:rPr>
        <w:t xml:space="preserve"> αποτελ</w:t>
      </w:r>
      <w:r w:rsidR="00493136" w:rsidRPr="00520358">
        <w:rPr>
          <w:rFonts w:ascii="Arial Narrow" w:eastAsia="Times New Roman" w:hAnsi="Arial Narrow" w:cs="Times New Roman"/>
          <w:sz w:val="24"/>
          <w:szCs w:val="24"/>
        </w:rPr>
        <w:t>ούν</w:t>
      </w:r>
      <w:r w:rsidR="00DF51D9" w:rsidRPr="00520358">
        <w:rPr>
          <w:rFonts w:ascii="Arial Narrow" w:eastAsia="Times New Roman" w:hAnsi="Arial Narrow" w:cs="Times New Roman"/>
          <w:sz w:val="24"/>
          <w:szCs w:val="24"/>
        </w:rPr>
        <w:t xml:space="preserve"> σημαντικό κομμάτι της τοπικής οικονομίας</w:t>
      </w:r>
      <w:r w:rsidR="00482F15" w:rsidRPr="00520358">
        <w:rPr>
          <w:rFonts w:ascii="Arial Narrow" w:eastAsia="Times New Roman" w:hAnsi="Arial Narrow" w:cs="Times New Roman"/>
          <w:sz w:val="24"/>
          <w:szCs w:val="24"/>
        </w:rPr>
        <w:t>,</w:t>
      </w:r>
      <w:r w:rsidR="00DF51D9" w:rsidRPr="00520358">
        <w:rPr>
          <w:rFonts w:ascii="Arial Narrow" w:eastAsia="Times New Roman" w:hAnsi="Arial Narrow" w:cs="Times New Roman"/>
          <w:sz w:val="24"/>
          <w:szCs w:val="24"/>
        </w:rPr>
        <w:t xml:space="preserve"> με μεγάλη ποικιλία καλλιεργούμενων προϊόντων. Διαθέτει, επίσης, μεγάλο </w:t>
      </w:r>
      <w:r w:rsidR="00DF51D9" w:rsidRPr="00520358">
        <w:rPr>
          <w:rFonts w:ascii="Arial Narrow" w:eastAsia="Times New Roman" w:hAnsi="Arial Narrow" w:cs="Times New Roman"/>
          <w:b/>
          <w:sz w:val="24"/>
          <w:szCs w:val="24"/>
        </w:rPr>
        <w:t>εκτροφείο πουλερικών</w:t>
      </w:r>
      <w:r w:rsidR="00DF51D9" w:rsidRPr="00520358">
        <w:rPr>
          <w:rFonts w:ascii="Arial Narrow" w:eastAsia="Times New Roman" w:hAnsi="Arial Narrow" w:cs="Times New Roman"/>
          <w:sz w:val="24"/>
          <w:szCs w:val="24"/>
        </w:rPr>
        <w:t xml:space="preserve">. </w:t>
      </w:r>
    </w:p>
    <w:p w14:paraId="42426532" w14:textId="4537FD42" w:rsidR="002E382A" w:rsidRPr="00520358" w:rsidRDefault="009C37EB" w:rsidP="000E51EB">
      <w:pPr>
        <w:suppressAutoHyphens/>
        <w:autoSpaceDN w:val="0"/>
        <w:ind w:firstLine="567"/>
        <w:jc w:val="both"/>
        <w:rPr>
          <w:rFonts w:ascii="Arial Narrow" w:eastAsia="Times New Roman" w:hAnsi="Arial Narrow" w:cs="Times New Roman"/>
          <w:sz w:val="24"/>
          <w:szCs w:val="24"/>
        </w:rPr>
      </w:pPr>
      <w:r w:rsidRPr="00520358">
        <w:rPr>
          <w:rFonts w:ascii="Arial Narrow" w:eastAsia="Times New Roman" w:hAnsi="Arial Narrow" w:cs="Times New Roman"/>
          <w:sz w:val="24"/>
          <w:szCs w:val="24"/>
        </w:rPr>
        <w:t>Επ</w:t>
      </w:r>
      <w:r w:rsidR="00A110CF" w:rsidRPr="00520358">
        <w:rPr>
          <w:rFonts w:ascii="Arial Narrow" w:eastAsia="Times New Roman" w:hAnsi="Arial Narrow" w:cs="Times New Roman"/>
          <w:sz w:val="24"/>
          <w:szCs w:val="24"/>
        </w:rPr>
        <w:t>ιπλέον, δ</w:t>
      </w:r>
      <w:r w:rsidR="00AE5F31" w:rsidRPr="00520358">
        <w:rPr>
          <w:rFonts w:ascii="Arial Narrow" w:eastAsia="Times New Roman" w:hAnsi="Arial Narrow" w:cs="Times New Roman"/>
          <w:sz w:val="24"/>
          <w:szCs w:val="24"/>
        </w:rPr>
        <w:t xml:space="preserve">ιαθέτει </w:t>
      </w:r>
      <w:r w:rsidR="00AE5F31" w:rsidRPr="00520358">
        <w:rPr>
          <w:rFonts w:ascii="Arial Narrow" w:eastAsia="Times New Roman" w:hAnsi="Arial Narrow" w:cs="Times New Roman"/>
          <w:b/>
          <w:sz w:val="24"/>
          <w:szCs w:val="24"/>
        </w:rPr>
        <w:t>εργοστάσιο τσιμέντου</w:t>
      </w:r>
      <w:r w:rsidR="007A239E" w:rsidRPr="00520358">
        <w:rPr>
          <w:rFonts w:ascii="Arial Narrow" w:eastAsia="Times New Roman" w:hAnsi="Arial Narrow" w:cs="Times New Roman"/>
          <w:sz w:val="24"/>
          <w:szCs w:val="24"/>
        </w:rPr>
        <w:t xml:space="preserve"> και</w:t>
      </w:r>
      <w:r w:rsidR="00AE5F31" w:rsidRPr="00520358">
        <w:rPr>
          <w:rFonts w:ascii="Arial Narrow" w:eastAsia="Times New Roman" w:hAnsi="Arial Narrow" w:cs="Times New Roman"/>
          <w:sz w:val="24"/>
          <w:szCs w:val="24"/>
        </w:rPr>
        <w:t xml:space="preserve"> βιομηχανικές μονάδες που παράγουν </w:t>
      </w:r>
      <w:r w:rsidR="00AE5F31" w:rsidRPr="00520358">
        <w:rPr>
          <w:rFonts w:ascii="Arial Narrow" w:eastAsia="Times New Roman" w:hAnsi="Arial Narrow" w:cs="Times New Roman"/>
          <w:b/>
          <w:sz w:val="24"/>
          <w:szCs w:val="24"/>
        </w:rPr>
        <w:t>σωλήνες και</w:t>
      </w:r>
      <w:r w:rsidR="00AE5F31" w:rsidRPr="00520358">
        <w:rPr>
          <w:rFonts w:ascii="Arial Narrow" w:eastAsia="Times New Roman" w:hAnsi="Arial Narrow" w:cs="Times New Roman"/>
          <w:sz w:val="24"/>
          <w:szCs w:val="24"/>
        </w:rPr>
        <w:t xml:space="preserve"> </w:t>
      </w:r>
      <w:r w:rsidR="00AE5F31" w:rsidRPr="00520358">
        <w:rPr>
          <w:rFonts w:ascii="Arial Narrow" w:eastAsia="Times New Roman" w:hAnsi="Arial Narrow" w:cs="Times New Roman"/>
          <w:b/>
          <w:sz w:val="24"/>
          <w:szCs w:val="24"/>
        </w:rPr>
        <w:t>χαρτικά</w:t>
      </w:r>
      <w:r w:rsidR="00AE5F31" w:rsidRPr="00520358">
        <w:rPr>
          <w:rFonts w:ascii="Arial Narrow" w:eastAsia="Times New Roman" w:hAnsi="Arial Narrow" w:cs="Times New Roman"/>
          <w:sz w:val="24"/>
          <w:szCs w:val="24"/>
        </w:rPr>
        <w:t>.</w:t>
      </w:r>
      <w:r w:rsidR="00DF51D9" w:rsidRPr="00520358">
        <w:rPr>
          <w:rFonts w:ascii="Arial Narrow" w:eastAsia="Times New Roman" w:hAnsi="Arial Narrow" w:cs="Times New Roman"/>
          <w:sz w:val="24"/>
          <w:szCs w:val="24"/>
        </w:rPr>
        <w:t xml:space="preserve"> Στον </w:t>
      </w:r>
      <w:r w:rsidR="00DF51D9" w:rsidRPr="00520358">
        <w:rPr>
          <w:rFonts w:ascii="Arial Narrow" w:eastAsia="Times New Roman" w:hAnsi="Arial Narrow" w:cs="Times New Roman"/>
          <w:b/>
          <w:sz w:val="24"/>
          <w:szCs w:val="24"/>
        </w:rPr>
        <w:t xml:space="preserve">τουριστικό </w:t>
      </w:r>
      <w:r w:rsidR="00E05AE5" w:rsidRPr="00520358">
        <w:rPr>
          <w:rFonts w:ascii="Arial Narrow" w:eastAsia="Times New Roman" w:hAnsi="Arial Narrow" w:cs="Times New Roman"/>
          <w:b/>
          <w:sz w:val="24"/>
          <w:szCs w:val="24"/>
        </w:rPr>
        <w:t>κλάδο</w:t>
      </w:r>
      <w:r w:rsidR="00DF51D9" w:rsidRPr="00520358">
        <w:rPr>
          <w:rFonts w:ascii="Arial Narrow" w:eastAsia="Times New Roman" w:hAnsi="Arial Narrow" w:cs="Times New Roman"/>
          <w:sz w:val="24"/>
          <w:szCs w:val="24"/>
        </w:rPr>
        <w:t>, υπάρχει μια σχετική ανάπτυξη</w:t>
      </w:r>
      <w:r w:rsidR="00E66B31" w:rsidRPr="00520358">
        <w:rPr>
          <w:rFonts w:ascii="Arial Narrow" w:eastAsia="Times New Roman" w:hAnsi="Arial Narrow" w:cs="Times New Roman"/>
          <w:sz w:val="24"/>
          <w:szCs w:val="24"/>
        </w:rPr>
        <w:t>,</w:t>
      </w:r>
      <w:r w:rsidR="00DF51D9" w:rsidRPr="00520358">
        <w:rPr>
          <w:rFonts w:ascii="Arial Narrow" w:eastAsia="Times New Roman" w:hAnsi="Arial Narrow" w:cs="Times New Roman"/>
          <w:sz w:val="24"/>
          <w:szCs w:val="24"/>
        </w:rPr>
        <w:t xml:space="preserve"> βασιζόμενη στα αρχαιολογικά μνημεία και την ακτογραμμή, όπου αναπτύσσονται τουριστικές εκμεταλλεύσεις.</w:t>
      </w:r>
      <w:r w:rsidRPr="00520358">
        <w:rPr>
          <w:rFonts w:ascii="Arial Narrow" w:eastAsia="Times New Roman" w:hAnsi="Arial Narrow" w:cs="Times New Roman"/>
          <w:sz w:val="24"/>
          <w:szCs w:val="24"/>
        </w:rPr>
        <w:t xml:space="preserve"> Τέλος, </w:t>
      </w:r>
      <w:r w:rsidR="00E66B31" w:rsidRPr="00520358">
        <w:rPr>
          <w:rFonts w:ascii="Arial Narrow" w:eastAsia="Times New Roman" w:hAnsi="Arial Narrow" w:cs="Times New Roman"/>
          <w:sz w:val="24"/>
          <w:szCs w:val="24"/>
        </w:rPr>
        <w:t xml:space="preserve">και στο </w:t>
      </w:r>
      <w:r w:rsidR="00E66B31" w:rsidRPr="00520358">
        <w:rPr>
          <w:rFonts w:ascii="Arial Narrow" w:eastAsia="Times New Roman" w:hAnsi="Arial Narrow" w:cs="Times New Roman"/>
          <w:sz w:val="24"/>
          <w:szCs w:val="24"/>
          <w:lang w:val="en-US"/>
        </w:rPr>
        <w:t>Umm</w:t>
      </w:r>
      <w:r w:rsidR="00E66B31" w:rsidRPr="00520358">
        <w:rPr>
          <w:rFonts w:ascii="Arial Narrow" w:eastAsia="Times New Roman" w:hAnsi="Arial Narrow" w:cs="Times New Roman"/>
          <w:sz w:val="24"/>
          <w:szCs w:val="24"/>
        </w:rPr>
        <w:t xml:space="preserve"> </w:t>
      </w:r>
      <w:r w:rsidR="00E66B31" w:rsidRPr="00520358">
        <w:rPr>
          <w:rFonts w:ascii="Arial Narrow" w:eastAsia="Times New Roman" w:hAnsi="Arial Narrow" w:cs="Times New Roman"/>
          <w:sz w:val="24"/>
          <w:szCs w:val="24"/>
          <w:lang w:val="en-US"/>
        </w:rPr>
        <w:t>Al</w:t>
      </w:r>
      <w:r w:rsidR="00E66B31" w:rsidRPr="00520358">
        <w:rPr>
          <w:rFonts w:ascii="Arial Narrow" w:eastAsia="Times New Roman" w:hAnsi="Arial Narrow" w:cs="Times New Roman"/>
          <w:sz w:val="24"/>
          <w:szCs w:val="24"/>
        </w:rPr>
        <w:t xml:space="preserve"> </w:t>
      </w:r>
      <w:r w:rsidR="00E66B31" w:rsidRPr="00520358">
        <w:rPr>
          <w:rFonts w:ascii="Arial Narrow" w:eastAsia="Times New Roman" w:hAnsi="Arial Narrow" w:cs="Times New Roman"/>
          <w:sz w:val="24"/>
          <w:szCs w:val="24"/>
          <w:lang w:val="en-US"/>
        </w:rPr>
        <w:t>Quwain</w:t>
      </w:r>
      <w:r w:rsidR="00E66B31" w:rsidRPr="00520358">
        <w:rPr>
          <w:rFonts w:ascii="Arial Narrow" w:eastAsia="Times New Roman" w:hAnsi="Arial Narrow" w:cs="Times New Roman"/>
          <w:sz w:val="24"/>
          <w:szCs w:val="24"/>
        </w:rPr>
        <w:t xml:space="preserve"> </w:t>
      </w:r>
      <w:r w:rsidRPr="00520358">
        <w:rPr>
          <w:rFonts w:ascii="Arial Narrow" w:eastAsia="Times New Roman" w:hAnsi="Arial Narrow" w:cs="Times New Roman"/>
          <w:sz w:val="24"/>
          <w:szCs w:val="24"/>
        </w:rPr>
        <w:t xml:space="preserve">λειτουργεί, όπως σε όλα τα Εμιράτα, </w:t>
      </w:r>
      <w:r w:rsidRPr="00520358">
        <w:rPr>
          <w:rFonts w:ascii="Arial Narrow" w:eastAsia="Times New Roman" w:hAnsi="Arial Narrow" w:cs="Times New Roman"/>
          <w:b/>
          <w:sz w:val="24"/>
          <w:szCs w:val="24"/>
        </w:rPr>
        <w:t>Ελεύθερη Ζώνη</w:t>
      </w:r>
      <w:r w:rsidRPr="00520358">
        <w:rPr>
          <w:rFonts w:ascii="Arial Narrow" w:eastAsia="Times New Roman" w:hAnsi="Arial Narrow" w:cs="Times New Roman"/>
          <w:sz w:val="24"/>
          <w:szCs w:val="24"/>
        </w:rPr>
        <w:t xml:space="preserve">. </w:t>
      </w:r>
    </w:p>
    <w:p w14:paraId="330BEF30" w14:textId="4154A074" w:rsidR="00256FFF" w:rsidRDefault="00022BD6" w:rsidP="00256FFF">
      <w:pPr>
        <w:suppressAutoHyphens/>
        <w:autoSpaceDN w:val="0"/>
        <w:ind w:firstLine="567"/>
        <w:jc w:val="both"/>
        <w:rPr>
          <w:rFonts w:ascii="Arial Narrow" w:eastAsia="Times New Roman" w:hAnsi="Arial Narrow" w:cs="Times New Roman"/>
          <w:b/>
          <w:color w:val="1F497D" w:themeColor="text2"/>
          <w:sz w:val="28"/>
          <w:szCs w:val="28"/>
        </w:rPr>
      </w:pPr>
      <w:r w:rsidRPr="00022BD6">
        <w:rPr>
          <w:rFonts w:ascii="Arial Narrow" w:eastAsia="Times New Roman" w:hAnsi="Arial Narrow" w:cs="Times New Roman"/>
          <w:b/>
          <w:color w:val="1F497D" w:themeColor="text2"/>
          <w:sz w:val="28"/>
          <w:szCs w:val="28"/>
        </w:rPr>
        <w:t xml:space="preserve">31. </w:t>
      </w:r>
      <w:r w:rsidR="00256FFF" w:rsidRPr="000E51EB">
        <w:rPr>
          <w:rFonts w:ascii="Arial Narrow" w:eastAsia="Times New Roman" w:hAnsi="Arial Narrow" w:cs="Times New Roman"/>
          <w:b/>
          <w:color w:val="1F497D" w:themeColor="text2"/>
          <w:sz w:val="28"/>
          <w:szCs w:val="28"/>
        </w:rPr>
        <w:t xml:space="preserve">Προοπτικές της Οικονομίας των Ηνωμένων Αραβικών Εμιράτων (ΗΑΕ) μετά το πόλεμο στον Αραβικό Κόλπο </w:t>
      </w:r>
    </w:p>
    <w:p w14:paraId="7D98B809" w14:textId="6991951E" w:rsidR="009D775F" w:rsidRDefault="000E51EB" w:rsidP="009D775F">
      <w:pPr>
        <w:suppressAutoHyphens/>
        <w:autoSpaceDN w:val="0"/>
        <w:ind w:firstLine="567"/>
        <w:jc w:val="both"/>
        <w:rPr>
          <w:rFonts w:ascii="Arial Narrow" w:eastAsia="Times New Roman" w:hAnsi="Arial Narrow" w:cs="Times New Roman"/>
          <w:b/>
          <w:sz w:val="24"/>
          <w:szCs w:val="24"/>
        </w:rPr>
      </w:pPr>
      <w:r>
        <w:rPr>
          <w:rFonts w:ascii="Arial Narrow" w:eastAsia="Times New Roman" w:hAnsi="Arial Narrow" w:cs="Times New Roman"/>
          <w:sz w:val="24"/>
          <w:szCs w:val="24"/>
        </w:rPr>
        <w:t>Η Οικονομία των Ηνωμένων Αραβικών Εμιράτων εισέρχεται σε μία νέα περίοδο μετά και τη σχετική αποκλιμάκωση της πρόσφατης πολεμικής σύγκρουσης στον Αραβικό Κόλπο, αποκλιμάκωση η οποία εκτιμάται ότι θα χρειαστεί αρκετό χρονικό διάστημα ακόμη προκειμένου επανέλθει όλη η ευρύτερη περιοχή σε συνθήκες κανονικότητας. Παρόλες τις σημαντικές βραχυπρόθεσμες επιπτώσεις στις μεταφορές, το εμπόριο, τον τουρισμό και τις χρηματοπιστωτικές αγορές, τα ΗΑΕ παραμένουν μία από τις πλέον ανθεκτικές οικονομίες της περιοχής λόγω: ισχυρών δημοσιονομικών αποθεμάτων, υψηλής πιστοληπτικής αξιολόγησης, διαφοροποιημένης οικονομικής βάσης, προηγμένων υποδομών &amp; αποτελεσματικής διακυβέρνησης. Σύμφωνα με εκτιμήσεις διεθνών οικονομικών οργανισμών, όπως ΔΝΤ και Παγκόσμια Τράπεζα και άλλοι Επενδυτικοί Οίκοι</w:t>
      </w:r>
      <w:r w:rsidRPr="000E51EB">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προβλέπουν επιβράδυνση της ανάπτυξης για το 2026 και με ισχυρή ανάκαμψη το 2027, υπό την προϋπόθεση ότι θα διατηρηθεί η περιφερειακή σταθερότητα</w:t>
      </w:r>
      <w:r w:rsidR="009D775F">
        <w:rPr>
          <w:rFonts w:ascii="Arial Narrow" w:eastAsia="Times New Roman" w:hAnsi="Arial Narrow" w:cs="Times New Roman"/>
          <w:sz w:val="24"/>
          <w:szCs w:val="24"/>
        </w:rPr>
        <w:t xml:space="preserve">. </w:t>
      </w:r>
      <w:r w:rsidR="009D775F" w:rsidRPr="009D775F">
        <w:rPr>
          <w:rFonts w:ascii="Arial Narrow" w:eastAsia="Times New Roman" w:hAnsi="Arial Narrow" w:cs="Times New Roman"/>
          <w:b/>
          <w:sz w:val="24"/>
          <w:szCs w:val="24"/>
        </w:rPr>
        <w:t xml:space="preserve">΄Οσον αφορά τις </w:t>
      </w:r>
      <w:r w:rsidR="009D775F">
        <w:rPr>
          <w:rFonts w:ascii="Arial Narrow" w:eastAsia="Times New Roman" w:hAnsi="Arial Narrow" w:cs="Times New Roman"/>
          <w:b/>
          <w:sz w:val="24"/>
          <w:szCs w:val="24"/>
        </w:rPr>
        <w:t xml:space="preserve">μακροοικονομικές προοπτικές για το 2026 προβλέπεται ανάπτυξη του ΑΕΠ κατά 3,1% περίπου και για το 2027 αντίστοιχα σε 5,3 % περίπου. Η αναθεώρηση προς τα κάτω για το2026 αποδίδεται κυρίως στις διαταραχές του περιφερειακού εμπορίου, στη μείωση του τουρισμού, στις δυσκολίες και τα εμπόδια στις θαλάσσιες μεταφορές και στην προσωρινή αναστολή επενδυτικών σχεδίων. </w:t>
      </w:r>
    </w:p>
    <w:p w14:paraId="0B174720" w14:textId="56977A6D" w:rsidR="009D775F" w:rsidRDefault="009D775F" w:rsidP="009D775F">
      <w:pPr>
        <w:suppressAutoHyphens/>
        <w:autoSpaceDN w:val="0"/>
        <w:jc w:val="both"/>
        <w:rPr>
          <w:rFonts w:ascii="Arial Narrow" w:eastAsia="Times New Roman" w:hAnsi="Arial Narrow" w:cs="Times New Roman"/>
          <w:sz w:val="24"/>
          <w:szCs w:val="24"/>
        </w:rPr>
      </w:pPr>
      <w:r>
        <w:rPr>
          <w:rFonts w:ascii="Arial Narrow" w:eastAsia="Times New Roman" w:hAnsi="Arial Narrow" w:cs="Times New Roman"/>
          <w:b/>
          <w:sz w:val="24"/>
          <w:szCs w:val="24"/>
        </w:rPr>
        <w:tab/>
      </w:r>
      <w:r w:rsidRPr="00C6174D">
        <w:rPr>
          <w:rFonts w:ascii="Arial Narrow" w:eastAsia="Times New Roman" w:hAnsi="Arial Narrow" w:cs="Times New Roman"/>
          <w:sz w:val="24"/>
          <w:szCs w:val="24"/>
        </w:rPr>
        <w:t xml:space="preserve">Ως Θετικοί Παράγοντες Ανάκαμψης καταγράφονται η δημοσιονομική ισχύς, όπου τα ΗΑΕ διαθέτουν </w:t>
      </w:r>
      <w:r w:rsidRPr="00C6174D">
        <w:rPr>
          <w:rFonts w:ascii="Arial Narrow" w:eastAsia="Times New Roman" w:hAnsi="Arial Narrow" w:cs="Times New Roman"/>
          <w:sz w:val="24"/>
          <w:szCs w:val="24"/>
          <w:lang w:val="en-US"/>
        </w:rPr>
        <w:t>Sovereign</w:t>
      </w:r>
      <w:r w:rsidRPr="00C6174D">
        <w:rPr>
          <w:rFonts w:ascii="Arial Narrow" w:eastAsia="Times New Roman" w:hAnsi="Arial Narrow" w:cs="Times New Roman"/>
          <w:sz w:val="24"/>
          <w:szCs w:val="24"/>
        </w:rPr>
        <w:t xml:space="preserve"> </w:t>
      </w:r>
      <w:r w:rsidRPr="00C6174D">
        <w:rPr>
          <w:rFonts w:ascii="Arial Narrow" w:eastAsia="Times New Roman" w:hAnsi="Arial Narrow" w:cs="Times New Roman"/>
          <w:sz w:val="24"/>
          <w:szCs w:val="24"/>
          <w:lang w:val="en-US"/>
        </w:rPr>
        <w:t>Wealth</w:t>
      </w:r>
      <w:r w:rsidRPr="00C6174D">
        <w:rPr>
          <w:rFonts w:ascii="Arial Narrow" w:eastAsia="Times New Roman" w:hAnsi="Arial Narrow" w:cs="Times New Roman"/>
          <w:sz w:val="24"/>
          <w:szCs w:val="24"/>
        </w:rPr>
        <w:t xml:space="preserve"> </w:t>
      </w:r>
      <w:r w:rsidRPr="00C6174D">
        <w:rPr>
          <w:rFonts w:ascii="Arial Narrow" w:eastAsia="Times New Roman" w:hAnsi="Arial Narrow" w:cs="Times New Roman"/>
          <w:sz w:val="24"/>
          <w:szCs w:val="24"/>
          <w:lang w:val="en-US"/>
        </w:rPr>
        <w:t>Funds</w:t>
      </w:r>
      <w:r w:rsidRPr="00C6174D">
        <w:rPr>
          <w:rFonts w:ascii="Arial Narrow" w:eastAsia="Times New Roman" w:hAnsi="Arial Narrow" w:cs="Times New Roman"/>
          <w:sz w:val="24"/>
          <w:szCs w:val="24"/>
        </w:rPr>
        <w:t xml:space="preserve"> </w:t>
      </w:r>
      <w:r w:rsidR="00AA77CA" w:rsidRPr="00C6174D">
        <w:rPr>
          <w:rFonts w:ascii="Arial Narrow" w:eastAsia="Times New Roman" w:hAnsi="Arial Narrow" w:cs="Times New Roman"/>
          <w:sz w:val="24"/>
          <w:szCs w:val="24"/>
        </w:rPr>
        <w:t>άνω των 2 τρις $</w:t>
      </w:r>
      <w:r w:rsidR="00352EE3" w:rsidRPr="00C6174D">
        <w:rPr>
          <w:rFonts w:ascii="Arial Narrow" w:eastAsia="Times New Roman" w:hAnsi="Arial Narrow" w:cs="Times New Roman"/>
          <w:sz w:val="24"/>
          <w:szCs w:val="24"/>
        </w:rPr>
        <w:t xml:space="preserve">, πολύ χαμηλό δημόσιο χρέος, υψηλά δημοσιονομικά αποθέματα &amp; σημαντικά έσοδα από την ενέργεια. Τα ανωτέρω επιτρέπουν πακέτα στήριξης, επενδύσεις σε υποδομές &amp; διατήρηση της εμπιστοσύνης των ξένων αγορών. </w:t>
      </w:r>
      <w:r w:rsidR="00C6174D">
        <w:rPr>
          <w:rFonts w:ascii="Arial Narrow" w:eastAsia="Times New Roman" w:hAnsi="Arial Narrow" w:cs="Times New Roman"/>
          <w:sz w:val="24"/>
          <w:szCs w:val="24"/>
        </w:rPr>
        <w:t xml:space="preserve">Στο τομέα της ενέργειας μετά το οριστικό τέλος των συγκρούσεων, προβλέπεται πλήρης αποκατάσταση των εξαγωγών πετρελαίου, αύξηση της παραγωγής, επανακάμπτουν οι εξαγωγές </w:t>
      </w:r>
      <w:r w:rsidR="00C6174D">
        <w:rPr>
          <w:rFonts w:ascii="Arial Narrow" w:eastAsia="Times New Roman" w:hAnsi="Arial Narrow" w:cs="Times New Roman"/>
          <w:sz w:val="24"/>
          <w:szCs w:val="24"/>
          <w:lang w:val="en-US"/>
        </w:rPr>
        <w:t>LNC</w:t>
      </w:r>
      <w:r w:rsidR="00C6174D" w:rsidRPr="00C6174D">
        <w:rPr>
          <w:rFonts w:ascii="Arial Narrow" w:eastAsia="Times New Roman" w:hAnsi="Arial Narrow" w:cs="Times New Roman"/>
          <w:sz w:val="24"/>
          <w:szCs w:val="24"/>
        </w:rPr>
        <w:t xml:space="preserve"> </w:t>
      </w:r>
      <w:r w:rsidR="00C6174D">
        <w:rPr>
          <w:rFonts w:ascii="Arial Narrow" w:eastAsia="Times New Roman" w:hAnsi="Arial Narrow" w:cs="Times New Roman"/>
          <w:sz w:val="24"/>
          <w:szCs w:val="24"/>
        </w:rPr>
        <w:t xml:space="preserve">και ενισχύονται τα δημόσια έσοδα. </w:t>
      </w:r>
      <w:r w:rsidR="00C6174D" w:rsidRPr="00C6174D">
        <w:rPr>
          <w:rFonts w:ascii="Arial Narrow" w:eastAsia="Times New Roman" w:hAnsi="Arial Narrow" w:cs="Times New Roman"/>
          <w:b/>
          <w:sz w:val="24"/>
          <w:szCs w:val="24"/>
        </w:rPr>
        <w:t>Η πρόσφατη αποχώρηση από τον ΟΠΕΚ</w:t>
      </w:r>
      <w:r w:rsidR="00C6174D">
        <w:rPr>
          <w:rFonts w:ascii="Arial Narrow" w:eastAsia="Times New Roman" w:hAnsi="Arial Narrow" w:cs="Times New Roman"/>
          <w:sz w:val="24"/>
          <w:szCs w:val="24"/>
        </w:rPr>
        <w:t xml:space="preserve"> </w:t>
      </w:r>
      <w:r w:rsidR="00C6174D">
        <w:rPr>
          <w:rFonts w:ascii="Arial Narrow" w:eastAsia="Times New Roman" w:hAnsi="Arial Narrow" w:cs="Times New Roman"/>
          <w:b/>
          <w:sz w:val="24"/>
          <w:szCs w:val="24"/>
        </w:rPr>
        <w:t xml:space="preserve">τους δίνει μεγαλύτερη ευελιξία στην αύξηση της παραγωγής, αν και η ταυτόχρονη αύξηση της προσφοράς από αρκετούς παραγωγούς ασκεί πιέσεις στις τιμές του πετρελαίου. </w:t>
      </w:r>
      <w:r w:rsidR="001350ED">
        <w:rPr>
          <w:rFonts w:ascii="Arial Narrow" w:eastAsia="Times New Roman" w:hAnsi="Arial Narrow" w:cs="Times New Roman"/>
          <w:sz w:val="24"/>
          <w:szCs w:val="24"/>
        </w:rPr>
        <w:t xml:space="preserve">Συγχρόνως οι περισσότεροι αλλοδαποί επενδυτές θεωρούν ότι το Ντουμπάϊ και το Αμπου – Ντάμπι θα εξακολουθήσουν να αποτελούν ασφαλή επενδυτικά κέντρα της Μέσης Ανατολής, προβλέποντας ότι θα υπάρξει σταδιακή ανάκαμψη των ΑΞΕ, αύξηση των συγχωνεύσεων, ενίσχυση των </w:t>
      </w:r>
      <w:r w:rsidR="001350ED">
        <w:rPr>
          <w:rFonts w:ascii="Arial Narrow" w:eastAsia="Times New Roman" w:hAnsi="Arial Narrow" w:cs="Times New Roman"/>
          <w:sz w:val="24"/>
          <w:szCs w:val="24"/>
          <w:lang w:val="en-US"/>
        </w:rPr>
        <w:t>IPO</w:t>
      </w:r>
      <w:r w:rsidR="001350ED" w:rsidRPr="001350ED">
        <w:rPr>
          <w:rFonts w:ascii="Arial Narrow" w:eastAsia="Times New Roman" w:hAnsi="Arial Narrow" w:cs="Times New Roman"/>
          <w:sz w:val="24"/>
          <w:szCs w:val="24"/>
        </w:rPr>
        <w:t>’</w:t>
      </w:r>
      <w:r w:rsidR="001350ED">
        <w:rPr>
          <w:rFonts w:ascii="Arial Narrow" w:eastAsia="Times New Roman" w:hAnsi="Arial Narrow" w:cs="Times New Roman"/>
          <w:sz w:val="24"/>
          <w:szCs w:val="24"/>
          <w:lang w:val="en-US"/>
        </w:rPr>
        <w:t>s</w:t>
      </w:r>
      <w:r w:rsidR="001350ED" w:rsidRPr="001350ED">
        <w:rPr>
          <w:rFonts w:ascii="Arial Narrow" w:eastAsia="Times New Roman" w:hAnsi="Arial Narrow" w:cs="Times New Roman"/>
          <w:sz w:val="24"/>
          <w:szCs w:val="24"/>
        </w:rPr>
        <w:t xml:space="preserve"> </w:t>
      </w:r>
      <w:r w:rsidR="001350ED">
        <w:rPr>
          <w:rFonts w:ascii="Arial Narrow" w:eastAsia="Times New Roman" w:hAnsi="Arial Narrow" w:cs="Times New Roman"/>
          <w:sz w:val="24"/>
          <w:szCs w:val="24"/>
        </w:rPr>
        <w:t xml:space="preserve">και ανάπτυξη των </w:t>
      </w:r>
      <w:r w:rsidR="001350ED">
        <w:rPr>
          <w:rFonts w:ascii="Arial Narrow" w:eastAsia="Times New Roman" w:hAnsi="Arial Narrow" w:cs="Times New Roman"/>
          <w:sz w:val="24"/>
          <w:szCs w:val="24"/>
          <w:lang w:val="en-US"/>
        </w:rPr>
        <w:t>Free</w:t>
      </w:r>
      <w:r w:rsidR="001350ED" w:rsidRPr="001350ED">
        <w:rPr>
          <w:rFonts w:ascii="Arial Narrow" w:eastAsia="Times New Roman" w:hAnsi="Arial Narrow" w:cs="Times New Roman"/>
          <w:sz w:val="24"/>
          <w:szCs w:val="24"/>
        </w:rPr>
        <w:t xml:space="preserve"> </w:t>
      </w:r>
      <w:r w:rsidR="001350ED">
        <w:rPr>
          <w:rFonts w:ascii="Arial Narrow" w:eastAsia="Times New Roman" w:hAnsi="Arial Narrow" w:cs="Times New Roman"/>
          <w:sz w:val="24"/>
          <w:szCs w:val="24"/>
          <w:lang w:val="en-US"/>
        </w:rPr>
        <w:t>Zones</w:t>
      </w:r>
      <w:r w:rsidR="001350ED" w:rsidRPr="001350ED">
        <w:rPr>
          <w:rFonts w:ascii="Arial Narrow" w:eastAsia="Times New Roman" w:hAnsi="Arial Narrow" w:cs="Times New Roman"/>
          <w:sz w:val="24"/>
          <w:szCs w:val="24"/>
        </w:rPr>
        <w:t xml:space="preserve">. </w:t>
      </w:r>
    </w:p>
    <w:p w14:paraId="0C408BEE" w14:textId="1F0885DB" w:rsidR="001350ED" w:rsidRDefault="001350ED" w:rsidP="009D775F">
      <w:pPr>
        <w:suppressAutoHyphens/>
        <w:autoSpaceDN w:val="0"/>
        <w:jc w:val="both"/>
        <w:rPr>
          <w:rFonts w:ascii="Arial Narrow" w:eastAsia="Times New Roman" w:hAnsi="Arial Narrow" w:cs="Times New Roman"/>
          <w:b/>
          <w:color w:val="1F497D" w:themeColor="text2"/>
          <w:sz w:val="28"/>
          <w:szCs w:val="28"/>
        </w:rPr>
      </w:pPr>
      <w:r w:rsidRPr="007003F8">
        <w:rPr>
          <w:rFonts w:ascii="Arial Narrow" w:eastAsia="Times New Roman" w:hAnsi="Arial Narrow" w:cs="Times New Roman"/>
          <w:sz w:val="24"/>
          <w:szCs w:val="24"/>
        </w:rPr>
        <w:tab/>
      </w:r>
      <w:r w:rsidR="00022BD6" w:rsidRPr="00022BD6">
        <w:rPr>
          <w:rFonts w:ascii="Arial Narrow" w:eastAsia="Times New Roman" w:hAnsi="Arial Narrow" w:cs="Times New Roman"/>
          <w:b/>
          <w:sz w:val="28"/>
          <w:szCs w:val="28"/>
        </w:rPr>
        <w:t xml:space="preserve">32. </w:t>
      </w:r>
      <w:r w:rsidRPr="00A654AC">
        <w:rPr>
          <w:rFonts w:ascii="Arial Narrow" w:eastAsia="Times New Roman" w:hAnsi="Arial Narrow" w:cs="Times New Roman"/>
          <w:b/>
          <w:color w:val="1F497D" w:themeColor="text2"/>
          <w:sz w:val="28"/>
          <w:szCs w:val="28"/>
          <w:lang w:val="en-US"/>
        </w:rPr>
        <w:t>TOMEI</w:t>
      </w:r>
      <w:r w:rsidR="00A654AC" w:rsidRPr="00A654AC">
        <w:rPr>
          <w:rFonts w:ascii="Arial Narrow" w:eastAsia="Times New Roman" w:hAnsi="Arial Narrow" w:cs="Times New Roman"/>
          <w:b/>
          <w:color w:val="1F497D" w:themeColor="text2"/>
          <w:sz w:val="28"/>
          <w:szCs w:val="28"/>
        </w:rPr>
        <w:t xml:space="preserve">Σ ΠΟΥ ΘΑ ΗΓΗΘΟΥΝ ΤΗΣ ΑΝΑΠΤΥΞΗΣ </w:t>
      </w:r>
    </w:p>
    <w:p w14:paraId="0685AD60" w14:textId="34163B11" w:rsidR="00A654AC" w:rsidRDefault="00A654AC" w:rsidP="00C548DF">
      <w:pPr>
        <w:suppressAutoHyphens/>
        <w:autoSpaceDN w:val="0"/>
        <w:ind w:firstLine="576"/>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Τομείς </w:t>
      </w:r>
      <w:r w:rsidR="00C548DF">
        <w:rPr>
          <w:rFonts w:ascii="Arial Narrow" w:eastAsia="Times New Roman" w:hAnsi="Arial Narrow" w:cs="Times New Roman"/>
          <w:sz w:val="24"/>
          <w:szCs w:val="24"/>
        </w:rPr>
        <w:t xml:space="preserve">που θα ηγηθούν της ανάπτυξης και της επανάκαμψης της οικονομίας στο πετρέλαιο και το φ/α η </w:t>
      </w:r>
      <w:r w:rsidR="00C548DF">
        <w:rPr>
          <w:rFonts w:ascii="Arial Narrow" w:eastAsia="Times New Roman" w:hAnsi="Arial Narrow" w:cs="Times New Roman"/>
          <w:sz w:val="24"/>
          <w:szCs w:val="24"/>
          <w:lang w:val="en-US"/>
        </w:rPr>
        <w:t>ADNOC</w:t>
      </w:r>
      <w:r w:rsidR="00C548DF">
        <w:rPr>
          <w:rFonts w:ascii="Arial Narrow" w:eastAsia="Times New Roman" w:hAnsi="Arial Narrow" w:cs="Times New Roman"/>
          <w:sz w:val="24"/>
          <w:szCs w:val="24"/>
        </w:rPr>
        <w:t xml:space="preserve"> συνεχίζει τις επεκτάσεις παραγωγικής ικανότητας, επενδύσεις σε </w:t>
      </w:r>
      <w:r w:rsidR="00C548DF">
        <w:rPr>
          <w:rFonts w:ascii="Arial Narrow" w:eastAsia="Times New Roman" w:hAnsi="Arial Narrow" w:cs="Times New Roman"/>
          <w:sz w:val="24"/>
          <w:szCs w:val="24"/>
          <w:lang w:val="en-US"/>
        </w:rPr>
        <w:t>LNG</w:t>
      </w:r>
      <w:r w:rsidR="00C548DF" w:rsidRPr="00C548DF">
        <w:rPr>
          <w:rFonts w:ascii="Arial Narrow" w:eastAsia="Times New Roman" w:hAnsi="Arial Narrow" w:cs="Times New Roman"/>
          <w:sz w:val="24"/>
          <w:szCs w:val="24"/>
        </w:rPr>
        <w:t xml:space="preserve">, </w:t>
      </w:r>
      <w:r w:rsidR="002F4660">
        <w:rPr>
          <w:rFonts w:ascii="Arial Narrow" w:eastAsia="Times New Roman" w:hAnsi="Arial Narrow" w:cs="Times New Roman"/>
          <w:sz w:val="24"/>
          <w:szCs w:val="24"/>
        </w:rPr>
        <w:t xml:space="preserve">έργα υδρογόνου, </w:t>
      </w:r>
      <w:r w:rsidR="002F4660">
        <w:rPr>
          <w:rFonts w:ascii="Arial Narrow" w:eastAsia="Times New Roman" w:hAnsi="Arial Narrow" w:cs="Times New Roman"/>
          <w:sz w:val="24"/>
          <w:szCs w:val="24"/>
          <w:lang w:val="en-US"/>
        </w:rPr>
        <w:t>CCS</w:t>
      </w:r>
      <w:r w:rsidR="002F4660" w:rsidRPr="002F4660">
        <w:rPr>
          <w:rFonts w:ascii="Arial Narrow" w:eastAsia="Times New Roman" w:hAnsi="Arial Narrow" w:cs="Times New Roman"/>
          <w:sz w:val="24"/>
          <w:szCs w:val="24"/>
        </w:rPr>
        <w:t xml:space="preserve"> </w:t>
      </w:r>
      <w:r w:rsidR="002F4660">
        <w:rPr>
          <w:rFonts w:ascii="Arial Narrow" w:eastAsia="Times New Roman" w:hAnsi="Arial Narrow" w:cs="Times New Roman"/>
          <w:sz w:val="24"/>
          <w:szCs w:val="24"/>
        </w:rPr>
        <w:t xml:space="preserve">&amp; πετροχημικά. Στο τομέα των </w:t>
      </w:r>
      <w:r w:rsidR="002F4660">
        <w:rPr>
          <w:rFonts w:ascii="Arial Narrow" w:eastAsia="Times New Roman" w:hAnsi="Arial Narrow" w:cs="Times New Roman"/>
          <w:sz w:val="24"/>
          <w:szCs w:val="24"/>
          <w:lang w:val="en-US"/>
        </w:rPr>
        <w:t>logistics</w:t>
      </w:r>
      <w:r w:rsidR="002F4660" w:rsidRPr="002F4660">
        <w:rPr>
          <w:rFonts w:ascii="Arial Narrow" w:eastAsia="Times New Roman" w:hAnsi="Arial Narrow" w:cs="Times New Roman"/>
          <w:sz w:val="24"/>
          <w:szCs w:val="24"/>
        </w:rPr>
        <w:t xml:space="preserve"> </w:t>
      </w:r>
      <w:r w:rsidR="002F4660">
        <w:rPr>
          <w:rFonts w:ascii="Arial Narrow" w:eastAsia="Times New Roman" w:hAnsi="Arial Narrow" w:cs="Times New Roman"/>
          <w:sz w:val="24"/>
          <w:szCs w:val="24"/>
        </w:rPr>
        <w:t xml:space="preserve">το λιμάνι </w:t>
      </w:r>
      <w:r w:rsidR="002F4660">
        <w:rPr>
          <w:rFonts w:ascii="Arial Narrow" w:eastAsia="Times New Roman" w:hAnsi="Arial Narrow" w:cs="Times New Roman"/>
          <w:sz w:val="24"/>
          <w:szCs w:val="24"/>
          <w:lang w:val="en-US"/>
        </w:rPr>
        <w:t>Jebel</w:t>
      </w:r>
      <w:r w:rsidR="002F4660" w:rsidRPr="002F4660">
        <w:rPr>
          <w:rFonts w:ascii="Arial Narrow" w:eastAsia="Times New Roman" w:hAnsi="Arial Narrow" w:cs="Times New Roman"/>
          <w:sz w:val="24"/>
          <w:szCs w:val="24"/>
        </w:rPr>
        <w:t xml:space="preserve"> </w:t>
      </w:r>
      <w:r w:rsidR="002F4660">
        <w:rPr>
          <w:rFonts w:ascii="Arial Narrow" w:eastAsia="Times New Roman" w:hAnsi="Arial Narrow" w:cs="Times New Roman"/>
          <w:sz w:val="24"/>
          <w:szCs w:val="24"/>
          <w:lang w:val="en-US"/>
        </w:rPr>
        <w:t>Ali</w:t>
      </w:r>
      <w:r w:rsidR="002F4660" w:rsidRPr="002F4660">
        <w:rPr>
          <w:rFonts w:ascii="Arial Narrow" w:eastAsia="Times New Roman" w:hAnsi="Arial Narrow" w:cs="Times New Roman"/>
          <w:sz w:val="24"/>
          <w:szCs w:val="24"/>
        </w:rPr>
        <w:t xml:space="preserve"> </w:t>
      </w:r>
      <w:r w:rsidR="002F4660">
        <w:rPr>
          <w:rFonts w:ascii="Arial Narrow" w:eastAsia="Times New Roman" w:hAnsi="Arial Narrow" w:cs="Times New Roman"/>
          <w:sz w:val="24"/>
          <w:szCs w:val="24"/>
        </w:rPr>
        <w:t xml:space="preserve">θα ανακτήσει σταδιακά το ρόλο του ως μεγαλύτερου διαμετακομιστικού κόμβου της περιοχής, κέντρου επανεξαγωγών προς Ασία, Αφρική και Ευρώπη. Αν και ο πόλεμος προκάλεσε μεγάλη πτώση στη διακίνηση εμπορευματοκιβωτίων, οι εμιρατινές Αρχές δρομολογούν μέτρα αποκατάστασης και επαναφοράς της χαμένης εμπιστοσύνης. Στο τουρισμό προβλέπεται σταδιακή ανάκαμψη των αεροπορικών αφίξεων, της ξενοδοχειακής πληρότητας &amp; του συνεδριακού και πολυτελούς τουρισμού. </w:t>
      </w:r>
      <w:r w:rsidR="007600A1">
        <w:rPr>
          <w:rFonts w:ascii="Arial Narrow" w:eastAsia="Times New Roman" w:hAnsi="Arial Narrow" w:cs="Times New Roman"/>
          <w:sz w:val="24"/>
          <w:szCs w:val="24"/>
        </w:rPr>
        <w:t xml:space="preserve">Στον χρηματοοικονομικό τομέα οι διεθνείς τράπεζες αναμένεται να επεκτείνουν τις δραστηριότητες τους, να αυξήσουν περιφερειακά </w:t>
      </w:r>
      <w:r w:rsidR="007600A1">
        <w:rPr>
          <w:rFonts w:ascii="Arial Narrow" w:eastAsia="Times New Roman" w:hAnsi="Arial Narrow" w:cs="Times New Roman"/>
          <w:sz w:val="24"/>
          <w:szCs w:val="24"/>
          <w:lang w:val="en-US"/>
        </w:rPr>
        <w:t>headquarters</w:t>
      </w:r>
      <w:r w:rsidR="007600A1" w:rsidRPr="007600A1">
        <w:rPr>
          <w:rFonts w:ascii="Arial Narrow" w:eastAsia="Times New Roman" w:hAnsi="Arial Narrow" w:cs="Times New Roman"/>
          <w:sz w:val="24"/>
          <w:szCs w:val="24"/>
        </w:rPr>
        <w:t xml:space="preserve"> </w:t>
      </w:r>
      <w:r w:rsidR="007600A1">
        <w:rPr>
          <w:rFonts w:ascii="Arial Narrow" w:eastAsia="Times New Roman" w:hAnsi="Arial Narrow" w:cs="Times New Roman"/>
          <w:sz w:val="24"/>
          <w:szCs w:val="24"/>
        </w:rPr>
        <w:t xml:space="preserve">και να μεταφέρουν προσωπικό στα ΗΑΕ. Επίσης τα ΗΑΕ συνεχίζουν σημαντικές επενδύσεις στην </w:t>
      </w:r>
      <w:r w:rsidR="007600A1">
        <w:rPr>
          <w:rFonts w:ascii="Arial Narrow" w:eastAsia="Times New Roman" w:hAnsi="Arial Narrow" w:cs="Times New Roman"/>
          <w:sz w:val="24"/>
          <w:szCs w:val="24"/>
          <w:lang w:val="en-US"/>
        </w:rPr>
        <w:t>AI</w:t>
      </w:r>
      <w:r w:rsidR="007600A1" w:rsidRPr="007600A1">
        <w:rPr>
          <w:rFonts w:ascii="Arial Narrow" w:eastAsia="Times New Roman" w:hAnsi="Arial Narrow" w:cs="Times New Roman"/>
          <w:sz w:val="24"/>
          <w:szCs w:val="24"/>
        </w:rPr>
        <w:t xml:space="preserve">, </w:t>
      </w:r>
      <w:r w:rsidR="007600A1">
        <w:rPr>
          <w:rFonts w:ascii="Arial Narrow" w:eastAsia="Times New Roman" w:hAnsi="Arial Narrow" w:cs="Times New Roman"/>
          <w:sz w:val="24"/>
          <w:szCs w:val="24"/>
          <w:lang w:val="en-US"/>
        </w:rPr>
        <w:t>Cloud</w:t>
      </w:r>
      <w:r w:rsidR="007600A1" w:rsidRPr="007600A1">
        <w:rPr>
          <w:rFonts w:ascii="Arial Narrow" w:eastAsia="Times New Roman" w:hAnsi="Arial Narrow" w:cs="Times New Roman"/>
          <w:sz w:val="24"/>
          <w:szCs w:val="24"/>
        </w:rPr>
        <w:t xml:space="preserve">, </w:t>
      </w:r>
      <w:r w:rsidR="007600A1">
        <w:rPr>
          <w:rFonts w:ascii="Arial Narrow" w:eastAsia="Times New Roman" w:hAnsi="Arial Narrow" w:cs="Times New Roman"/>
          <w:sz w:val="24"/>
          <w:szCs w:val="24"/>
          <w:lang w:val="en-US"/>
        </w:rPr>
        <w:t>Quantum</w:t>
      </w:r>
      <w:r w:rsidR="007600A1" w:rsidRPr="007600A1">
        <w:rPr>
          <w:rFonts w:ascii="Arial Narrow" w:eastAsia="Times New Roman" w:hAnsi="Arial Narrow" w:cs="Times New Roman"/>
          <w:sz w:val="24"/>
          <w:szCs w:val="24"/>
        </w:rPr>
        <w:t xml:space="preserve"> </w:t>
      </w:r>
      <w:r w:rsidR="007600A1">
        <w:rPr>
          <w:rFonts w:ascii="Arial Narrow" w:eastAsia="Times New Roman" w:hAnsi="Arial Narrow" w:cs="Times New Roman"/>
          <w:sz w:val="24"/>
          <w:szCs w:val="24"/>
          <w:lang w:val="en-US"/>
        </w:rPr>
        <w:t>Computing</w:t>
      </w:r>
      <w:r w:rsidR="007600A1" w:rsidRPr="007600A1">
        <w:rPr>
          <w:rFonts w:ascii="Arial Narrow" w:eastAsia="Times New Roman" w:hAnsi="Arial Narrow" w:cs="Times New Roman"/>
          <w:sz w:val="24"/>
          <w:szCs w:val="24"/>
        </w:rPr>
        <w:t xml:space="preserve"> &amp; </w:t>
      </w:r>
      <w:r w:rsidR="007600A1">
        <w:rPr>
          <w:rFonts w:ascii="Arial Narrow" w:eastAsia="Times New Roman" w:hAnsi="Arial Narrow" w:cs="Times New Roman"/>
          <w:sz w:val="24"/>
          <w:szCs w:val="24"/>
          <w:lang w:val="en-US"/>
        </w:rPr>
        <w:t>Digital</w:t>
      </w:r>
      <w:r w:rsidR="007600A1" w:rsidRPr="007600A1">
        <w:rPr>
          <w:rFonts w:ascii="Arial Narrow" w:eastAsia="Times New Roman" w:hAnsi="Arial Narrow" w:cs="Times New Roman"/>
          <w:sz w:val="24"/>
          <w:szCs w:val="24"/>
        </w:rPr>
        <w:t xml:space="preserve"> </w:t>
      </w:r>
      <w:r w:rsidR="007600A1">
        <w:rPr>
          <w:rFonts w:ascii="Arial Narrow" w:eastAsia="Times New Roman" w:hAnsi="Arial Narrow" w:cs="Times New Roman"/>
          <w:sz w:val="24"/>
          <w:szCs w:val="24"/>
          <w:lang w:val="en-US"/>
        </w:rPr>
        <w:t>Government</w:t>
      </w:r>
      <w:r w:rsidR="007600A1" w:rsidRPr="007600A1">
        <w:rPr>
          <w:rFonts w:ascii="Arial Narrow" w:eastAsia="Times New Roman" w:hAnsi="Arial Narrow" w:cs="Times New Roman"/>
          <w:sz w:val="24"/>
          <w:szCs w:val="24"/>
        </w:rPr>
        <w:t xml:space="preserve">. </w:t>
      </w:r>
      <w:r w:rsidR="00DB409B">
        <w:rPr>
          <w:rFonts w:ascii="Arial Narrow" w:eastAsia="Times New Roman" w:hAnsi="Arial Narrow" w:cs="Times New Roman"/>
          <w:sz w:val="24"/>
          <w:szCs w:val="24"/>
        </w:rPr>
        <w:t>Ως κύριοι κίνδυνοι που συνδέονται άμεσα με την αβέβαιη και ασταθή κατάσταση η οποία εξακολουθεί να υφίσταται στη περιοχή του Αραβικού Κόλπου, είναι ο γεωπολιτικός κίνδυνος ο οποίος παραμένει ακόμη και συνδέεται άμεσα με την ασφάλεια της διεθνούς ναυσιπλοϊας από τα Στενά του Ορμούζ, την εν γένει περιφερειακή αστάθεια και τη συνεχιζόμενη ένταση στις σχέσεις ΗΠΑ και Ισραήλ με το Ιράν. Το ΔΝΤ, μεταξύ άλλων, τονίζει ότι όλες οι προοπτικές εξαρτώνται σε μεγάλο βαθμό από τη διατήρηση της εκεχειρίας και της σταθερότητας στη περιοχή.</w:t>
      </w:r>
      <w:r w:rsidR="000202D3">
        <w:rPr>
          <w:rFonts w:ascii="Arial Narrow" w:eastAsia="Times New Roman" w:hAnsi="Arial Narrow" w:cs="Times New Roman"/>
          <w:sz w:val="24"/>
          <w:szCs w:val="24"/>
        </w:rPr>
        <w:t xml:space="preserve"> Στο πετρέλαιο οι συνθήκες πιθανής υπερπροσφοράς μπορεί να μειώσει τις τιμές και τα κρατικά έσοδα. Στο τομέα του εμπορίου παραμένουν υψηλά τα ασφάλιστρα πλοίων, τα μεταφορικά κόστη και το κόστος ασφάλειας. Πιθανές είναι και οι πιέσεις προς τον πληθωρισμο από τις μεταφορές, τα τρόφιμα και τις εφοδιαστικές αλυσίδες. </w:t>
      </w:r>
    </w:p>
    <w:p w14:paraId="53E4BE3C" w14:textId="6B6E438F" w:rsidR="000202D3" w:rsidRDefault="000202D3" w:rsidP="00736952">
      <w:pPr>
        <w:jc w:val="both"/>
        <w:rPr>
          <w:rFonts w:ascii="Arial Narrow" w:eastAsia="Times New Roman" w:hAnsi="Arial Narrow"/>
          <w:sz w:val="24"/>
          <w:szCs w:val="24"/>
        </w:rPr>
      </w:pPr>
      <w:r w:rsidRPr="00736952">
        <w:rPr>
          <w:rFonts w:ascii="Arial Narrow" w:eastAsia="Times New Roman" w:hAnsi="Arial Narrow"/>
          <w:sz w:val="24"/>
          <w:szCs w:val="24"/>
        </w:rPr>
        <w:t xml:space="preserve">Οι ευκαιρίες που παρουσιάζονται και μπορούν να συμβάλουν στην ενίσχυση του ρόλου των ΗΑΕ είναι ότιο αποτελούν ένα ασφαλές χρηματοπιστωτικό κέντρο, κόμβος εφοδιαστικής αλυσίδας, ενεργειακός προμηθευτής, κέντρο </w:t>
      </w:r>
      <w:r w:rsidR="00736952" w:rsidRPr="00736952">
        <w:rPr>
          <w:rFonts w:ascii="Arial Narrow" w:eastAsia="Times New Roman" w:hAnsi="Arial Narrow"/>
          <w:sz w:val="24"/>
          <w:szCs w:val="24"/>
        </w:rPr>
        <w:t xml:space="preserve">περιφερειακών </w:t>
      </w:r>
      <w:r w:rsidR="00736952">
        <w:rPr>
          <w:rFonts w:ascii="Arial Narrow" w:eastAsia="Times New Roman" w:hAnsi="Arial Narrow"/>
          <w:sz w:val="24"/>
          <w:szCs w:val="24"/>
          <w:lang w:val="en-US"/>
        </w:rPr>
        <w:t>headquarters</w:t>
      </w:r>
      <w:r w:rsidR="00736952" w:rsidRPr="00736952">
        <w:rPr>
          <w:rFonts w:ascii="Arial Narrow" w:eastAsia="Times New Roman" w:hAnsi="Arial Narrow"/>
          <w:sz w:val="24"/>
          <w:szCs w:val="24"/>
        </w:rPr>
        <w:t xml:space="preserve"> </w:t>
      </w:r>
      <w:r w:rsidR="00736952">
        <w:rPr>
          <w:rFonts w:ascii="Arial Narrow" w:eastAsia="Times New Roman" w:hAnsi="Arial Narrow"/>
          <w:sz w:val="24"/>
          <w:szCs w:val="24"/>
        </w:rPr>
        <w:t xml:space="preserve">&amp; διεθνές κέντρο </w:t>
      </w:r>
      <w:r w:rsidR="00736952">
        <w:rPr>
          <w:rFonts w:ascii="Arial Narrow" w:eastAsia="Times New Roman" w:hAnsi="Arial Narrow"/>
          <w:sz w:val="24"/>
          <w:szCs w:val="24"/>
          <w:lang w:val="en-US"/>
        </w:rPr>
        <w:t>AI</w:t>
      </w:r>
      <w:r w:rsidR="00736952" w:rsidRPr="00736952">
        <w:rPr>
          <w:rFonts w:ascii="Arial Narrow" w:eastAsia="Times New Roman" w:hAnsi="Arial Narrow"/>
          <w:b/>
          <w:sz w:val="24"/>
          <w:szCs w:val="24"/>
        </w:rPr>
        <w:t xml:space="preserve">. Συγχρόνως η μεταπολεμική ανάκαμψη δημιουργεί μια σειρά σημαντικών ευκαιριών για ελληνικές επιχειρήσεις σε τομείς όπως </w:t>
      </w:r>
      <w:r w:rsidR="00736952">
        <w:rPr>
          <w:rFonts w:ascii="Arial Narrow" w:eastAsia="Times New Roman" w:hAnsi="Arial Narrow"/>
          <w:b/>
          <w:sz w:val="24"/>
          <w:szCs w:val="24"/>
        </w:rPr>
        <w:t xml:space="preserve">κατασκευές, ναυτιλία, </w:t>
      </w:r>
      <w:r w:rsidR="00FA5D1F">
        <w:rPr>
          <w:rFonts w:ascii="Arial Narrow" w:eastAsia="Times New Roman" w:hAnsi="Arial Narrow"/>
          <w:b/>
          <w:sz w:val="24"/>
          <w:szCs w:val="24"/>
          <w:lang w:val="en-US"/>
        </w:rPr>
        <w:t>logistics</w:t>
      </w:r>
      <w:r w:rsidR="00FA5D1F" w:rsidRPr="00FA5D1F">
        <w:rPr>
          <w:rFonts w:ascii="Arial Narrow" w:eastAsia="Times New Roman" w:hAnsi="Arial Narrow"/>
          <w:b/>
          <w:sz w:val="24"/>
          <w:szCs w:val="24"/>
        </w:rPr>
        <w:t xml:space="preserve">, </w:t>
      </w:r>
      <w:r w:rsidR="00FA5D1F">
        <w:rPr>
          <w:rFonts w:ascii="Arial Narrow" w:eastAsia="Times New Roman" w:hAnsi="Arial Narrow"/>
          <w:b/>
          <w:sz w:val="24"/>
          <w:szCs w:val="24"/>
        </w:rPr>
        <w:t xml:space="preserve">τρόφιμα και ποτά, φαρμακευτικά προϊόντα, ΑΠΕ, πράσινο υδρογόνο, τεχνολογία και υπηρεσίες πληροφορικής. </w:t>
      </w:r>
    </w:p>
    <w:p w14:paraId="0022A370" w14:textId="75809ABF" w:rsidR="00D5720F" w:rsidRDefault="00D5720F" w:rsidP="00736952">
      <w:pPr>
        <w:jc w:val="both"/>
        <w:rPr>
          <w:rFonts w:ascii="Arial Narrow" w:hAnsi="Arial Narrow"/>
          <w:b/>
          <w:sz w:val="24"/>
          <w:szCs w:val="24"/>
        </w:rPr>
      </w:pPr>
      <w:r w:rsidRPr="00D5720F">
        <w:rPr>
          <w:rFonts w:ascii="Arial Narrow" w:hAnsi="Arial Narrow"/>
          <w:b/>
          <w:sz w:val="24"/>
          <w:szCs w:val="24"/>
        </w:rPr>
        <w:t>Τα σενάρια που επικρατούν σχετικά με τις εξελίξεις και τον οριστικό τερματισμό των συγκρούσεων χωρίζονται σε τρείς βασικές κατηγορίες, το αισ</w:t>
      </w:r>
      <w:r>
        <w:rPr>
          <w:rFonts w:ascii="Arial Narrow" w:hAnsi="Arial Narrow"/>
          <w:b/>
          <w:sz w:val="24"/>
          <w:szCs w:val="24"/>
        </w:rPr>
        <w:t>ιόδοξο σενάριο με ταχεία αποκατάσταση της περιφερειακής σταθερότητας, σημαντική επιστροφή αλλοδαπών μεγάλων επενδυτών και ανάπτυξη άνω του 5% έως το 2027. Το βασικό σενάριο προβλέπει σταδιακή ανάκαμψη της οικονομίας με μέτρι αύξηση του ΑΕΠ το 2026 και ισχυρότερη ανάπτυξη το 2027. Το τρίτο και δυσμενές σενάριο προβλέπει νέες γεωπολιτικές εντάσεις, συνεχιζόμενες διαταραχές για τη διέλευση των Στενών του Ορμούζ και καθυστέρηση νέων αλλοδαπών επενδύσεων, με χαμηλότεη ανάπτυξη και αυξημένες πληθωριστικές πιέσεις.</w:t>
      </w:r>
    </w:p>
    <w:p w14:paraId="32C9CF7A" w14:textId="0A2011DB" w:rsidR="001034EA" w:rsidRDefault="00D5720F" w:rsidP="00736952">
      <w:pPr>
        <w:jc w:val="both"/>
        <w:rPr>
          <w:rFonts w:ascii="Arial Narrow" w:hAnsi="Arial Narrow"/>
          <w:b/>
          <w:sz w:val="24"/>
          <w:szCs w:val="24"/>
        </w:rPr>
      </w:pPr>
      <w:r>
        <w:rPr>
          <w:rFonts w:ascii="Arial Narrow" w:hAnsi="Arial Narrow"/>
          <w:b/>
          <w:sz w:val="24"/>
          <w:szCs w:val="24"/>
        </w:rPr>
        <w:t>Συμπερασματικά θα μπορούσε να ειπωθεί ότι η μεταπολεμική πορεία των ΗΑΕ αναμένεται να χαρακτηρίζεται από βραχυπρόθεσμη επιβράδυνση έως μεσοπρόθεσμη ισχυρή ανάκαμψη. Τα θεμελιώδη μεγέθη της οικονομίας παραμένουν ισχυρά και η χώρα διαθέτει σημαντικά εργαλεία για την αποκατάσταση της εμπιστοσύνης και την προσέλκυση νέων επενδύσεων. Ωστόσο, η διατήρηση της γεωπολιτικής σταθερότητας και η ομαλή λειτουργία των θαλάσσιων εμπορικών οδών θα αποτελέσουν τους σημαντικότερους παράγοντες που θα καθορίσουν τον ρυθμό της ανάκαμψης.</w:t>
      </w:r>
    </w:p>
    <w:p w14:paraId="1ECC8DBB" w14:textId="77777777" w:rsidR="00022BD6" w:rsidRDefault="00022BD6" w:rsidP="00022BD6">
      <w:pPr>
        <w:pStyle w:val="Heading2"/>
        <w:numPr>
          <w:ilvl w:val="0"/>
          <w:numId w:val="0"/>
        </w:numPr>
        <w:rPr>
          <w:rFonts w:ascii="Arial Narrow" w:eastAsiaTheme="minorEastAsia" w:hAnsi="Arial Narrow" w:cstheme="minorBidi"/>
          <w:bCs w:val="0"/>
          <w:color w:val="auto"/>
          <w:sz w:val="24"/>
          <w:szCs w:val="24"/>
        </w:rPr>
      </w:pPr>
      <w:bookmarkStart w:id="37" w:name="_Toc200448525"/>
    </w:p>
    <w:p w14:paraId="536EDBD4" w14:textId="2E8984FE" w:rsidR="002A2B29" w:rsidRPr="00E95CFC" w:rsidRDefault="00022BD6" w:rsidP="00022BD6">
      <w:pPr>
        <w:pStyle w:val="Heading2"/>
        <w:numPr>
          <w:ilvl w:val="0"/>
          <w:numId w:val="0"/>
        </w:numPr>
        <w:rPr>
          <w:rFonts w:ascii="Arial Narrow" w:hAnsi="Arial Narrow"/>
          <w:color w:val="1F497D" w:themeColor="text2"/>
          <w:sz w:val="28"/>
          <w:szCs w:val="28"/>
        </w:rPr>
      </w:pPr>
      <w:r>
        <w:rPr>
          <w:rFonts w:ascii="Arial Narrow" w:hAnsi="Arial Narrow"/>
          <w:color w:val="1F497D" w:themeColor="text2"/>
          <w:sz w:val="28"/>
          <w:szCs w:val="28"/>
          <w:lang w:val="en-US"/>
        </w:rPr>
        <w:t xml:space="preserve">33. </w:t>
      </w:r>
      <w:r w:rsidR="002A2B29" w:rsidRPr="00E95CFC">
        <w:rPr>
          <w:rFonts w:ascii="Arial Narrow" w:hAnsi="Arial Narrow"/>
          <w:color w:val="1F497D" w:themeColor="text2"/>
          <w:sz w:val="28"/>
          <w:szCs w:val="28"/>
        </w:rPr>
        <w:t xml:space="preserve">Οικονομικές </w:t>
      </w:r>
      <w:r w:rsidR="00E63783" w:rsidRPr="00E95CFC">
        <w:rPr>
          <w:rFonts w:ascii="Arial Narrow" w:hAnsi="Arial Narrow"/>
          <w:color w:val="1F497D" w:themeColor="text2"/>
          <w:sz w:val="28"/>
          <w:szCs w:val="28"/>
        </w:rPr>
        <w:t>Σ</w:t>
      </w:r>
      <w:r w:rsidR="002A2B29" w:rsidRPr="00E95CFC">
        <w:rPr>
          <w:rFonts w:ascii="Arial Narrow" w:hAnsi="Arial Narrow"/>
          <w:color w:val="1F497D" w:themeColor="text2"/>
          <w:sz w:val="28"/>
          <w:szCs w:val="28"/>
        </w:rPr>
        <w:t xml:space="preserve">χέσεις </w:t>
      </w:r>
      <w:r w:rsidR="009C01EF" w:rsidRPr="00E95CFC">
        <w:rPr>
          <w:rFonts w:ascii="Arial Narrow" w:hAnsi="Arial Narrow"/>
          <w:color w:val="1F497D" w:themeColor="text2"/>
          <w:sz w:val="28"/>
          <w:szCs w:val="28"/>
        </w:rPr>
        <w:t>ΗΑΕ</w:t>
      </w:r>
      <w:bookmarkEnd w:id="37"/>
    </w:p>
    <w:p w14:paraId="5671DFAA" w14:textId="1D2ED3A1" w:rsidR="004A14F1" w:rsidRPr="00BA4492" w:rsidRDefault="004A14F1" w:rsidP="00E95CFC">
      <w:pPr>
        <w:spacing w:before="120" w:after="120"/>
        <w:ind w:firstLine="576"/>
        <w:jc w:val="both"/>
        <w:rPr>
          <w:rFonts w:ascii="Arial Narrow" w:eastAsia="Times New Roman" w:hAnsi="Arial Narrow" w:cs="Times New Roman"/>
          <w:sz w:val="24"/>
          <w:szCs w:val="24"/>
          <w:shd w:val="clear" w:color="auto" w:fill="FFFFFF"/>
        </w:rPr>
      </w:pPr>
      <w:r w:rsidRPr="00BA4492">
        <w:rPr>
          <w:rFonts w:ascii="Arial Narrow" w:eastAsia="Times New Roman" w:hAnsi="Arial Narrow" w:cs="Times New Roman"/>
          <w:sz w:val="24"/>
          <w:szCs w:val="24"/>
          <w:shd w:val="clear" w:color="auto" w:fill="FFFFFF"/>
        </w:rPr>
        <w:t xml:space="preserve">Τα ΗΑΕ διατηρούν την αξιόλογη δυναμική που έχει αναπτυχθεί μετά την πανδημία, εστιάζοντας σε </w:t>
      </w:r>
      <w:r w:rsidRPr="00BA4492">
        <w:rPr>
          <w:rFonts w:ascii="Arial Narrow" w:eastAsia="Times New Roman" w:hAnsi="Arial Narrow" w:cs="Times New Roman"/>
          <w:b/>
          <w:bCs/>
          <w:sz w:val="24"/>
          <w:szCs w:val="24"/>
          <w:shd w:val="clear" w:color="auto" w:fill="FFFFFF"/>
        </w:rPr>
        <w:t>τρία πεδία</w:t>
      </w:r>
      <w:r w:rsidRPr="00BA4492">
        <w:rPr>
          <w:rFonts w:ascii="Arial Narrow" w:eastAsia="Times New Roman" w:hAnsi="Arial Narrow" w:cs="Times New Roman"/>
          <w:sz w:val="24"/>
          <w:szCs w:val="24"/>
          <w:shd w:val="clear" w:color="auto" w:fill="FFFFFF"/>
        </w:rPr>
        <w:t xml:space="preserve">: σύναψη διμερών οικονομικών και εμπορικών συμφωνιών με όσες το δυνατόν περισσότερο χώρες, συμμετοχή σε περιφερειακές, αλλά και ευρύτερες, συμμαχίες και πρωτοβουλίες, διατήρηση και περαιτέρω ανάπτυξη της θέσης τους ως οικονομικού κόμβου της περιοχής, με την προώθηση μιας πολυπολικής συνεργασίας, χωρίς αποκλεισμούς. </w:t>
      </w:r>
    </w:p>
    <w:p w14:paraId="3682F833" w14:textId="55A2F18D" w:rsidR="00E95CFC" w:rsidRPr="00817F84" w:rsidRDefault="00022BD6" w:rsidP="00022BD6">
      <w:pPr>
        <w:pStyle w:val="Heading3"/>
        <w:numPr>
          <w:ilvl w:val="0"/>
          <w:numId w:val="0"/>
        </w:numPr>
        <w:ind w:left="720" w:hanging="720"/>
        <w:rPr>
          <w:rFonts w:ascii="Arial Narrow" w:hAnsi="Arial Narrow"/>
          <w:sz w:val="24"/>
          <w:szCs w:val="24"/>
        </w:rPr>
      </w:pPr>
      <w:bookmarkStart w:id="38" w:name="_Toc200448526"/>
      <w:r>
        <w:rPr>
          <w:rFonts w:ascii="Arial Narrow" w:hAnsi="Arial Narrow"/>
          <w:sz w:val="24"/>
          <w:szCs w:val="24"/>
          <w:lang w:val="en-US"/>
        </w:rPr>
        <w:t xml:space="preserve">33.1. </w:t>
      </w:r>
      <w:r w:rsidR="009C01EF" w:rsidRPr="00817F84">
        <w:rPr>
          <w:rFonts w:ascii="Arial Narrow" w:hAnsi="Arial Narrow"/>
          <w:sz w:val="24"/>
          <w:szCs w:val="24"/>
        </w:rPr>
        <w:t>ΗΑΕ</w:t>
      </w:r>
      <w:r w:rsidR="002A2B29" w:rsidRPr="00817F84">
        <w:rPr>
          <w:rFonts w:ascii="Arial Narrow" w:hAnsi="Arial Narrow"/>
          <w:sz w:val="24"/>
          <w:szCs w:val="24"/>
        </w:rPr>
        <w:t xml:space="preserve"> –  ΠΟΕ</w:t>
      </w:r>
      <w:bookmarkEnd w:id="38"/>
    </w:p>
    <w:p w14:paraId="34C3513C" w14:textId="3A74E08D" w:rsidR="00E95CFC" w:rsidRPr="00BA4492" w:rsidRDefault="00E77DDB" w:rsidP="00E95CFC">
      <w:pPr>
        <w:ind w:firstLine="567"/>
        <w:jc w:val="both"/>
        <w:rPr>
          <w:rFonts w:ascii="Arial Narrow" w:hAnsi="Arial Narrow" w:cs="Times New Roman"/>
          <w:sz w:val="24"/>
          <w:szCs w:val="24"/>
        </w:rPr>
      </w:pPr>
      <w:r w:rsidRPr="00BA4492">
        <w:rPr>
          <w:rFonts w:ascii="Arial Narrow" w:hAnsi="Arial Narrow" w:cs="Times New Roman"/>
          <w:sz w:val="24"/>
          <w:szCs w:val="24"/>
        </w:rPr>
        <w:t xml:space="preserve">Τα ΗΑΕ είναι </w:t>
      </w:r>
      <w:r w:rsidRPr="00BA4492">
        <w:rPr>
          <w:rFonts w:ascii="Arial Narrow" w:hAnsi="Arial Narrow" w:cs="Times New Roman"/>
          <w:b/>
          <w:sz w:val="24"/>
          <w:szCs w:val="24"/>
        </w:rPr>
        <w:t xml:space="preserve">μέλος </w:t>
      </w:r>
      <w:r w:rsidRPr="00BA4492">
        <w:rPr>
          <w:rFonts w:ascii="Arial Narrow" w:hAnsi="Arial Narrow" w:cs="Times New Roman"/>
          <w:sz w:val="24"/>
          <w:szCs w:val="24"/>
        </w:rPr>
        <w:t xml:space="preserve">του ΠΟΕ από τον Απρίλιο </w:t>
      </w:r>
      <w:r w:rsidRPr="00BA4492">
        <w:rPr>
          <w:rFonts w:ascii="Arial Narrow" w:hAnsi="Arial Narrow" w:cs="Times New Roman"/>
          <w:b/>
          <w:sz w:val="24"/>
          <w:szCs w:val="24"/>
        </w:rPr>
        <w:t xml:space="preserve">1996 </w:t>
      </w:r>
      <w:r w:rsidRPr="00BA4492">
        <w:rPr>
          <w:rFonts w:ascii="Arial Narrow" w:hAnsi="Arial Narrow" w:cs="Times New Roman"/>
          <w:sz w:val="24"/>
          <w:szCs w:val="24"/>
        </w:rPr>
        <w:t>και μέ</w:t>
      </w:r>
      <w:r w:rsidR="000966FA" w:rsidRPr="00BA4492">
        <w:rPr>
          <w:rFonts w:ascii="Arial Narrow" w:hAnsi="Arial Narrow" w:cs="Times New Roman"/>
          <w:sz w:val="24"/>
          <w:szCs w:val="24"/>
        </w:rPr>
        <w:t>λ</w:t>
      </w:r>
      <w:r w:rsidRPr="00BA4492">
        <w:rPr>
          <w:rFonts w:ascii="Arial Narrow" w:hAnsi="Arial Narrow" w:cs="Times New Roman"/>
          <w:sz w:val="24"/>
          <w:szCs w:val="24"/>
        </w:rPr>
        <w:t xml:space="preserve">ος της </w:t>
      </w:r>
      <w:r w:rsidRPr="00BA4492">
        <w:rPr>
          <w:rFonts w:ascii="Arial Narrow" w:hAnsi="Arial Narrow" w:cs="Times New Roman"/>
          <w:b/>
          <w:sz w:val="24"/>
          <w:szCs w:val="24"/>
          <w:lang w:val="en-US"/>
        </w:rPr>
        <w:t>GATT</w:t>
      </w:r>
      <w:r w:rsidRPr="00BA4492">
        <w:rPr>
          <w:rFonts w:ascii="Arial Narrow" w:hAnsi="Arial Narrow" w:cs="Times New Roman"/>
          <w:sz w:val="24"/>
          <w:szCs w:val="24"/>
        </w:rPr>
        <w:t xml:space="preserve"> από τον Μάρτιο </w:t>
      </w:r>
      <w:r w:rsidRPr="00BA4492">
        <w:rPr>
          <w:rFonts w:ascii="Arial Narrow" w:hAnsi="Arial Narrow" w:cs="Times New Roman"/>
          <w:b/>
          <w:sz w:val="24"/>
          <w:szCs w:val="24"/>
        </w:rPr>
        <w:t>1994</w:t>
      </w:r>
      <w:r w:rsidR="00184AEF" w:rsidRPr="00BA4492">
        <w:rPr>
          <w:rFonts w:ascii="Arial Narrow" w:hAnsi="Arial Narrow" w:cs="Times New Roman"/>
          <w:sz w:val="24"/>
          <w:szCs w:val="24"/>
        </w:rPr>
        <w:t xml:space="preserve">, αλλά </w:t>
      </w:r>
      <w:r w:rsidR="00184AEF" w:rsidRPr="00BA4492">
        <w:rPr>
          <w:rFonts w:ascii="Arial Narrow" w:hAnsi="Arial Narrow" w:cs="Times New Roman"/>
          <w:b/>
          <w:bCs/>
          <w:sz w:val="24"/>
          <w:szCs w:val="24"/>
        </w:rPr>
        <w:t>δεν έχ</w:t>
      </w:r>
      <w:r w:rsidR="008F5A23" w:rsidRPr="00BA4492">
        <w:rPr>
          <w:rFonts w:ascii="Arial Narrow" w:hAnsi="Arial Narrow" w:cs="Times New Roman"/>
          <w:b/>
          <w:bCs/>
          <w:sz w:val="24"/>
          <w:szCs w:val="24"/>
        </w:rPr>
        <w:t>ουν</w:t>
      </w:r>
      <w:r w:rsidR="00184AEF" w:rsidRPr="00BA4492">
        <w:rPr>
          <w:rFonts w:ascii="Arial Narrow" w:hAnsi="Arial Narrow" w:cs="Times New Roman"/>
          <w:b/>
          <w:bCs/>
          <w:sz w:val="24"/>
          <w:szCs w:val="24"/>
        </w:rPr>
        <w:t xml:space="preserve"> υπογράψει</w:t>
      </w:r>
      <w:r w:rsidR="00184AEF" w:rsidRPr="00BA4492">
        <w:rPr>
          <w:rFonts w:ascii="Arial Narrow" w:hAnsi="Arial Narrow" w:cs="Times New Roman"/>
          <w:sz w:val="24"/>
          <w:szCs w:val="24"/>
        </w:rPr>
        <w:t xml:space="preserve"> την </w:t>
      </w:r>
      <w:r w:rsidR="00184AEF" w:rsidRPr="00BA4492">
        <w:rPr>
          <w:rFonts w:ascii="Arial Narrow" w:hAnsi="Arial Narrow" w:cs="Times New Roman"/>
          <w:b/>
          <w:bCs/>
          <w:sz w:val="24"/>
          <w:szCs w:val="24"/>
        </w:rPr>
        <w:t xml:space="preserve">Συμφωνία για τις Δημόσιες Συμβάσεις </w:t>
      </w:r>
      <w:r w:rsidR="00184AEF" w:rsidRPr="00BA4492">
        <w:rPr>
          <w:rFonts w:ascii="Arial Narrow" w:hAnsi="Arial Narrow" w:cs="Times New Roman"/>
          <w:sz w:val="24"/>
          <w:szCs w:val="24"/>
        </w:rPr>
        <w:t>(</w:t>
      </w:r>
      <w:r w:rsidR="00884EE8" w:rsidRPr="00BA4492">
        <w:rPr>
          <w:rFonts w:ascii="Arial Narrow" w:hAnsi="Arial Narrow" w:cs="Times New Roman"/>
          <w:sz w:val="24"/>
          <w:szCs w:val="24"/>
          <w:lang w:val="en-US"/>
        </w:rPr>
        <w:t>Agreement</w:t>
      </w:r>
      <w:r w:rsidR="00884EE8" w:rsidRPr="00BA4492">
        <w:rPr>
          <w:rFonts w:ascii="Arial Narrow" w:hAnsi="Arial Narrow" w:cs="Times New Roman"/>
          <w:sz w:val="24"/>
          <w:szCs w:val="24"/>
        </w:rPr>
        <w:t xml:space="preserve"> </w:t>
      </w:r>
      <w:r w:rsidR="00884EE8" w:rsidRPr="00BA4492">
        <w:rPr>
          <w:rFonts w:ascii="Arial Narrow" w:hAnsi="Arial Narrow" w:cs="Times New Roman"/>
          <w:sz w:val="24"/>
          <w:szCs w:val="24"/>
          <w:lang w:val="en-US"/>
        </w:rPr>
        <w:t>on</w:t>
      </w:r>
      <w:r w:rsidR="00884EE8" w:rsidRPr="00BA4492">
        <w:rPr>
          <w:rFonts w:ascii="Arial Narrow" w:hAnsi="Arial Narrow" w:cs="Times New Roman"/>
          <w:sz w:val="24"/>
          <w:szCs w:val="24"/>
        </w:rPr>
        <w:t xml:space="preserve"> </w:t>
      </w:r>
      <w:r w:rsidR="00884EE8" w:rsidRPr="00BA4492">
        <w:rPr>
          <w:rFonts w:ascii="Arial Narrow" w:hAnsi="Arial Narrow" w:cs="Times New Roman"/>
          <w:sz w:val="24"/>
          <w:szCs w:val="24"/>
          <w:lang w:val="en-US"/>
        </w:rPr>
        <w:t>Government</w:t>
      </w:r>
      <w:r w:rsidR="00884EE8" w:rsidRPr="00BA4492">
        <w:rPr>
          <w:rFonts w:ascii="Arial Narrow" w:hAnsi="Arial Narrow" w:cs="Times New Roman"/>
          <w:sz w:val="24"/>
          <w:szCs w:val="24"/>
        </w:rPr>
        <w:t xml:space="preserve"> </w:t>
      </w:r>
      <w:r w:rsidR="00884EE8" w:rsidRPr="00BA4492">
        <w:rPr>
          <w:rFonts w:ascii="Arial Narrow" w:hAnsi="Arial Narrow" w:cs="Times New Roman"/>
          <w:sz w:val="24"/>
          <w:szCs w:val="24"/>
          <w:lang w:val="en-US"/>
        </w:rPr>
        <w:t>Procurement</w:t>
      </w:r>
      <w:r w:rsidR="00884EE8" w:rsidRPr="00BA4492">
        <w:rPr>
          <w:rFonts w:ascii="Arial Narrow" w:hAnsi="Arial Narrow" w:cs="Times New Roman"/>
          <w:sz w:val="24"/>
          <w:szCs w:val="24"/>
        </w:rPr>
        <w:t xml:space="preserve"> -</w:t>
      </w:r>
      <w:r w:rsidR="00884EE8" w:rsidRPr="00BA4492">
        <w:rPr>
          <w:rFonts w:ascii="Arial Narrow" w:hAnsi="Arial Narrow" w:cs="Times New Roman"/>
          <w:b/>
          <w:bCs/>
          <w:sz w:val="24"/>
          <w:szCs w:val="24"/>
        </w:rPr>
        <w:t xml:space="preserve"> </w:t>
      </w:r>
      <w:r w:rsidR="00184AEF" w:rsidRPr="00BA4492">
        <w:rPr>
          <w:rFonts w:ascii="Arial Narrow" w:hAnsi="Arial Narrow" w:cs="Times New Roman"/>
          <w:b/>
          <w:bCs/>
          <w:sz w:val="24"/>
          <w:szCs w:val="24"/>
          <w:lang w:val="en-US"/>
        </w:rPr>
        <w:t>GPA</w:t>
      </w:r>
      <w:r w:rsidR="00184AEF" w:rsidRPr="00BA4492">
        <w:rPr>
          <w:rFonts w:ascii="Arial Narrow" w:hAnsi="Arial Narrow" w:cs="Times New Roman"/>
          <w:b/>
          <w:bCs/>
          <w:sz w:val="24"/>
          <w:szCs w:val="24"/>
        </w:rPr>
        <w:t>)</w:t>
      </w:r>
      <w:r w:rsidR="00184AEF" w:rsidRPr="00BA4492">
        <w:rPr>
          <w:rFonts w:ascii="Arial Narrow" w:hAnsi="Arial Narrow" w:cs="Times New Roman"/>
          <w:sz w:val="24"/>
          <w:szCs w:val="24"/>
        </w:rPr>
        <w:t>, γεγονός που καθιστά απαγορευτική τη συμμετοχή ελληνικών εταιρειών σε δημόσιους διαγωνισμούς στα ΗΑΕ, χωρίς νομική παρουσία στη χώρα</w:t>
      </w:r>
      <w:bookmarkStart w:id="39" w:name="_ΗΑΕ_–_Ευρωπαϊκή"/>
      <w:bookmarkStart w:id="40" w:name="_Toc200448527"/>
      <w:bookmarkEnd w:id="39"/>
      <w:r w:rsidR="00E95CFC" w:rsidRPr="00BA4492">
        <w:rPr>
          <w:rFonts w:ascii="Arial Narrow" w:hAnsi="Arial Narrow" w:cs="Times New Roman"/>
          <w:sz w:val="24"/>
          <w:szCs w:val="24"/>
        </w:rPr>
        <w:t>ς.</w:t>
      </w:r>
    </w:p>
    <w:p w14:paraId="03E7EA89" w14:textId="244E44DF" w:rsidR="00E923A4" w:rsidRPr="00817F84" w:rsidRDefault="00022BD6" w:rsidP="00E95CFC">
      <w:pPr>
        <w:jc w:val="both"/>
        <w:rPr>
          <w:rFonts w:ascii="Arial Narrow" w:hAnsi="Arial Narrow" w:cs="Times New Roman"/>
          <w:b/>
          <w:color w:val="4F81BD" w:themeColor="accent1"/>
          <w:sz w:val="24"/>
          <w:szCs w:val="24"/>
        </w:rPr>
      </w:pPr>
      <w:r>
        <w:rPr>
          <w:rFonts w:ascii="Arial Narrow" w:hAnsi="Arial Narrow"/>
          <w:b/>
          <w:color w:val="4F81BD" w:themeColor="accent1"/>
          <w:sz w:val="24"/>
          <w:szCs w:val="24"/>
          <w:lang w:val="en-US"/>
        </w:rPr>
        <w:t xml:space="preserve">33.2. </w:t>
      </w:r>
      <w:r w:rsidR="002A2B29" w:rsidRPr="00817F84">
        <w:rPr>
          <w:rFonts w:ascii="Arial Narrow" w:hAnsi="Arial Narrow"/>
          <w:b/>
          <w:color w:val="4F81BD" w:themeColor="accent1"/>
          <w:sz w:val="24"/>
          <w:szCs w:val="24"/>
        </w:rPr>
        <w:t>Ευρωπαϊκή Ένωση</w:t>
      </w:r>
      <w:bookmarkEnd w:id="40"/>
    </w:p>
    <w:p w14:paraId="5F4495CA" w14:textId="57DD669F" w:rsidR="00EB2019" w:rsidRPr="00BA4492" w:rsidRDefault="006E6DD7" w:rsidP="00EB2019">
      <w:pPr>
        <w:ind w:firstLine="567"/>
        <w:jc w:val="both"/>
        <w:rPr>
          <w:rFonts w:ascii="Arial Narrow" w:hAnsi="Arial Narrow" w:cs="Times New Roman"/>
          <w:sz w:val="24"/>
          <w:szCs w:val="24"/>
          <w:shd w:val="clear" w:color="auto" w:fill="FFFFFF"/>
        </w:rPr>
      </w:pPr>
      <w:r w:rsidRPr="00BA4492">
        <w:rPr>
          <w:rFonts w:ascii="Arial Narrow" w:hAnsi="Arial Narrow" w:cs="Times New Roman"/>
          <w:sz w:val="24"/>
          <w:szCs w:val="24"/>
        </w:rPr>
        <w:t>Η ΕΕ και τα ΗΑΕ έχουν αναπτύξει διπλωματικ</w:t>
      </w:r>
      <w:r w:rsidR="006A6E99" w:rsidRPr="00BA4492">
        <w:rPr>
          <w:rFonts w:ascii="Arial Narrow" w:hAnsi="Arial Narrow" w:cs="Times New Roman"/>
          <w:sz w:val="24"/>
          <w:szCs w:val="24"/>
        </w:rPr>
        <w:t>ές σχέσεις</w:t>
      </w:r>
      <w:r w:rsidRPr="00BA4492">
        <w:rPr>
          <w:rFonts w:ascii="Arial Narrow" w:hAnsi="Arial Narrow" w:cs="Times New Roman"/>
          <w:sz w:val="24"/>
          <w:szCs w:val="24"/>
        </w:rPr>
        <w:t xml:space="preserve"> με επίκεντρο τα κοινά πολιτικά και περιφερειακά συμφέροντα.</w:t>
      </w:r>
      <w:r w:rsidR="006A6E99" w:rsidRPr="00BA4492">
        <w:rPr>
          <w:rFonts w:ascii="Arial Narrow" w:hAnsi="Arial Narrow" w:cs="Times New Roman"/>
          <w:sz w:val="24"/>
          <w:szCs w:val="24"/>
        </w:rPr>
        <w:t xml:space="preserve"> Η</w:t>
      </w:r>
      <w:r w:rsidR="00F4124E" w:rsidRPr="00BA4492">
        <w:rPr>
          <w:rFonts w:ascii="Arial Narrow" w:hAnsi="Arial Narrow" w:cs="Times New Roman"/>
          <w:sz w:val="24"/>
          <w:szCs w:val="24"/>
        </w:rPr>
        <w:t xml:space="preserve"> ΕΕ άνοιξε </w:t>
      </w:r>
      <w:r w:rsidR="00C97AF9" w:rsidRPr="00BA4492">
        <w:rPr>
          <w:rFonts w:ascii="Arial Narrow" w:hAnsi="Arial Narrow" w:cs="Times New Roman"/>
          <w:sz w:val="24"/>
          <w:szCs w:val="24"/>
        </w:rPr>
        <w:t xml:space="preserve">αντιπροσωπεία στο </w:t>
      </w:r>
      <w:r w:rsidR="00735029" w:rsidRPr="00BA4492">
        <w:rPr>
          <w:rFonts w:ascii="Arial Narrow" w:hAnsi="Arial Narrow" w:cs="Times New Roman"/>
          <w:sz w:val="24"/>
          <w:szCs w:val="24"/>
          <w:lang w:val="en-US"/>
        </w:rPr>
        <w:t>Abu</w:t>
      </w:r>
      <w:r w:rsidR="00735029" w:rsidRPr="00BA4492">
        <w:rPr>
          <w:rFonts w:ascii="Arial Narrow" w:hAnsi="Arial Narrow" w:cs="Times New Roman"/>
          <w:sz w:val="24"/>
          <w:szCs w:val="24"/>
        </w:rPr>
        <w:t xml:space="preserve"> </w:t>
      </w:r>
      <w:r w:rsidR="00735029" w:rsidRPr="00BA4492">
        <w:rPr>
          <w:rFonts w:ascii="Arial Narrow" w:hAnsi="Arial Narrow" w:cs="Times New Roman"/>
          <w:sz w:val="24"/>
          <w:szCs w:val="24"/>
          <w:lang w:val="en-US"/>
        </w:rPr>
        <w:t>Dhabi</w:t>
      </w:r>
      <w:r w:rsidR="00C97AF9" w:rsidRPr="00BA4492">
        <w:rPr>
          <w:rFonts w:ascii="Arial Narrow" w:hAnsi="Arial Narrow" w:cs="Times New Roman"/>
          <w:sz w:val="24"/>
          <w:szCs w:val="24"/>
        </w:rPr>
        <w:t xml:space="preserve"> το</w:t>
      </w:r>
      <w:r w:rsidR="00174EC6" w:rsidRPr="00BA4492">
        <w:rPr>
          <w:rFonts w:ascii="Arial Narrow" w:hAnsi="Arial Narrow" w:cs="Times New Roman"/>
          <w:sz w:val="24"/>
          <w:szCs w:val="24"/>
        </w:rPr>
        <w:t>ν</w:t>
      </w:r>
      <w:r w:rsidR="00C97AF9" w:rsidRPr="00BA4492">
        <w:rPr>
          <w:rFonts w:ascii="Arial Narrow" w:hAnsi="Arial Narrow" w:cs="Times New Roman"/>
          <w:sz w:val="24"/>
          <w:szCs w:val="24"/>
        </w:rPr>
        <w:t xml:space="preserve"> </w:t>
      </w:r>
      <w:r w:rsidR="00F4124E" w:rsidRPr="00BA4492">
        <w:rPr>
          <w:rFonts w:ascii="Arial Narrow" w:hAnsi="Arial Narrow" w:cs="Times New Roman"/>
          <w:sz w:val="24"/>
          <w:szCs w:val="24"/>
        </w:rPr>
        <w:t>Νοέμβριο</w:t>
      </w:r>
      <w:r w:rsidR="00C97AF9" w:rsidRPr="00BA4492">
        <w:rPr>
          <w:rFonts w:ascii="Arial Narrow" w:hAnsi="Arial Narrow" w:cs="Times New Roman"/>
          <w:sz w:val="24"/>
          <w:szCs w:val="24"/>
        </w:rPr>
        <w:t xml:space="preserve"> </w:t>
      </w:r>
      <w:r w:rsidR="00C97AF9" w:rsidRPr="00BA4492">
        <w:rPr>
          <w:rFonts w:ascii="Arial Narrow" w:hAnsi="Arial Narrow" w:cs="Times New Roman"/>
          <w:b/>
          <w:sz w:val="24"/>
          <w:szCs w:val="24"/>
        </w:rPr>
        <w:t>2013</w:t>
      </w:r>
      <w:r w:rsidR="00147ECF" w:rsidRPr="00BA4492">
        <w:rPr>
          <w:rFonts w:ascii="Arial Narrow" w:hAnsi="Arial Narrow" w:cs="Times New Roman"/>
          <w:sz w:val="24"/>
          <w:szCs w:val="24"/>
        </w:rPr>
        <w:t xml:space="preserve">. </w:t>
      </w:r>
      <w:r w:rsidR="006A6E99" w:rsidRPr="00BA4492">
        <w:rPr>
          <w:rFonts w:ascii="Arial Narrow" w:hAnsi="Arial Narrow" w:cs="Times New Roman"/>
          <w:sz w:val="24"/>
          <w:szCs w:val="24"/>
        </w:rPr>
        <w:t>Οι</w:t>
      </w:r>
      <w:r w:rsidR="00147ECF" w:rsidRPr="00BA4492">
        <w:rPr>
          <w:rFonts w:ascii="Arial Narrow" w:hAnsi="Arial Narrow" w:cs="Times New Roman"/>
          <w:sz w:val="24"/>
          <w:szCs w:val="24"/>
        </w:rPr>
        <w:t xml:space="preserve"> σ</w:t>
      </w:r>
      <w:r w:rsidR="00C97AF9" w:rsidRPr="00BA4492">
        <w:rPr>
          <w:rFonts w:ascii="Arial Narrow" w:hAnsi="Arial Narrow" w:cs="Times New Roman"/>
          <w:sz w:val="24"/>
          <w:szCs w:val="24"/>
        </w:rPr>
        <w:t xml:space="preserve">χέσεις με την ΕΕ </w:t>
      </w:r>
      <w:r w:rsidR="00316D90" w:rsidRPr="00BA4492">
        <w:rPr>
          <w:rFonts w:ascii="Arial Narrow" w:hAnsi="Arial Narrow" w:cs="Times New Roman"/>
          <w:sz w:val="24"/>
          <w:szCs w:val="24"/>
        </w:rPr>
        <w:t>διέποντα</w:t>
      </w:r>
      <w:r w:rsidR="006A6E99" w:rsidRPr="00BA4492">
        <w:rPr>
          <w:rFonts w:ascii="Arial Narrow" w:hAnsi="Arial Narrow" w:cs="Times New Roman"/>
          <w:sz w:val="24"/>
          <w:szCs w:val="24"/>
        </w:rPr>
        <w:t>ι</w:t>
      </w:r>
      <w:r w:rsidR="00316D90" w:rsidRPr="00BA4492">
        <w:rPr>
          <w:rFonts w:ascii="Arial Narrow" w:hAnsi="Arial Narrow" w:cs="Times New Roman"/>
          <w:sz w:val="24"/>
          <w:szCs w:val="24"/>
        </w:rPr>
        <w:t xml:space="preserve"> από τη</w:t>
      </w:r>
      <w:r w:rsidR="00C97AF9" w:rsidRPr="00BA4492">
        <w:rPr>
          <w:rFonts w:ascii="Arial Narrow" w:hAnsi="Arial Narrow" w:cs="Times New Roman"/>
          <w:sz w:val="24"/>
          <w:szCs w:val="24"/>
        </w:rPr>
        <w:t xml:space="preserve"> Συμφωνία Συνεργασίας</w:t>
      </w:r>
      <w:r w:rsidR="00E22499" w:rsidRPr="00BA4492">
        <w:rPr>
          <w:rFonts w:ascii="Arial Narrow" w:hAnsi="Arial Narrow" w:cs="Times New Roman"/>
          <w:sz w:val="24"/>
          <w:szCs w:val="24"/>
        </w:rPr>
        <w:t xml:space="preserve"> </w:t>
      </w:r>
      <w:r w:rsidR="00C97AF9" w:rsidRPr="00BA4492">
        <w:rPr>
          <w:rFonts w:ascii="Arial Narrow" w:hAnsi="Arial Narrow" w:cs="Times New Roman"/>
          <w:b/>
          <w:sz w:val="24"/>
          <w:szCs w:val="24"/>
        </w:rPr>
        <w:t>ΕΕ-Συμβουλίου Συνεργασίας του Κόλπου</w:t>
      </w:r>
      <w:r w:rsidR="00AA1A33" w:rsidRPr="00BA4492">
        <w:rPr>
          <w:rFonts w:ascii="Arial Narrow" w:hAnsi="Arial Narrow" w:cs="Times New Roman"/>
          <w:sz w:val="24"/>
          <w:szCs w:val="24"/>
        </w:rPr>
        <w:t xml:space="preserve"> </w:t>
      </w:r>
      <w:r w:rsidR="00AA1A33" w:rsidRPr="00BA4492">
        <w:rPr>
          <w:rFonts w:ascii="Arial Narrow" w:eastAsia="Times New Roman" w:hAnsi="Arial Narrow" w:cs="Times New Roman"/>
          <w:sz w:val="24"/>
          <w:szCs w:val="24"/>
          <w:lang w:eastAsia="en-GB"/>
        </w:rPr>
        <w:t xml:space="preserve">– </w:t>
      </w:r>
      <w:r w:rsidR="00C97AF9" w:rsidRPr="00BA4492">
        <w:rPr>
          <w:rFonts w:ascii="Arial Narrow" w:hAnsi="Arial Narrow" w:cs="Times New Roman"/>
          <w:sz w:val="24"/>
          <w:szCs w:val="24"/>
        </w:rPr>
        <w:t>ΣΣΚ</w:t>
      </w:r>
      <w:r w:rsidR="00E22499" w:rsidRPr="00BA4492">
        <w:rPr>
          <w:rFonts w:ascii="Arial Narrow" w:hAnsi="Arial Narrow" w:cs="Times New Roman"/>
          <w:sz w:val="24"/>
          <w:szCs w:val="24"/>
        </w:rPr>
        <w:t xml:space="preserve"> (</w:t>
      </w:r>
      <w:r w:rsidR="00E22499" w:rsidRPr="00BA4492">
        <w:rPr>
          <w:rFonts w:ascii="Arial Narrow" w:hAnsi="Arial Narrow" w:cs="Times New Roman"/>
          <w:sz w:val="24"/>
          <w:szCs w:val="24"/>
          <w:lang w:val="en-US"/>
        </w:rPr>
        <w:t>EU</w:t>
      </w:r>
      <w:r w:rsidR="00E22499" w:rsidRPr="00BA4492">
        <w:rPr>
          <w:rFonts w:ascii="Arial Narrow" w:hAnsi="Arial Narrow" w:cs="Times New Roman"/>
          <w:sz w:val="24"/>
          <w:szCs w:val="24"/>
        </w:rPr>
        <w:t>-</w:t>
      </w:r>
      <w:r w:rsidR="00E22499" w:rsidRPr="00BA4492">
        <w:rPr>
          <w:rFonts w:ascii="Arial Narrow" w:hAnsi="Arial Narrow" w:cs="Times New Roman"/>
          <w:sz w:val="24"/>
          <w:szCs w:val="24"/>
          <w:lang w:val="en-US"/>
        </w:rPr>
        <w:t>GCC</w:t>
      </w:r>
      <w:r w:rsidR="00E22499" w:rsidRPr="00BA4492">
        <w:rPr>
          <w:rFonts w:ascii="Arial Narrow" w:hAnsi="Arial Narrow" w:cs="Times New Roman"/>
          <w:sz w:val="24"/>
          <w:szCs w:val="24"/>
        </w:rPr>
        <w:t xml:space="preserve"> </w:t>
      </w:r>
      <w:r w:rsidR="00E22499" w:rsidRPr="00BA4492">
        <w:rPr>
          <w:rFonts w:ascii="Arial Narrow" w:hAnsi="Arial Narrow" w:cs="Times New Roman"/>
          <w:sz w:val="24"/>
          <w:szCs w:val="24"/>
          <w:lang w:val="en-US"/>
        </w:rPr>
        <w:t>Cooperation</w:t>
      </w:r>
      <w:r w:rsidR="00E22499" w:rsidRPr="00BA4492">
        <w:rPr>
          <w:rFonts w:ascii="Arial Narrow" w:hAnsi="Arial Narrow" w:cs="Times New Roman"/>
          <w:sz w:val="24"/>
          <w:szCs w:val="24"/>
        </w:rPr>
        <w:t xml:space="preserve"> </w:t>
      </w:r>
      <w:r w:rsidR="00E22499" w:rsidRPr="00BA4492">
        <w:rPr>
          <w:rFonts w:ascii="Arial Narrow" w:hAnsi="Arial Narrow" w:cs="Times New Roman"/>
          <w:sz w:val="24"/>
          <w:szCs w:val="24"/>
          <w:lang w:val="en-US"/>
        </w:rPr>
        <w:t>Agreement</w:t>
      </w:r>
      <w:r w:rsidR="00E22499" w:rsidRPr="00BA4492">
        <w:rPr>
          <w:rFonts w:ascii="Arial Narrow" w:hAnsi="Arial Narrow" w:cs="Times New Roman"/>
          <w:sz w:val="24"/>
          <w:szCs w:val="24"/>
        </w:rPr>
        <w:t xml:space="preserve">), η οποία υπεγράφη το </w:t>
      </w:r>
      <w:r w:rsidR="00E22499" w:rsidRPr="00BA4492">
        <w:rPr>
          <w:rFonts w:ascii="Arial Narrow" w:hAnsi="Arial Narrow" w:cs="Times New Roman"/>
          <w:b/>
          <w:sz w:val="24"/>
          <w:szCs w:val="24"/>
        </w:rPr>
        <w:t>1988</w:t>
      </w:r>
      <w:r w:rsidR="00735029" w:rsidRPr="00BA4492">
        <w:rPr>
          <w:rFonts w:ascii="Arial Narrow" w:hAnsi="Arial Narrow" w:cs="Times New Roman"/>
          <w:sz w:val="24"/>
          <w:szCs w:val="24"/>
        </w:rPr>
        <w:t xml:space="preserve">. Επί του παρόντος, τα ΗΑΕ φιλοξενούν τις </w:t>
      </w:r>
      <w:r w:rsidR="00735029" w:rsidRPr="00BA4492">
        <w:rPr>
          <w:rFonts w:ascii="Arial Narrow" w:hAnsi="Arial Narrow" w:cs="Times New Roman"/>
          <w:b/>
          <w:sz w:val="24"/>
          <w:szCs w:val="24"/>
        </w:rPr>
        <w:t>Πρεσβείες 26 κ-μ</w:t>
      </w:r>
      <w:r w:rsidR="00735029" w:rsidRPr="00BA4492">
        <w:rPr>
          <w:rFonts w:ascii="Arial Narrow" w:hAnsi="Arial Narrow" w:cs="Times New Roman"/>
          <w:sz w:val="24"/>
          <w:szCs w:val="24"/>
        </w:rPr>
        <w:t xml:space="preserve"> της ΕΕ.</w:t>
      </w:r>
      <w:r w:rsidR="001D1F98" w:rsidRPr="00BA4492">
        <w:rPr>
          <w:rFonts w:ascii="Arial Narrow" w:hAnsi="Arial Narrow" w:cs="Times New Roman"/>
          <w:sz w:val="24"/>
          <w:szCs w:val="24"/>
        </w:rPr>
        <w:t xml:space="preserve"> </w:t>
      </w:r>
      <w:r w:rsidR="00AD0A58" w:rsidRPr="00BA4492">
        <w:rPr>
          <w:rFonts w:ascii="Arial Narrow" w:hAnsi="Arial Narrow" w:cs="Times New Roman"/>
          <w:sz w:val="24"/>
          <w:szCs w:val="24"/>
        </w:rPr>
        <w:t xml:space="preserve">Η </w:t>
      </w:r>
      <w:r w:rsidR="00117CD7" w:rsidRPr="00BA4492">
        <w:rPr>
          <w:rFonts w:ascii="Arial Narrow" w:hAnsi="Arial Narrow" w:cs="Times New Roman"/>
          <w:sz w:val="24"/>
          <w:szCs w:val="24"/>
        </w:rPr>
        <w:t xml:space="preserve">συνεργασία ΕΕ-ΗΑΕ </w:t>
      </w:r>
      <w:r w:rsidR="00E22499" w:rsidRPr="00BA4492">
        <w:rPr>
          <w:rFonts w:ascii="Arial Narrow" w:hAnsi="Arial Narrow" w:cs="Times New Roman"/>
          <w:sz w:val="24"/>
          <w:szCs w:val="24"/>
        </w:rPr>
        <w:t>αναπτύσσεται</w:t>
      </w:r>
      <w:r w:rsidR="00117CD7" w:rsidRPr="00BA4492">
        <w:rPr>
          <w:rFonts w:ascii="Arial Narrow" w:hAnsi="Arial Narrow" w:cs="Times New Roman"/>
          <w:sz w:val="24"/>
          <w:szCs w:val="24"/>
        </w:rPr>
        <w:t xml:space="preserve"> σ</w:t>
      </w:r>
      <w:r w:rsidR="006A5660" w:rsidRPr="00BA4492">
        <w:rPr>
          <w:rFonts w:ascii="Arial Narrow" w:hAnsi="Arial Narrow" w:cs="Times New Roman"/>
          <w:sz w:val="24"/>
          <w:szCs w:val="24"/>
        </w:rPr>
        <w:t xml:space="preserve">ε </w:t>
      </w:r>
      <w:r w:rsidR="006A5660" w:rsidRPr="00BA4492">
        <w:rPr>
          <w:rFonts w:ascii="Arial Narrow" w:hAnsi="Arial Narrow" w:cs="Times New Roman"/>
          <w:b/>
          <w:sz w:val="24"/>
          <w:szCs w:val="24"/>
        </w:rPr>
        <w:t xml:space="preserve">διάφορους </w:t>
      </w:r>
      <w:r w:rsidR="00AA1A33" w:rsidRPr="00BA4492">
        <w:rPr>
          <w:rFonts w:ascii="Arial Narrow" w:hAnsi="Arial Narrow" w:cs="Times New Roman"/>
          <w:b/>
          <w:sz w:val="24"/>
          <w:szCs w:val="24"/>
        </w:rPr>
        <w:t>κλάδους</w:t>
      </w:r>
      <w:r w:rsidR="006A5660" w:rsidRPr="00BA4492">
        <w:rPr>
          <w:rFonts w:ascii="Arial Narrow" w:hAnsi="Arial Narrow" w:cs="Times New Roman"/>
          <w:sz w:val="24"/>
          <w:szCs w:val="24"/>
        </w:rPr>
        <w:t xml:space="preserve">, όπως το εμπόριο, η αντι-τρομοκρατία, </w:t>
      </w:r>
      <w:r w:rsidR="00E25F63" w:rsidRPr="00BA4492">
        <w:rPr>
          <w:rFonts w:ascii="Arial Narrow" w:hAnsi="Arial Narrow" w:cs="Times New Roman"/>
          <w:sz w:val="24"/>
          <w:szCs w:val="24"/>
        </w:rPr>
        <w:t xml:space="preserve">η </w:t>
      </w:r>
      <w:r w:rsidR="006A6E99" w:rsidRPr="00BA4492">
        <w:rPr>
          <w:rFonts w:ascii="Arial Narrow" w:hAnsi="Arial Narrow" w:cs="Times New Roman"/>
          <w:sz w:val="24"/>
          <w:szCs w:val="24"/>
        </w:rPr>
        <w:t>ασφάλεια της ναυσιπλοϊας</w:t>
      </w:r>
      <w:r w:rsidR="00E25F63" w:rsidRPr="00BA4492">
        <w:rPr>
          <w:rFonts w:ascii="Arial Narrow" w:hAnsi="Arial Narrow" w:cs="Times New Roman"/>
          <w:sz w:val="24"/>
          <w:szCs w:val="24"/>
        </w:rPr>
        <w:t xml:space="preserve">, </w:t>
      </w:r>
      <w:r w:rsidR="006A5660" w:rsidRPr="00BA4492">
        <w:rPr>
          <w:rFonts w:ascii="Arial Narrow" w:hAnsi="Arial Narrow" w:cs="Times New Roman"/>
          <w:sz w:val="24"/>
          <w:szCs w:val="24"/>
        </w:rPr>
        <w:t xml:space="preserve">η ενέργεια-περιβάλλον-κλιματική αλλαγή </w:t>
      </w:r>
      <w:r w:rsidR="006A5660" w:rsidRPr="00BA4492">
        <w:rPr>
          <w:rFonts w:ascii="Arial Narrow" w:hAnsi="Arial Narrow" w:cs="Times New Roman"/>
          <w:sz w:val="24"/>
          <w:szCs w:val="24"/>
          <w:shd w:val="clear" w:color="auto" w:fill="FFFFFF"/>
        </w:rPr>
        <w:t xml:space="preserve">και η διαφοροποίηση της οικονομίας. </w:t>
      </w:r>
    </w:p>
    <w:p w14:paraId="527DAF52" w14:textId="26E05452" w:rsidR="006A6E99" w:rsidRPr="00BA4492" w:rsidRDefault="006A6E99" w:rsidP="006A6E99">
      <w:pPr>
        <w:ind w:firstLine="567"/>
        <w:jc w:val="both"/>
        <w:rPr>
          <w:rFonts w:ascii="Arial Narrow" w:hAnsi="Arial Narrow" w:cs="Times New Roman"/>
          <w:sz w:val="24"/>
          <w:szCs w:val="24"/>
          <w:shd w:val="clear" w:color="auto" w:fill="FFFFFF"/>
        </w:rPr>
      </w:pPr>
      <w:r w:rsidRPr="00BA4492">
        <w:rPr>
          <w:rFonts w:ascii="Arial Narrow" w:hAnsi="Arial Narrow" w:cs="Times New Roman"/>
          <w:sz w:val="24"/>
          <w:szCs w:val="24"/>
          <w:shd w:val="clear" w:color="auto" w:fill="FFFFFF"/>
        </w:rPr>
        <w:t xml:space="preserve">Οι επιτυχημένες προσπάθειες των ΗΑΕ να διαφοροποιήσουν την οικονομία τους από το πετρέλαιο και να αναπτύξουν άλλους παραγωγικούς τομείς προσφέρουν νέες ευκαιρίες για διμερή εμπορική και επενδυτική συνεργασία ΕΕ-ΗΑΕ σε τομείς όπως η ψηφιοποίηση, οι προηγμένες τεχνολογίες, οι ανανεώσιμες πηγές ενέργειας και η ενεργειακή απόδοση, η υγειονομική περίθαλψη, η εκπαίδευση, η βιώσιμη οικονομική μετάβαση, </w:t>
      </w:r>
      <w:r w:rsidR="00BA34CE" w:rsidRPr="00BA4492">
        <w:rPr>
          <w:rFonts w:ascii="Arial Narrow" w:hAnsi="Arial Narrow" w:cs="Times New Roman"/>
          <w:sz w:val="24"/>
          <w:szCs w:val="24"/>
          <w:shd w:val="clear" w:color="auto" w:fill="FFFFFF"/>
        </w:rPr>
        <w:t xml:space="preserve">οι </w:t>
      </w:r>
      <w:r w:rsidRPr="00BA4492">
        <w:rPr>
          <w:rFonts w:ascii="Arial Narrow" w:hAnsi="Arial Narrow" w:cs="Times New Roman"/>
          <w:sz w:val="24"/>
          <w:szCs w:val="24"/>
          <w:shd w:val="clear" w:color="auto" w:fill="FFFFFF"/>
        </w:rPr>
        <w:t xml:space="preserve">διαστημικές τεχνολογίες και </w:t>
      </w:r>
      <w:r w:rsidR="00BA34CE" w:rsidRPr="00BA4492">
        <w:rPr>
          <w:rFonts w:ascii="Arial Narrow" w:hAnsi="Arial Narrow" w:cs="Times New Roman"/>
          <w:sz w:val="24"/>
          <w:szCs w:val="24"/>
          <w:shd w:val="clear" w:color="auto" w:fill="FFFFFF"/>
        </w:rPr>
        <w:t xml:space="preserve">η </w:t>
      </w:r>
      <w:r w:rsidRPr="00BA4492">
        <w:rPr>
          <w:rFonts w:ascii="Arial Narrow" w:hAnsi="Arial Narrow" w:cs="Times New Roman"/>
          <w:sz w:val="24"/>
          <w:szCs w:val="24"/>
          <w:shd w:val="clear" w:color="auto" w:fill="FFFFFF"/>
        </w:rPr>
        <w:t>επισιτιστική ασφάλεια.</w:t>
      </w:r>
    </w:p>
    <w:p w14:paraId="055792C6" w14:textId="77777777" w:rsidR="00652BA0" w:rsidRPr="00BA4492" w:rsidRDefault="006A5660" w:rsidP="00652BA0">
      <w:pPr>
        <w:spacing w:after="120"/>
        <w:ind w:firstLine="567"/>
        <w:jc w:val="both"/>
        <w:rPr>
          <w:rFonts w:ascii="Arial Narrow" w:hAnsi="Arial Narrow" w:cs="Times New Roman"/>
          <w:sz w:val="24"/>
          <w:szCs w:val="24"/>
        </w:rPr>
      </w:pPr>
      <w:r w:rsidRPr="00BA4492">
        <w:rPr>
          <w:rFonts w:ascii="Arial Narrow" w:hAnsi="Arial Narrow" w:cs="Times New Roman"/>
          <w:sz w:val="24"/>
          <w:szCs w:val="24"/>
          <w:shd w:val="clear" w:color="auto" w:fill="FFFFFF"/>
        </w:rPr>
        <w:t>Ειδικότερα,</w:t>
      </w:r>
      <w:r w:rsidR="00117CD7" w:rsidRPr="00BA4492">
        <w:rPr>
          <w:rFonts w:ascii="Arial Narrow" w:hAnsi="Arial Narrow" w:cs="Times New Roman"/>
          <w:sz w:val="24"/>
          <w:szCs w:val="24"/>
          <w:shd w:val="clear" w:color="auto" w:fill="FFFFFF"/>
          <w:lang w:val="en-GB"/>
        </w:rPr>
        <w:t> </w:t>
      </w:r>
      <w:r w:rsidRPr="00BA4492">
        <w:rPr>
          <w:rFonts w:ascii="Arial Narrow" w:hAnsi="Arial Narrow" w:cs="Times New Roman"/>
          <w:sz w:val="24"/>
          <w:szCs w:val="24"/>
        </w:rPr>
        <w:t xml:space="preserve">στον κλάδο της </w:t>
      </w:r>
      <w:r w:rsidR="00C97AF9" w:rsidRPr="00BA4492">
        <w:rPr>
          <w:rFonts w:ascii="Arial Narrow" w:hAnsi="Arial Narrow" w:cs="Times New Roman"/>
          <w:b/>
          <w:sz w:val="24"/>
          <w:szCs w:val="24"/>
        </w:rPr>
        <w:t>ενέργεια</w:t>
      </w:r>
      <w:r w:rsidRPr="00BA4492">
        <w:rPr>
          <w:rFonts w:ascii="Arial Narrow" w:hAnsi="Arial Narrow" w:cs="Times New Roman"/>
          <w:b/>
          <w:sz w:val="24"/>
          <w:szCs w:val="24"/>
        </w:rPr>
        <w:t>ς</w:t>
      </w:r>
      <w:r w:rsidR="00C97AF9" w:rsidRPr="00BA4492">
        <w:rPr>
          <w:rFonts w:ascii="Arial Narrow" w:hAnsi="Arial Narrow" w:cs="Times New Roman"/>
          <w:b/>
          <w:sz w:val="24"/>
          <w:szCs w:val="24"/>
        </w:rPr>
        <w:t xml:space="preserve"> και </w:t>
      </w:r>
      <w:r w:rsidRPr="00BA4492">
        <w:rPr>
          <w:rFonts w:ascii="Arial Narrow" w:hAnsi="Arial Narrow" w:cs="Times New Roman"/>
          <w:b/>
          <w:sz w:val="24"/>
          <w:szCs w:val="24"/>
        </w:rPr>
        <w:t>σ</w:t>
      </w:r>
      <w:r w:rsidR="00C97AF9" w:rsidRPr="00BA4492">
        <w:rPr>
          <w:rFonts w:ascii="Arial Narrow" w:hAnsi="Arial Narrow" w:cs="Times New Roman"/>
          <w:b/>
          <w:sz w:val="24"/>
          <w:szCs w:val="24"/>
        </w:rPr>
        <w:t>την κλιματική αλλαγή</w:t>
      </w:r>
      <w:r w:rsidRPr="00BA4492">
        <w:rPr>
          <w:rFonts w:ascii="Arial Narrow" w:hAnsi="Arial Narrow" w:cs="Times New Roman"/>
          <w:sz w:val="24"/>
          <w:szCs w:val="24"/>
        </w:rPr>
        <w:t xml:space="preserve">, οι διμερείς δράσεις τα τελευταία χρόνια </w:t>
      </w:r>
      <w:r w:rsidR="00C97AF9" w:rsidRPr="00BA4492">
        <w:rPr>
          <w:rFonts w:ascii="Arial Narrow" w:hAnsi="Arial Narrow" w:cs="Times New Roman"/>
          <w:sz w:val="24"/>
          <w:szCs w:val="24"/>
        </w:rPr>
        <w:t>έχ</w:t>
      </w:r>
      <w:r w:rsidRPr="00BA4492">
        <w:rPr>
          <w:rFonts w:ascii="Arial Narrow" w:hAnsi="Arial Narrow" w:cs="Times New Roman"/>
          <w:sz w:val="24"/>
          <w:szCs w:val="24"/>
        </w:rPr>
        <w:t xml:space="preserve">ουν </w:t>
      </w:r>
      <w:r w:rsidR="00C97AF9" w:rsidRPr="00BA4492">
        <w:rPr>
          <w:rFonts w:ascii="Arial Narrow" w:hAnsi="Arial Narrow" w:cs="Times New Roman"/>
          <w:sz w:val="24"/>
          <w:szCs w:val="24"/>
        </w:rPr>
        <w:t>ενταθεί</w:t>
      </w:r>
      <w:r w:rsidRPr="00BA4492">
        <w:rPr>
          <w:rFonts w:ascii="Arial Narrow" w:hAnsi="Arial Narrow" w:cs="Times New Roman"/>
          <w:sz w:val="24"/>
          <w:szCs w:val="24"/>
        </w:rPr>
        <w:t>, εστιάζοντας</w:t>
      </w:r>
      <w:r w:rsidR="00C97AF9" w:rsidRPr="00BA4492">
        <w:rPr>
          <w:rFonts w:ascii="Arial Narrow" w:hAnsi="Arial Narrow" w:cs="Times New Roman"/>
          <w:sz w:val="24"/>
          <w:szCs w:val="24"/>
        </w:rPr>
        <w:t xml:space="preserve"> </w:t>
      </w:r>
      <w:r w:rsidRPr="00BA4492">
        <w:rPr>
          <w:rFonts w:ascii="Arial Narrow" w:hAnsi="Arial Narrow" w:cs="Times New Roman"/>
          <w:sz w:val="24"/>
          <w:szCs w:val="24"/>
        </w:rPr>
        <w:t xml:space="preserve">στη χρήση των ΑΠΕ, κυρίως </w:t>
      </w:r>
      <w:r w:rsidRPr="00BA4492">
        <w:rPr>
          <w:rFonts w:ascii="Arial Narrow" w:hAnsi="Arial Narrow" w:cs="Times New Roman"/>
          <w:b/>
          <w:sz w:val="24"/>
          <w:szCs w:val="24"/>
        </w:rPr>
        <w:t>υδρογόνου</w:t>
      </w:r>
      <w:r w:rsidRPr="00BA4492">
        <w:rPr>
          <w:rFonts w:ascii="Arial Narrow" w:hAnsi="Arial Narrow" w:cs="Times New Roman"/>
          <w:sz w:val="24"/>
          <w:szCs w:val="24"/>
        </w:rPr>
        <w:t xml:space="preserve"> και σε </w:t>
      </w:r>
      <w:r w:rsidR="00C97AF9" w:rsidRPr="00BA4492">
        <w:rPr>
          <w:rFonts w:ascii="Arial Narrow" w:hAnsi="Arial Narrow" w:cs="Times New Roman"/>
          <w:sz w:val="24"/>
          <w:szCs w:val="24"/>
        </w:rPr>
        <w:t xml:space="preserve">ένα </w:t>
      </w:r>
      <w:r w:rsidR="00C97AF9" w:rsidRPr="00BA4492">
        <w:rPr>
          <w:rFonts w:ascii="Arial Narrow" w:hAnsi="Arial Narrow" w:cs="Times New Roman"/>
          <w:b/>
          <w:sz w:val="24"/>
          <w:szCs w:val="24"/>
        </w:rPr>
        <w:t>βιώσιμο μέλλον με</w:t>
      </w:r>
      <w:r w:rsidRPr="00BA4492">
        <w:rPr>
          <w:rFonts w:ascii="Arial Narrow" w:hAnsi="Arial Narrow" w:cs="Times New Roman"/>
          <w:b/>
          <w:sz w:val="24"/>
          <w:szCs w:val="24"/>
        </w:rPr>
        <w:t xml:space="preserve"> </w:t>
      </w:r>
      <w:r w:rsidR="00E25F63" w:rsidRPr="00BA4492">
        <w:rPr>
          <w:rFonts w:ascii="Arial Narrow" w:hAnsi="Arial Narrow" w:cs="Times New Roman"/>
          <w:b/>
          <w:sz w:val="24"/>
          <w:szCs w:val="24"/>
        </w:rPr>
        <w:t>μειωμένη</w:t>
      </w:r>
      <w:r w:rsidRPr="00BA4492">
        <w:rPr>
          <w:rFonts w:ascii="Arial Narrow" w:hAnsi="Arial Narrow" w:cs="Times New Roman"/>
          <w:b/>
          <w:sz w:val="24"/>
          <w:szCs w:val="24"/>
        </w:rPr>
        <w:t xml:space="preserve"> χρήση </w:t>
      </w:r>
      <w:r w:rsidR="00C97AF9" w:rsidRPr="00BA4492">
        <w:rPr>
          <w:rFonts w:ascii="Arial Narrow" w:hAnsi="Arial Narrow" w:cs="Times New Roman"/>
          <w:b/>
          <w:sz w:val="24"/>
          <w:szCs w:val="24"/>
        </w:rPr>
        <w:t>πετρ</w:t>
      </w:r>
      <w:r w:rsidRPr="00BA4492">
        <w:rPr>
          <w:rFonts w:ascii="Arial Narrow" w:hAnsi="Arial Narrow" w:cs="Times New Roman"/>
          <w:b/>
          <w:sz w:val="24"/>
          <w:szCs w:val="24"/>
        </w:rPr>
        <w:t>ελαίου</w:t>
      </w:r>
      <w:r w:rsidR="00E25F63" w:rsidRPr="00BA4492">
        <w:rPr>
          <w:rFonts w:ascii="Arial Narrow" w:hAnsi="Arial Narrow" w:cs="Times New Roman"/>
          <w:sz w:val="24"/>
          <w:szCs w:val="24"/>
        </w:rPr>
        <w:t xml:space="preserve">, ενώ </w:t>
      </w:r>
      <w:r w:rsidR="006A6E99" w:rsidRPr="00BA4492">
        <w:rPr>
          <w:rFonts w:ascii="Arial Narrow" w:hAnsi="Arial Narrow" w:cs="Times New Roman"/>
          <w:sz w:val="24"/>
          <w:szCs w:val="24"/>
        </w:rPr>
        <w:t>κλιμακώθηκαν</w:t>
      </w:r>
      <w:r w:rsidR="00E25F63" w:rsidRPr="00BA4492">
        <w:rPr>
          <w:rFonts w:ascii="Arial Narrow" w:hAnsi="Arial Narrow" w:cs="Times New Roman"/>
          <w:sz w:val="24"/>
          <w:szCs w:val="24"/>
        </w:rPr>
        <w:t xml:space="preserve"> με τη φιλοξενία της </w:t>
      </w:r>
      <w:r w:rsidR="00E25F63" w:rsidRPr="00BA4492">
        <w:rPr>
          <w:rFonts w:ascii="Arial Narrow" w:hAnsi="Arial Narrow" w:cs="Times New Roman"/>
          <w:b/>
          <w:sz w:val="24"/>
          <w:szCs w:val="24"/>
          <w:lang w:val="en-US"/>
        </w:rPr>
        <w:t>COP</w:t>
      </w:r>
      <w:r w:rsidR="00E25F63" w:rsidRPr="00BA4492">
        <w:rPr>
          <w:rFonts w:ascii="Arial Narrow" w:hAnsi="Arial Narrow" w:cs="Times New Roman"/>
          <w:b/>
          <w:sz w:val="24"/>
          <w:szCs w:val="24"/>
        </w:rPr>
        <w:t>28</w:t>
      </w:r>
      <w:r w:rsidR="00E25F63" w:rsidRPr="00BA4492">
        <w:rPr>
          <w:rFonts w:ascii="Arial Narrow" w:hAnsi="Arial Narrow" w:cs="Times New Roman"/>
          <w:sz w:val="24"/>
          <w:szCs w:val="24"/>
        </w:rPr>
        <w:t xml:space="preserve"> από τα ΗΑΕ, το</w:t>
      </w:r>
      <w:r w:rsidR="005D2C32" w:rsidRPr="00BA4492">
        <w:rPr>
          <w:rFonts w:ascii="Arial Narrow" w:hAnsi="Arial Narrow" w:cs="Times New Roman"/>
          <w:sz w:val="24"/>
          <w:szCs w:val="24"/>
        </w:rPr>
        <w:t>ν</w:t>
      </w:r>
      <w:r w:rsidR="00E25F63" w:rsidRPr="00BA4492">
        <w:rPr>
          <w:rFonts w:ascii="Arial Narrow" w:hAnsi="Arial Narrow" w:cs="Times New Roman"/>
          <w:sz w:val="24"/>
          <w:szCs w:val="24"/>
        </w:rPr>
        <w:t xml:space="preserve"> Νοέμβριο 2023.</w:t>
      </w:r>
    </w:p>
    <w:p w14:paraId="19C462D7" w14:textId="0BA6619E" w:rsidR="00652BA0" w:rsidRPr="00BA4492" w:rsidRDefault="00652BA0" w:rsidP="00652BA0">
      <w:pPr>
        <w:spacing w:after="120"/>
        <w:ind w:firstLine="567"/>
        <w:jc w:val="both"/>
        <w:rPr>
          <w:rFonts w:ascii="Arial Narrow" w:hAnsi="Arial Narrow" w:cs="Times New Roman"/>
          <w:sz w:val="24"/>
          <w:szCs w:val="24"/>
        </w:rPr>
      </w:pPr>
      <w:r w:rsidRPr="00BA4492">
        <w:rPr>
          <w:rFonts w:ascii="Arial Narrow" w:hAnsi="Arial Narrow" w:cs="Times New Roman"/>
          <w:sz w:val="24"/>
          <w:szCs w:val="24"/>
        </w:rPr>
        <w:t xml:space="preserve"> Με απόφαση του Συμβουλίου ECOFIN, τα ΗΑΕ είχαν τεθεί στον κατάλογο των μη συνεργαζομένων χωρών (</w:t>
      </w:r>
      <w:r w:rsidRPr="00BA4492">
        <w:rPr>
          <w:rFonts w:ascii="Arial Narrow" w:hAnsi="Arial Narrow" w:cs="Times New Roman"/>
          <w:b/>
          <w:sz w:val="24"/>
          <w:szCs w:val="24"/>
        </w:rPr>
        <w:t>μαύρη λίστα</w:t>
      </w:r>
      <w:r w:rsidRPr="00BA4492">
        <w:rPr>
          <w:rFonts w:ascii="Arial Narrow" w:hAnsi="Arial Narrow" w:cs="Times New Roman"/>
          <w:sz w:val="24"/>
          <w:szCs w:val="24"/>
        </w:rPr>
        <w:t>) από τον Δεκέμβριο 2017, ενώ τον Ιανουάριο 2018, μετά από ενέργειες συμμόρφωσης σε συνεργασία με τους Ευρωπαίκούς θεσμούς, είχαν τεθεί, προσωρινά, στον κατάλογο χωρών υπό παρακολούθηση (</w:t>
      </w:r>
      <w:r w:rsidRPr="00BA4492">
        <w:rPr>
          <w:rFonts w:ascii="Arial Narrow" w:hAnsi="Arial Narrow" w:cs="Times New Roman"/>
          <w:b/>
          <w:sz w:val="24"/>
          <w:szCs w:val="24"/>
        </w:rPr>
        <w:t>γκρίζα λίστα</w:t>
      </w:r>
      <w:r w:rsidRPr="00BA4492">
        <w:rPr>
          <w:rFonts w:ascii="Arial Narrow" w:hAnsi="Arial Narrow" w:cs="Times New Roman"/>
          <w:sz w:val="24"/>
          <w:szCs w:val="24"/>
        </w:rPr>
        <w:t xml:space="preserve">). ΗΑΕ συμπεριελήφθησαν εκ νέου στον κατάλογο </w:t>
      </w:r>
      <w:r w:rsidRPr="00BA4492">
        <w:rPr>
          <w:rFonts w:ascii="Arial Narrow" w:hAnsi="Arial Narrow" w:cs="Times New Roman"/>
          <w:b/>
          <w:sz w:val="24"/>
          <w:szCs w:val="24"/>
        </w:rPr>
        <w:t>φορολογικών παραδείσων</w:t>
      </w:r>
      <w:r w:rsidRPr="00BA4492">
        <w:rPr>
          <w:rFonts w:ascii="Arial Narrow" w:hAnsi="Arial Narrow" w:cs="Times New Roman"/>
          <w:sz w:val="24"/>
          <w:szCs w:val="24"/>
        </w:rPr>
        <w:t xml:space="preserve"> (μη συνεργαζόμενων φορολογικών αρχών), που ανακοινώθηκαν στις 12 Μαρτίου 2019, υπό το σκεπτικό ότι δεν τήρησαν τις δεσμεύσεις τους για την βελτίωση της φορολογικής δικαιοδοσίας. Τον Οκτώβριο </w:t>
      </w:r>
      <w:r w:rsidRPr="00BA4492">
        <w:rPr>
          <w:rFonts w:ascii="Arial Narrow" w:hAnsi="Arial Narrow" w:cs="Times New Roman"/>
          <w:b/>
          <w:sz w:val="24"/>
          <w:szCs w:val="24"/>
        </w:rPr>
        <w:t>2019,</w:t>
      </w:r>
      <w:r w:rsidRPr="00BA4492">
        <w:rPr>
          <w:rFonts w:ascii="Arial Narrow" w:hAnsi="Arial Narrow" w:cs="Times New Roman"/>
          <w:sz w:val="24"/>
          <w:szCs w:val="24"/>
        </w:rPr>
        <w:t xml:space="preserve"> τα ΗΑΕ ετέθησαν ξανά </w:t>
      </w:r>
      <w:r w:rsidRPr="00BA4492">
        <w:rPr>
          <w:rFonts w:ascii="Arial Narrow" w:hAnsi="Arial Narrow" w:cs="Times New Roman"/>
          <w:b/>
          <w:sz w:val="24"/>
          <w:szCs w:val="24"/>
        </w:rPr>
        <w:t>εκτός «μαύρης λίστας»</w:t>
      </w:r>
      <w:r w:rsidRPr="00BA4492">
        <w:rPr>
          <w:rFonts w:ascii="Arial Narrow" w:hAnsi="Arial Narrow" w:cs="Times New Roman"/>
          <w:sz w:val="24"/>
          <w:szCs w:val="24"/>
        </w:rPr>
        <w:t xml:space="preserve">, κατόπιν ενεργειών για την εφαρμογή διεθνών προτύπων καταπολέμησης της φοροδιαφυγής και φοροαποφυγής, αποφυγής διπλής φορολόγησης και ανταλλαγής πληροφοριών για φορολογικούς σκοπούς. Στα τέλη του 2022, η ΕΕ αποφάσισε εκ νέου τη </w:t>
      </w:r>
      <w:r w:rsidRPr="00BA4492">
        <w:rPr>
          <w:rFonts w:ascii="Arial Narrow" w:hAnsi="Arial Narrow" w:cs="Times New Roman"/>
          <w:b/>
          <w:sz w:val="24"/>
          <w:szCs w:val="24"/>
        </w:rPr>
        <w:t>συμπερίληψή των ΗΑΕ στη «μαύρη λίστα»</w:t>
      </w:r>
      <w:r w:rsidRPr="00BA4492">
        <w:rPr>
          <w:rFonts w:ascii="Arial Narrow" w:hAnsi="Arial Narrow" w:cs="Times New Roman"/>
          <w:sz w:val="24"/>
          <w:szCs w:val="24"/>
        </w:rPr>
        <w:t xml:space="preserve">, ακολουθώντας την αξιολόγηση του Μαρτίου 2022 από την </w:t>
      </w:r>
      <w:r w:rsidRPr="00BA4492">
        <w:rPr>
          <w:rFonts w:ascii="Arial Narrow" w:hAnsi="Arial Narrow" w:cs="Times New Roman"/>
          <w:sz w:val="24"/>
          <w:szCs w:val="24"/>
          <w:lang w:val="en-US"/>
        </w:rPr>
        <w:t>FATF</w:t>
      </w:r>
      <w:r w:rsidRPr="00BA4492">
        <w:rPr>
          <w:rFonts w:ascii="Arial Narrow" w:hAnsi="Arial Narrow" w:cs="Times New Roman"/>
          <w:sz w:val="24"/>
          <w:szCs w:val="24"/>
        </w:rPr>
        <w:t>.</w:t>
      </w:r>
    </w:p>
    <w:p w14:paraId="697629BC" w14:textId="1A3B1425" w:rsidR="00495ECC" w:rsidRPr="00BA4492" w:rsidRDefault="001D1F98" w:rsidP="00316D90">
      <w:pPr>
        <w:spacing w:after="120"/>
        <w:ind w:firstLine="567"/>
        <w:jc w:val="both"/>
        <w:rPr>
          <w:rFonts w:ascii="Arial Narrow" w:hAnsi="Arial Narrow" w:cs="Times New Roman"/>
          <w:sz w:val="24"/>
          <w:szCs w:val="24"/>
        </w:rPr>
      </w:pPr>
      <w:r w:rsidRPr="00BA4492">
        <w:rPr>
          <w:rFonts w:ascii="Arial Narrow" w:hAnsi="Arial Narrow" w:cs="Times New Roman"/>
          <w:sz w:val="24"/>
          <w:szCs w:val="24"/>
        </w:rPr>
        <w:t xml:space="preserve">Αναφορικά με τη διμερή εμπορική συνεργασία ΕΕ-ΗΑΕ, </w:t>
      </w:r>
      <w:r w:rsidR="00E22499" w:rsidRPr="00BA4492">
        <w:rPr>
          <w:rFonts w:ascii="Arial Narrow" w:hAnsi="Arial Narrow" w:cs="Times New Roman"/>
          <w:sz w:val="24"/>
          <w:szCs w:val="24"/>
        </w:rPr>
        <w:t>στο πλαίσιο τ</w:t>
      </w:r>
      <w:r w:rsidRPr="00BA4492">
        <w:rPr>
          <w:rFonts w:ascii="Arial Narrow" w:hAnsi="Arial Narrow" w:cs="Times New Roman"/>
          <w:sz w:val="24"/>
          <w:szCs w:val="24"/>
        </w:rPr>
        <w:t>η</w:t>
      </w:r>
      <w:r w:rsidR="00E22499" w:rsidRPr="00BA4492">
        <w:rPr>
          <w:rFonts w:ascii="Arial Narrow" w:hAnsi="Arial Narrow" w:cs="Times New Roman"/>
          <w:sz w:val="24"/>
          <w:szCs w:val="24"/>
        </w:rPr>
        <w:t>ς</w:t>
      </w:r>
      <w:r w:rsidR="009C01EF" w:rsidRPr="00BA4492">
        <w:rPr>
          <w:rFonts w:ascii="Arial Narrow" w:hAnsi="Arial Narrow" w:cs="Times New Roman"/>
          <w:sz w:val="24"/>
          <w:szCs w:val="24"/>
        </w:rPr>
        <w:t xml:space="preserve"> </w:t>
      </w:r>
      <w:r w:rsidR="00E22499" w:rsidRPr="00BA4492">
        <w:rPr>
          <w:rFonts w:ascii="Arial Narrow" w:hAnsi="Arial Narrow" w:cs="Times New Roman"/>
          <w:sz w:val="24"/>
          <w:szCs w:val="24"/>
        </w:rPr>
        <w:t xml:space="preserve">Συμφωνίας Συνεργασίας ΕΕ-ΣΣΚ, οι </w:t>
      </w:r>
      <w:r w:rsidR="006A6E99" w:rsidRPr="00BA4492">
        <w:rPr>
          <w:rFonts w:ascii="Arial Narrow" w:hAnsi="Arial Narrow" w:cs="Times New Roman"/>
          <w:sz w:val="24"/>
          <w:szCs w:val="24"/>
        </w:rPr>
        <w:t xml:space="preserve">δύο </w:t>
      </w:r>
      <w:r w:rsidR="00E22499" w:rsidRPr="00BA4492">
        <w:rPr>
          <w:rFonts w:ascii="Arial Narrow" w:hAnsi="Arial Narrow" w:cs="Times New Roman"/>
          <w:sz w:val="24"/>
          <w:szCs w:val="24"/>
        </w:rPr>
        <w:t xml:space="preserve">πλευρές εκκίνησαν διαπραγματεύσεις για </w:t>
      </w:r>
      <w:r w:rsidRPr="00BA4492">
        <w:rPr>
          <w:rFonts w:ascii="Arial Narrow" w:hAnsi="Arial Narrow" w:cs="Times New Roman"/>
          <w:sz w:val="24"/>
          <w:szCs w:val="24"/>
        </w:rPr>
        <w:t xml:space="preserve">σύναψη </w:t>
      </w:r>
      <w:r w:rsidR="009C01EF" w:rsidRPr="00BA4492">
        <w:rPr>
          <w:rFonts w:ascii="Arial Narrow" w:hAnsi="Arial Narrow" w:cs="Times New Roman"/>
          <w:b/>
          <w:sz w:val="24"/>
          <w:szCs w:val="24"/>
        </w:rPr>
        <w:t>Συμφωνίας Ελευθέρου Εμπορίου</w:t>
      </w:r>
      <w:r w:rsidR="009C01EF" w:rsidRPr="00BA4492">
        <w:rPr>
          <w:rFonts w:ascii="Arial Narrow" w:hAnsi="Arial Narrow" w:cs="Times New Roman"/>
          <w:sz w:val="24"/>
          <w:szCs w:val="24"/>
        </w:rPr>
        <w:t xml:space="preserve"> (Free Trade Agreement-FTA)</w:t>
      </w:r>
      <w:r w:rsidR="00B90F46" w:rsidRPr="00BA4492">
        <w:rPr>
          <w:rFonts w:ascii="Arial Narrow" w:hAnsi="Arial Narrow" w:cs="Times New Roman"/>
          <w:sz w:val="24"/>
          <w:szCs w:val="24"/>
        </w:rPr>
        <w:t xml:space="preserve"> το 1990</w:t>
      </w:r>
      <w:r w:rsidR="009C01EF" w:rsidRPr="00BA4492">
        <w:rPr>
          <w:rFonts w:ascii="Arial Narrow" w:hAnsi="Arial Narrow" w:cs="Times New Roman"/>
          <w:sz w:val="24"/>
          <w:szCs w:val="24"/>
        </w:rPr>
        <w:t xml:space="preserve">. Oι διαπραγματεύσεις </w:t>
      </w:r>
      <w:r w:rsidR="009C01EF" w:rsidRPr="00BA4492">
        <w:rPr>
          <w:rFonts w:ascii="Arial Narrow" w:hAnsi="Arial Narrow" w:cs="Times New Roman"/>
          <w:b/>
          <w:sz w:val="24"/>
          <w:szCs w:val="24"/>
        </w:rPr>
        <w:t xml:space="preserve">ανεστάλησαν </w:t>
      </w:r>
      <w:r w:rsidR="00E22499" w:rsidRPr="00BA4492">
        <w:rPr>
          <w:rFonts w:ascii="Arial Narrow" w:hAnsi="Arial Narrow" w:cs="Times New Roman"/>
          <w:b/>
          <w:sz w:val="24"/>
          <w:szCs w:val="24"/>
        </w:rPr>
        <w:t xml:space="preserve">το </w:t>
      </w:r>
      <w:r w:rsidR="00BE70D6" w:rsidRPr="00BA4492">
        <w:rPr>
          <w:rFonts w:ascii="Arial Narrow" w:hAnsi="Arial Narrow" w:cs="Times New Roman"/>
          <w:b/>
          <w:sz w:val="24"/>
          <w:szCs w:val="24"/>
        </w:rPr>
        <w:t>2008</w:t>
      </w:r>
      <w:r w:rsidR="00BE70D6" w:rsidRPr="00BA4492">
        <w:rPr>
          <w:rFonts w:ascii="Arial Narrow" w:hAnsi="Arial Narrow" w:cs="Times New Roman"/>
          <w:sz w:val="24"/>
          <w:szCs w:val="24"/>
        </w:rPr>
        <w:t>, λόγω μη ύπαρξης προόδου</w:t>
      </w:r>
      <w:r w:rsidR="0002545A" w:rsidRPr="00BA4492">
        <w:rPr>
          <w:rFonts w:ascii="Arial Narrow" w:hAnsi="Arial Narrow" w:cs="Times New Roman"/>
          <w:sz w:val="24"/>
          <w:szCs w:val="24"/>
        </w:rPr>
        <w:t xml:space="preserve"> σε αυτές</w:t>
      </w:r>
      <w:r w:rsidR="00B90F46" w:rsidRPr="00BA4492">
        <w:rPr>
          <w:rFonts w:ascii="Arial Narrow" w:hAnsi="Arial Narrow" w:cs="Times New Roman"/>
          <w:sz w:val="24"/>
          <w:szCs w:val="24"/>
        </w:rPr>
        <w:t xml:space="preserve">, αφού παρουσιάστηκαν διαφωνίες εντός των κόλπων του ΣΣΚ, αλλά και κατηγορίες από πλευράς ΣΣΚ για προστατευτικές θέσεις της Ευρωπαϊκής Επιτροπής στον κλάδο των πετροχημικών. </w:t>
      </w:r>
    </w:p>
    <w:p w14:paraId="371261FD" w14:textId="04E81A80" w:rsidR="00542396" w:rsidRPr="00BA4492" w:rsidRDefault="004736B9" w:rsidP="00316D90">
      <w:pPr>
        <w:spacing w:after="120"/>
        <w:ind w:firstLine="567"/>
        <w:jc w:val="both"/>
        <w:rPr>
          <w:rFonts w:ascii="Arial Narrow" w:hAnsi="Arial Narrow" w:cs="Times New Roman"/>
          <w:sz w:val="24"/>
          <w:szCs w:val="24"/>
        </w:rPr>
      </w:pPr>
      <w:r w:rsidRPr="00BA4492">
        <w:rPr>
          <w:rFonts w:ascii="Arial Narrow" w:hAnsi="Arial Narrow" w:cs="Times New Roman"/>
          <w:sz w:val="24"/>
          <w:szCs w:val="24"/>
        </w:rPr>
        <w:t>Επισημαίνεται ότι η</w:t>
      </w:r>
      <w:r w:rsidR="00542396" w:rsidRPr="00BA4492">
        <w:rPr>
          <w:rFonts w:ascii="Arial Narrow" w:hAnsi="Arial Narrow" w:cs="Times New Roman"/>
          <w:sz w:val="24"/>
          <w:szCs w:val="24"/>
        </w:rPr>
        <w:t xml:space="preserve"> εμιρατινή πλευρά έχει καταστήσει σαφή την πρόθεσή της για στενότερη οικονομική και εμπορική συνεργασία με την ΕΕ. </w:t>
      </w:r>
      <w:r w:rsidR="00006DE5" w:rsidRPr="00BA4492">
        <w:rPr>
          <w:rFonts w:ascii="Arial Narrow" w:hAnsi="Arial Narrow" w:cs="Times New Roman"/>
          <w:sz w:val="24"/>
          <w:szCs w:val="24"/>
        </w:rPr>
        <w:t>Η</w:t>
      </w:r>
      <w:r w:rsidR="00542396" w:rsidRPr="00BA4492">
        <w:rPr>
          <w:rFonts w:ascii="Arial Narrow" w:hAnsi="Arial Narrow" w:cs="Times New Roman"/>
          <w:sz w:val="24"/>
          <w:szCs w:val="24"/>
        </w:rPr>
        <w:t xml:space="preserve"> ΕΕ</w:t>
      </w:r>
      <w:r w:rsidRPr="00BA4492">
        <w:rPr>
          <w:rFonts w:ascii="Arial Narrow" w:hAnsi="Arial Narrow" w:cs="Times New Roman"/>
          <w:sz w:val="24"/>
          <w:szCs w:val="24"/>
        </w:rPr>
        <w:t xml:space="preserve"> </w:t>
      </w:r>
      <w:r w:rsidR="00A5081B" w:rsidRPr="00BA4492">
        <w:rPr>
          <w:rFonts w:ascii="Arial Narrow" w:hAnsi="Arial Narrow" w:cs="Times New Roman"/>
          <w:sz w:val="24"/>
          <w:szCs w:val="24"/>
        </w:rPr>
        <w:t xml:space="preserve">προτιμά την πολυμέρεια και </w:t>
      </w:r>
      <w:r w:rsidR="00542396" w:rsidRPr="00BA4492">
        <w:rPr>
          <w:rFonts w:ascii="Arial Narrow" w:hAnsi="Arial Narrow" w:cs="Times New Roman"/>
          <w:sz w:val="24"/>
          <w:szCs w:val="24"/>
        </w:rPr>
        <w:t xml:space="preserve">δεσμεύεται από την </w:t>
      </w:r>
      <w:r w:rsidR="009F1226" w:rsidRPr="00BA4492">
        <w:rPr>
          <w:rFonts w:ascii="Arial Narrow" w:hAnsi="Arial Narrow" w:cs="Times New Roman"/>
          <w:sz w:val="24"/>
          <w:szCs w:val="24"/>
        </w:rPr>
        <w:t>Κ</w:t>
      </w:r>
      <w:r w:rsidR="00542396" w:rsidRPr="00BA4492">
        <w:rPr>
          <w:rFonts w:ascii="Arial Narrow" w:hAnsi="Arial Narrow" w:cs="Times New Roman"/>
          <w:sz w:val="24"/>
          <w:szCs w:val="24"/>
        </w:rPr>
        <w:t xml:space="preserve">οινή </w:t>
      </w:r>
      <w:r w:rsidR="009F1226" w:rsidRPr="00BA4492">
        <w:rPr>
          <w:rFonts w:ascii="Arial Narrow" w:hAnsi="Arial Narrow" w:cs="Times New Roman"/>
          <w:sz w:val="24"/>
          <w:szCs w:val="24"/>
        </w:rPr>
        <w:t>Α</w:t>
      </w:r>
      <w:r w:rsidR="00542396" w:rsidRPr="00BA4492">
        <w:rPr>
          <w:rFonts w:ascii="Arial Narrow" w:hAnsi="Arial Narrow" w:cs="Times New Roman"/>
          <w:sz w:val="24"/>
          <w:szCs w:val="24"/>
        </w:rPr>
        <w:t>νακοίνωση Ευρωπαϊκού Κοινοβουλίου – Συμβουλίου τον Μάιο 2022 για το πλαίσιο συνεργασίας με το ΣΣΚ</w:t>
      </w:r>
      <w:r w:rsidR="0004660F" w:rsidRPr="00BA4492">
        <w:rPr>
          <w:rStyle w:val="FootnoteReference"/>
          <w:rFonts w:ascii="Arial Narrow" w:hAnsi="Arial Narrow" w:cs="Times New Roman"/>
          <w:sz w:val="24"/>
          <w:szCs w:val="24"/>
        </w:rPr>
        <w:footnoteReference w:id="9"/>
      </w:r>
      <w:r w:rsidRPr="00BA4492">
        <w:rPr>
          <w:rFonts w:ascii="Arial Narrow" w:hAnsi="Arial Narrow" w:cs="Times New Roman"/>
          <w:sz w:val="24"/>
          <w:szCs w:val="24"/>
        </w:rPr>
        <w:t>.</w:t>
      </w:r>
      <w:r w:rsidR="00471C60" w:rsidRPr="00BA4492">
        <w:rPr>
          <w:rFonts w:ascii="Arial Narrow" w:hAnsi="Arial Narrow" w:cs="Times New Roman"/>
          <w:sz w:val="24"/>
          <w:szCs w:val="24"/>
        </w:rPr>
        <w:t xml:space="preserve"> </w:t>
      </w:r>
      <w:r w:rsidR="00006DE5" w:rsidRPr="00BA4492">
        <w:rPr>
          <w:rFonts w:ascii="Arial Narrow" w:hAnsi="Arial Narrow" w:cs="Times New Roman"/>
          <w:sz w:val="24"/>
          <w:szCs w:val="24"/>
        </w:rPr>
        <w:t xml:space="preserve">Ωστόσο, τον Απρίλιο του 2025 ανακοινώθηκε η </w:t>
      </w:r>
      <w:r w:rsidR="00006DE5" w:rsidRPr="00BA4492">
        <w:rPr>
          <w:rFonts w:ascii="Arial Narrow" w:hAnsi="Arial Narrow" w:cs="Times New Roman"/>
          <w:b/>
          <w:bCs/>
          <w:sz w:val="24"/>
          <w:szCs w:val="24"/>
        </w:rPr>
        <w:t>έναρξη διαπραγματεύσεων</w:t>
      </w:r>
      <w:r w:rsidR="00006DE5" w:rsidRPr="00BA4492">
        <w:rPr>
          <w:rFonts w:ascii="Arial Narrow" w:hAnsi="Arial Narrow" w:cs="Times New Roman"/>
          <w:sz w:val="24"/>
          <w:szCs w:val="24"/>
        </w:rPr>
        <w:t xml:space="preserve"> για την επίτευξη </w:t>
      </w:r>
      <w:r w:rsidR="00496217" w:rsidRPr="00BA4492">
        <w:rPr>
          <w:rFonts w:ascii="Arial Narrow" w:hAnsi="Arial Narrow" w:cs="Times New Roman"/>
          <w:sz w:val="24"/>
          <w:szCs w:val="24"/>
          <w:lang w:val="en-US"/>
        </w:rPr>
        <w:t>FTA</w:t>
      </w:r>
      <w:r w:rsidR="00006DE5" w:rsidRPr="00BA4492">
        <w:rPr>
          <w:rFonts w:ascii="Arial Narrow" w:hAnsi="Arial Narrow" w:cs="Times New Roman"/>
          <w:sz w:val="24"/>
          <w:szCs w:val="24"/>
        </w:rPr>
        <w:t xml:space="preserve"> μεταξύ ΕΕ-ΗΑΕ</w:t>
      </w:r>
      <w:r w:rsidR="00A5081B" w:rsidRPr="00BA4492">
        <w:rPr>
          <w:rFonts w:ascii="Arial Narrow" w:hAnsi="Arial Narrow" w:cs="Times New Roman"/>
          <w:sz w:val="24"/>
          <w:szCs w:val="24"/>
        </w:rPr>
        <w:t>, με την προοπτική αναβίωσης των διαπραγματεύσεων και με τ</w:t>
      </w:r>
      <w:r w:rsidR="00682CCC" w:rsidRPr="00BA4492">
        <w:rPr>
          <w:rFonts w:ascii="Arial Narrow" w:hAnsi="Arial Narrow" w:cs="Times New Roman"/>
          <w:sz w:val="24"/>
          <w:szCs w:val="24"/>
          <w:lang w:val="en-US"/>
        </w:rPr>
        <w:t>o</w:t>
      </w:r>
      <w:r w:rsidR="00A5081B" w:rsidRPr="00BA4492">
        <w:rPr>
          <w:rFonts w:ascii="Arial Narrow" w:hAnsi="Arial Narrow" w:cs="Times New Roman"/>
          <w:sz w:val="24"/>
          <w:szCs w:val="24"/>
        </w:rPr>
        <w:t xml:space="preserve"> ΣΣΚ</w:t>
      </w:r>
      <w:r w:rsidR="00006DE5" w:rsidRPr="00BA4492">
        <w:rPr>
          <w:rFonts w:ascii="Arial Narrow" w:hAnsi="Arial Narrow" w:cs="Times New Roman"/>
          <w:sz w:val="24"/>
          <w:szCs w:val="24"/>
        </w:rPr>
        <w:t xml:space="preserve">.  </w:t>
      </w:r>
    </w:p>
    <w:p w14:paraId="55688692" w14:textId="253D3813" w:rsidR="006A6E99" w:rsidRPr="00BA4492" w:rsidRDefault="000B5065" w:rsidP="006A6E99">
      <w:pPr>
        <w:ind w:firstLine="567"/>
        <w:jc w:val="both"/>
        <w:rPr>
          <w:rFonts w:ascii="Arial Narrow" w:hAnsi="Arial Narrow" w:cs="Times New Roman"/>
          <w:sz w:val="24"/>
          <w:szCs w:val="24"/>
          <w:shd w:val="clear" w:color="auto" w:fill="FFFFFF"/>
        </w:rPr>
      </w:pPr>
      <w:r w:rsidRPr="00BA4492">
        <w:rPr>
          <w:rFonts w:ascii="Arial Narrow" w:hAnsi="Arial Narrow" w:cs="Times New Roman"/>
          <w:sz w:val="24"/>
          <w:szCs w:val="24"/>
        </w:rPr>
        <w:t xml:space="preserve">Αναφορικά με τις εμπορικές σχέσεις ΕΕ-ΗΑΕ, </w:t>
      </w:r>
      <w:r w:rsidR="006A6E99" w:rsidRPr="00BA4492">
        <w:rPr>
          <w:rFonts w:ascii="Arial Narrow" w:hAnsi="Arial Narrow" w:cs="Times New Roman"/>
          <w:sz w:val="24"/>
          <w:szCs w:val="24"/>
        </w:rPr>
        <w:t>τ</w:t>
      </w:r>
      <w:r w:rsidR="006A6E99" w:rsidRPr="00BA4492">
        <w:rPr>
          <w:rFonts w:ascii="Arial Narrow" w:hAnsi="Arial Narrow" w:cs="Times New Roman"/>
          <w:sz w:val="24"/>
          <w:szCs w:val="24"/>
          <w:shd w:val="clear" w:color="auto" w:fill="FFFFFF"/>
        </w:rPr>
        <w:t xml:space="preserve">α </w:t>
      </w:r>
      <w:r w:rsidR="006A6E99" w:rsidRPr="00BA4492">
        <w:rPr>
          <w:rFonts w:ascii="Arial Narrow" w:hAnsi="Arial Narrow" w:cs="Times New Roman"/>
          <w:b/>
          <w:sz w:val="24"/>
          <w:szCs w:val="24"/>
          <w:shd w:val="clear" w:color="auto" w:fill="FFFFFF"/>
        </w:rPr>
        <w:t>ΗΑΕ είναι ο πρώτος εξαγωγικός προορισμός</w:t>
      </w:r>
      <w:r w:rsidR="006A6E99" w:rsidRPr="00BA4492">
        <w:rPr>
          <w:rFonts w:ascii="Arial Narrow" w:hAnsi="Arial Narrow" w:cs="Times New Roman"/>
          <w:sz w:val="24"/>
          <w:szCs w:val="24"/>
          <w:shd w:val="clear" w:color="auto" w:fill="FFFFFF"/>
        </w:rPr>
        <w:t xml:space="preserve"> και επενδυτικός εταίρος της ΕΕ στην περιοχή της ΜΕΝΑ. Τα ΗΑΕ χρησιμεύουν επίσης ως σημαντικός περιφερειακός κόμβος εμπορίου και εφοδιαστικής για τις εταιρείες της ΕΕ. </w:t>
      </w:r>
    </w:p>
    <w:p w14:paraId="2A9DB586" w14:textId="374C12E7" w:rsidR="006A6E99" w:rsidRPr="00BA4492" w:rsidRDefault="006A6E99" w:rsidP="006A6E99">
      <w:pPr>
        <w:ind w:firstLine="567"/>
        <w:jc w:val="both"/>
        <w:rPr>
          <w:rFonts w:ascii="Arial Narrow" w:hAnsi="Arial Narrow" w:cs="Times New Roman"/>
          <w:sz w:val="24"/>
          <w:szCs w:val="24"/>
        </w:rPr>
      </w:pPr>
      <w:r w:rsidRPr="00BA4492">
        <w:rPr>
          <w:rFonts w:ascii="Arial Narrow" w:hAnsi="Arial Narrow" w:cs="Times New Roman"/>
          <w:sz w:val="24"/>
          <w:szCs w:val="24"/>
        </w:rPr>
        <w:t xml:space="preserve">Η ΕΕ27 αποτελεί πλέον τον </w:t>
      </w:r>
      <w:r w:rsidRPr="00BA4492">
        <w:rPr>
          <w:rFonts w:ascii="Arial Narrow" w:hAnsi="Arial Narrow" w:cs="Times New Roman"/>
          <w:b/>
          <w:sz w:val="24"/>
          <w:szCs w:val="24"/>
        </w:rPr>
        <w:t>3</w:t>
      </w:r>
      <w:r w:rsidRPr="00BA4492">
        <w:rPr>
          <w:rFonts w:ascii="Arial Narrow" w:hAnsi="Arial Narrow" w:cs="Times New Roman"/>
          <w:b/>
          <w:sz w:val="24"/>
          <w:szCs w:val="24"/>
          <w:vertAlign w:val="superscript"/>
        </w:rPr>
        <w:t>ο</w:t>
      </w:r>
      <w:r w:rsidRPr="00BA4492">
        <w:rPr>
          <w:rFonts w:ascii="Arial Narrow" w:hAnsi="Arial Narrow" w:cs="Times New Roman"/>
          <w:b/>
          <w:sz w:val="24"/>
          <w:szCs w:val="24"/>
        </w:rPr>
        <w:t xml:space="preserve"> κυριότερο εμπορικό εταίρο</w:t>
      </w:r>
      <w:r w:rsidRPr="00BA4492">
        <w:rPr>
          <w:rFonts w:ascii="Arial Narrow" w:hAnsi="Arial Narrow" w:cs="Times New Roman"/>
          <w:sz w:val="24"/>
          <w:szCs w:val="24"/>
        </w:rPr>
        <w:t xml:space="preserve"> των ΗΑΕ για το 202</w:t>
      </w:r>
      <w:r w:rsidR="00652BA0" w:rsidRPr="00BA4492">
        <w:rPr>
          <w:rFonts w:ascii="Arial Narrow" w:hAnsi="Arial Narrow" w:cs="Times New Roman"/>
          <w:sz w:val="24"/>
          <w:szCs w:val="24"/>
        </w:rPr>
        <w:t>4</w:t>
      </w:r>
      <w:r w:rsidRPr="00BA4492">
        <w:rPr>
          <w:rFonts w:ascii="Arial Narrow" w:hAnsi="Arial Narrow" w:cs="Times New Roman"/>
          <w:sz w:val="24"/>
          <w:szCs w:val="24"/>
        </w:rPr>
        <w:t>, μετά την Κίνα και την Ινδία</w:t>
      </w:r>
      <w:r w:rsidRPr="00BA4492">
        <w:rPr>
          <w:rFonts w:ascii="Arial Narrow" w:hAnsi="Arial Narrow" w:cs="Times New Roman"/>
          <w:b/>
          <w:sz w:val="24"/>
          <w:szCs w:val="24"/>
        </w:rPr>
        <w:t>, έναντι της 1</w:t>
      </w:r>
      <w:r w:rsidRPr="00BA4492">
        <w:rPr>
          <w:rFonts w:ascii="Arial Narrow" w:hAnsi="Arial Narrow" w:cs="Times New Roman"/>
          <w:b/>
          <w:sz w:val="24"/>
          <w:szCs w:val="24"/>
          <w:vertAlign w:val="superscript"/>
        </w:rPr>
        <w:t>ης</w:t>
      </w:r>
      <w:r w:rsidRPr="00BA4492">
        <w:rPr>
          <w:rFonts w:ascii="Arial Narrow" w:hAnsi="Arial Narrow" w:cs="Times New Roman"/>
          <w:b/>
          <w:sz w:val="24"/>
          <w:szCs w:val="24"/>
        </w:rPr>
        <w:t xml:space="preserve"> θέσης</w:t>
      </w:r>
      <w:r w:rsidRPr="00BA4492">
        <w:rPr>
          <w:rFonts w:ascii="Arial Narrow" w:hAnsi="Arial Narrow" w:cs="Times New Roman"/>
          <w:sz w:val="24"/>
          <w:szCs w:val="24"/>
        </w:rPr>
        <w:t xml:space="preserve"> της, μερικά χρόνια πριν. Κατά το 202</w:t>
      </w:r>
      <w:r w:rsidR="00FC46A2" w:rsidRPr="00BA4492">
        <w:rPr>
          <w:rFonts w:ascii="Arial Narrow" w:hAnsi="Arial Narrow" w:cs="Times New Roman"/>
          <w:sz w:val="24"/>
          <w:szCs w:val="24"/>
        </w:rPr>
        <w:t>4</w:t>
      </w:r>
      <w:r w:rsidR="007B2409" w:rsidRPr="00BA4492">
        <w:rPr>
          <w:rFonts w:ascii="Arial Narrow" w:hAnsi="Arial Narrow" w:cs="Times New Roman"/>
          <w:sz w:val="24"/>
          <w:szCs w:val="24"/>
        </w:rPr>
        <w:t>,</w:t>
      </w:r>
      <w:r w:rsidRPr="00BA4492">
        <w:rPr>
          <w:rFonts w:ascii="Arial Narrow" w:hAnsi="Arial Narrow" w:cs="Times New Roman"/>
          <w:sz w:val="24"/>
          <w:szCs w:val="24"/>
        </w:rPr>
        <w:t xml:space="preserve"> ο συνολικός </w:t>
      </w:r>
      <w:r w:rsidRPr="00BA4492">
        <w:rPr>
          <w:rFonts w:ascii="Arial Narrow" w:hAnsi="Arial Narrow" w:cs="Times New Roman"/>
          <w:b/>
          <w:sz w:val="24"/>
          <w:szCs w:val="24"/>
        </w:rPr>
        <w:t>όγκος εμπορίου ΕΕ-ΗΑΕ</w:t>
      </w:r>
      <w:r w:rsidRPr="00BA4492">
        <w:rPr>
          <w:rFonts w:ascii="Arial Narrow" w:hAnsi="Arial Narrow" w:cs="Times New Roman"/>
          <w:sz w:val="24"/>
          <w:szCs w:val="24"/>
        </w:rPr>
        <w:t xml:space="preserve"> ανήλθε σε </w:t>
      </w:r>
      <w:r w:rsidR="007B2409" w:rsidRPr="00BA4492">
        <w:rPr>
          <w:rFonts w:ascii="Arial Narrow" w:hAnsi="Arial Narrow" w:cs="Times New Roman"/>
          <w:b/>
          <w:sz w:val="24"/>
          <w:szCs w:val="24"/>
        </w:rPr>
        <w:t>56</w:t>
      </w:r>
      <w:r w:rsidRPr="00BA4492">
        <w:rPr>
          <w:rFonts w:ascii="Arial Narrow" w:hAnsi="Arial Narrow" w:cs="Times New Roman"/>
          <w:b/>
          <w:sz w:val="24"/>
          <w:szCs w:val="24"/>
        </w:rPr>
        <w:t xml:space="preserve"> </w:t>
      </w:r>
      <w:r w:rsidR="00133844" w:rsidRPr="00BA4492">
        <w:rPr>
          <w:rFonts w:ascii="Arial Narrow" w:hAnsi="Arial Narrow" w:cs="Times New Roman"/>
          <w:b/>
          <w:sz w:val="24"/>
          <w:szCs w:val="24"/>
        </w:rPr>
        <w:t xml:space="preserve">δισεκ. </w:t>
      </w:r>
      <w:r w:rsidRPr="00BA4492">
        <w:rPr>
          <w:rFonts w:ascii="Arial Narrow" w:hAnsi="Arial Narrow" w:cs="Times New Roman"/>
          <w:b/>
          <w:sz w:val="24"/>
          <w:szCs w:val="24"/>
        </w:rPr>
        <w:t xml:space="preserve"> </w:t>
      </w:r>
      <w:r w:rsidR="00617A7D" w:rsidRPr="00BA4492">
        <w:rPr>
          <w:rFonts w:ascii="Arial Narrow" w:hAnsi="Arial Narrow" w:cs="Times New Roman"/>
          <w:b/>
          <w:sz w:val="24"/>
          <w:szCs w:val="24"/>
        </w:rPr>
        <w:t>Ευρώ</w:t>
      </w:r>
      <w:r w:rsidR="007B2409" w:rsidRPr="00BA4492">
        <w:rPr>
          <w:rFonts w:ascii="Arial Narrow" w:hAnsi="Arial Narrow" w:cs="Times New Roman"/>
          <w:b/>
          <w:sz w:val="24"/>
          <w:szCs w:val="24"/>
        </w:rPr>
        <w:t xml:space="preserve"> </w:t>
      </w:r>
      <w:r w:rsidR="007B2409" w:rsidRPr="00BA4492">
        <w:rPr>
          <w:rFonts w:ascii="Arial Narrow" w:hAnsi="Arial Narrow" w:cs="Times New Roman"/>
          <w:sz w:val="24"/>
          <w:szCs w:val="24"/>
        </w:rPr>
        <w:t xml:space="preserve">(έναντι </w:t>
      </w:r>
      <w:r w:rsidR="00FC46A2" w:rsidRPr="00BA4492">
        <w:rPr>
          <w:rFonts w:ascii="Arial Narrow" w:hAnsi="Arial Narrow" w:cs="Times New Roman"/>
          <w:sz w:val="24"/>
          <w:szCs w:val="24"/>
        </w:rPr>
        <w:t>55,9</w:t>
      </w:r>
      <w:r w:rsidR="007B2409" w:rsidRPr="00BA4492">
        <w:rPr>
          <w:rFonts w:ascii="Arial Narrow" w:hAnsi="Arial Narrow" w:cs="Times New Roman"/>
          <w:sz w:val="24"/>
          <w:szCs w:val="24"/>
        </w:rPr>
        <w:t xml:space="preserve"> </w:t>
      </w:r>
      <w:r w:rsidR="00133844" w:rsidRPr="00BA4492">
        <w:rPr>
          <w:rFonts w:ascii="Arial Narrow" w:hAnsi="Arial Narrow" w:cs="Times New Roman"/>
          <w:sz w:val="24"/>
          <w:szCs w:val="24"/>
        </w:rPr>
        <w:t xml:space="preserve">δισεκ. </w:t>
      </w:r>
      <w:r w:rsidR="007B2409" w:rsidRPr="00BA4492">
        <w:rPr>
          <w:rFonts w:ascii="Arial Narrow" w:hAnsi="Arial Narrow" w:cs="Times New Roman"/>
          <w:sz w:val="24"/>
          <w:szCs w:val="24"/>
        </w:rPr>
        <w:t xml:space="preserve"> το 202</w:t>
      </w:r>
      <w:r w:rsidR="00FC46A2" w:rsidRPr="00BA4492">
        <w:rPr>
          <w:rFonts w:ascii="Arial Narrow" w:hAnsi="Arial Narrow" w:cs="Times New Roman"/>
          <w:sz w:val="24"/>
          <w:szCs w:val="24"/>
        </w:rPr>
        <w:t>3</w:t>
      </w:r>
      <w:r w:rsidR="007B2409" w:rsidRPr="00BA4492">
        <w:rPr>
          <w:rFonts w:ascii="Arial Narrow" w:hAnsi="Arial Narrow" w:cs="Times New Roman"/>
          <w:sz w:val="24"/>
          <w:szCs w:val="24"/>
        </w:rPr>
        <w:t>)</w:t>
      </w:r>
      <w:r w:rsidRPr="00BA4492">
        <w:rPr>
          <w:rFonts w:ascii="Arial Narrow" w:hAnsi="Arial Narrow" w:cs="Times New Roman"/>
          <w:sz w:val="24"/>
          <w:szCs w:val="24"/>
        </w:rPr>
        <w:t xml:space="preserve">, με </w:t>
      </w:r>
      <w:r w:rsidRPr="00BA4492">
        <w:rPr>
          <w:rFonts w:ascii="Arial Narrow" w:hAnsi="Arial Narrow" w:cs="Times New Roman"/>
          <w:b/>
          <w:sz w:val="24"/>
          <w:szCs w:val="24"/>
        </w:rPr>
        <w:t xml:space="preserve">πλεόνασμα υπέρ της ΕΕ, τάξεως </w:t>
      </w:r>
      <w:r w:rsidR="00FC46A2" w:rsidRPr="00BA4492">
        <w:rPr>
          <w:rFonts w:ascii="Arial Narrow" w:hAnsi="Arial Narrow" w:cs="Times New Roman"/>
          <w:b/>
          <w:sz w:val="24"/>
          <w:szCs w:val="24"/>
        </w:rPr>
        <w:t>32,6</w:t>
      </w:r>
      <w:r w:rsidRPr="00BA4492">
        <w:rPr>
          <w:rFonts w:ascii="Arial Narrow" w:hAnsi="Arial Narrow" w:cs="Times New Roman"/>
          <w:b/>
          <w:sz w:val="24"/>
          <w:szCs w:val="24"/>
        </w:rPr>
        <w:t xml:space="preserve"> </w:t>
      </w:r>
      <w:r w:rsidR="00133844" w:rsidRPr="00BA4492">
        <w:rPr>
          <w:rFonts w:ascii="Arial Narrow" w:hAnsi="Arial Narrow" w:cs="Times New Roman"/>
          <w:b/>
          <w:sz w:val="24"/>
          <w:szCs w:val="24"/>
        </w:rPr>
        <w:t xml:space="preserve">δισεκ. </w:t>
      </w:r>
      <w:r w:rsidRPr="00BA4492">
        <w:rPr>
          <w:rFonts w:ascii="Arial Narrow" w:hAnsi="Arial Narrow" w:cs="Times New Roman"/>
          <w:b/>
          <w:sz w:val="24"/>
          <w:szCs w:val="24"/>
        </w:rPr>
        <w:t xml:space="preserve"> </w:t>
      </w:r>
      <w:r w:rsidR="00617A7D" w:rsidRPr="00BA4492">
        <w:rPr>
          <w:rFonts w:ascii="Arial Narrow" w:hAnsi="Arial Narrow" w:cs="Times New Roman"/>
          <w:b/>
          <w:sz w:val="24"/>
          <w:szCs w:val="24"/>
        </w:rPr>
        <w:t>Ευρώ</w:t>
      </w:r>
      <w:r w:rsidRPr="00BA4492">
        <w:rPr>
          <w:rFonts w:ascii="Arial Narrow" w:hAnsi="Arial Narrow" w:cs="Times New Roman"/>
          <w:sz w:val="24"/>
          <w:szCs w:val="24"/>
        </w:rPr>
        <w:t xml:space="preserve">.  </w:t>
      </w:r>
      <w:r w:rsidR="007B2409" w:rsidRPr="00BA4492">
        <w:rPr>
          <w:rFonts w:ascii="Arial Narrow" w:hAnsi="Arial Narrow" w:cs="Times New Roman"/>
          <w:sz w:val="24"/>
          <w:szCs w:val="24"/>
        </w:rPr>
        <w:t xml:space="preserve">Οι εισαγωγές της ΕΕ από τα ΗΑΕ έφτασαν τα </w:t>
      </w:r>
      <w:r w:rsidR="00FC46A2" w:rsidRPr="00BA4492">
        <w:rPr>
          <w:rFonts w:ascii="Arial Narrow" w:hAnsi="Arial Narrow" w:cs="Times New Roman"/>
          <w:sz w:val="24"/>
          <w:szCs w:val="24"/>
        </w:rPr>
        <w:t>11,7</w:t>
      </w:r>
      <w:r w:rsidR="007B2409" w:rsidRPr="00BA4492">
        <w:rPr>
          <w:rFonts w:ascii="Arial Narrow" w:hAnsi="Arial Narrow" w:cs="Times New Roman"/>
          <w:sz w:val="24"/>
          <w:szCs w:val="24"/>
        </w:rPr>
        <w:t xml:space="preserve"> </w:t>
      </w:r>
      <w:r w:rsidR="00133844" w:rsidRPr="00BA4492">
        <w:rPr>
          <w:rFonts w:ascii="Arial Narrow" w:hAnsi="Arial Narrow" w:cs="Times New Roman"/>
          <w:sz w:val="24"/>
          <w:szCs w:val="24"/>
        </w:rPr>
        <w:t xml:space="preserve">δισεκ. </w:t>
      </w:r>
      <w:r w:rsidR="007B2409" w:rsidRPr="00BA4492">
        <w:rPr>
          <w:rFonts w:ascii="Arial Narrow" w:hAnsi="Arial Narrow" w:cs="Times New Roman"/>
          <w:sz w:val="24"/>
          <w:szCs w:val="24"/>
        </w:rPr>
        <w:t xml:space="preserve"> </w:t>
      </w:r>
      <w:r w:rsidR="00617A7D" w:rsidRPr="00BA4492">
        <w:rPr>
          <w:rFonts w:ascii="Arial Narrow" w:hAnsi="Arial Narrow" w:cs="Times New Roman"/>
          <w:sz w:val="24"/>
          <w:szCs w:val="24"/>
        </w:rPr>
        <w:t>Ευρώ</w:t>
      </w:r>
      <w:r w:rsidR="007B2409" w:rsidRPr="00BA4492">
        <w:rPr>
          <w:rFonts w:ascii="Arial Narrow" w:hAnsi="Arial Narrow" w:cs="Times New Roman"/>
          <w:sz w:val="24"/>
          <w:szCs w:val="24"/>
        </w:rPr>
        <w:t xml:space="preserve"> (έναντι </w:t>
      </w:r>
      <w:r w:rsidR="00FC46A2" w:rsidRPr="00BA4492">
        <w:rPr>
          <w:rFonts w:ascii="Arial Narrow" w:hAnsi="Arial Narrow" w:cs="Times New Roman"/>
          <w:sz w:val="24"/>
          <w:szCs w:val="24"/>
        </w:rPr>
        <w:t>17,1</w:t>
      </w:r>
      <w:r w:rsidR="007B2409" w:rsidRPr="00BA4492">
        <w:rPr>
          <w:rFonts w:ascii="Arial Narrow" w:hAnsi="Arial Narrow" w:cs="Times New Roman"/>
          <w:sz w:val="24"/>
          <w:szCs w:val="24"/>
        </w:rPr>
        <w:t xml:space="preserve"> το 202</w:t>
      </w:r>
      <w:r w:rsidR="00FC46A2" w:rsidRPr="00BA4492">
        <w:rPr>
          <w:rFonts w:ascii="Arial Narrow" w:hAnsi="Arial Narrow" w:cs="Times New Roman"/>
          <w:sz w:val="24"/>
          <w:szCs w:val="24"/>
        </w:rPr>
        <w:t>3</w:t>
      </w:r>
      <w:r w:rsidR="007B2409" w:rsidRPr="00BA4492">
        <w:rPr>
          <w:rFonts w:ascii="Arial Narrow" w:hAnsi="Arial Narrow" w:cs="Times New Roman"/>
          <w:sz w:val="24"/>
          <w:szCs w:val="24"/>
        </w:rPr>
        <w:t xml:space="preserve">), ενώ οι εξαγωγές της ΕΕ στα ΗΑΕ ανήλθαν σε </w:t>
      </w:r>
      <w:r w:rsidR="00FC46A2" w:rsidRPr="00BA4492">
        <w:rPr>
          <w:rFonts w:ascii="Arial Narrow" w:hAnsi="Arial Narrow" w:cs="Times New Roman"/>
          <w:sz w:val="24"/>
          <w:szCs w:val="24"/>
        </w:rPr>
        <w:t>44,3</w:t>
      </w:r>
      <w:r w:rsidR="007B2409" w:rsidRPr="00BA4492">
        <w:rPr>
          <w:rFonts w:ascii="Arial Narrow" w:hAnsi="Arial Narrow" w:cs="Times New Roman"/>
          <w:sz w:val="24"/>
          <w:szCs w:val="24"/>
        </w:rPr>
        <w:t xml:space="preserve"> </w:t>
      </w:r>
      <w:r w:rsidR="00133844" w:rsidRPr="00BA4492">
        <w:rPr>
          <w:rFonts w:ascii="Arial Narrow" w:hAnsi="Arial Narrow" w:cs="Times New Roman"/>
          <w:sz w:val="24"/>
          <w:szCs w:val="24"/>
        </w:rPr>
        <w:t xml:space="preserve">δισεκ. </w:t>
      </w:r>
      <w:r w:rsidR="007B2409" w:rsidRPr="00BA4492">
        <w:rPr>
          <w:rFonts w:ascii="Arial Narrow" w:hAnsi="Arial Narrow" w:cs="Times New Roman"/>
          <w:sz w:val="24"/>
          <w:szCs w:val="24"/>
        </w:rPr>
        <w:t xml:space="preserve"> </w:t>
      </w:r>
      <w:r w:rsidR="00617A7D" w:rsidRPr="00BA4492">
        <w:rPr>
          <w:rFonts w:ascii="Arial Narrow" w:hAnsi="Arial Narrow" w:cs="Times New Roman"/>
          <w:sz w:val="24"/>
          <w:szCs w:val="24"/>
        </w:rPr>
        <w:t>Ευρώ</w:t>
      </w:r>
      <w:r w:rsidR="007B2409" w:rsidRPr="00BA4492">
        <w:rPr>
          <w:rFonts w:ascii="Arial Narrow" w:hAnsi="Arial Narrow" w:cs="Times New Roman"/>
          <w:sz w:val="24"/>
          <w:szCs w:val="24"/>
        </w:rPr>
        <w:t xml:space="preserve"> (έναντι </w:t>
      </w:r>
      <w:r w:rsidR="00FC46A2" w:rsidRPr="00BA4492">
        <w:rPr>
          <w:rFonts w:ascii="Arial Narrow" w:hAnsi="Arial Narrow" w:cs="Times New Roman"/>
          <w:sz w:val="24"/>
          <w:szCs w:val="24"/>
        </w:rPr>
        <w:t>38,8</w:t>
      </w:r>
      <w:r w:rsidR="007B2409" w:rsidRPr="00BA4492">
        <w:rPr>
          <w:rFonts w:ascii="Arial Narrow" w:hAnsi="Arial Narrow" w:cs="Times New Roman"/>
          <w:sz w:val="24"/>
          <w:szCs w:val="24"/>
        </w:rPr>
        <w:t xml:space="preserve"> το 202</w:t>
      </w:r>
      <w:r w:rsidR="00FC46A2" w:rsidRPr="00BA4492">
        <w:rPr>
          <w:rFonts w:ascii="Arial Narrow" w:hAnsi="Arial Narrow" w:cs="Times New Roman"/>
          <w:sz w:val="24"/>
          <w:szCs w:val="24"/>
        </w:rPr>
        <w:t>3</w:t>
      </w:r>
      <w:r w:rsidR="007B2409" w:rsidRPr="00BA4492">
        <w:rPr>
          <w:rFonts w:ascii="Arial Narrow" w:hAnsi="Arial Narrow" w:cs="Times New Roman"/>
          <w:sz w:val="24"/>
          <w:szCs w:val="24"/>
        </w:rPr>
        <w:t xml:space="preserve">). </w:t>
      </w:r>
      <w:r w:rsidR="00C77FFC" w:rsidRPr="00BA4492">
        <w:rPr>
          <w:rFonts w:ascii="Arial Narrow" w:hAnsi="Arial Narrow" w:cs="Times New Roman"/>
          <w:sz w:val="24"/>
          <w:szCs w:val="24"/>
        </w:rPr>
        <w:t>Οι εξαγωγές της ΕΕ προς τα ΗΑΕ επικεντρώθηκαν σε βιομηχανικά προϊόντα, όπως μηχανολογικό εξοπλισμό, χημικά προϊόντα, πολύτιμους λίθους και πολύτιμα μέταλλα, εξοπλισμό μεταφορών και τρόφιμα.</w:t>
      </w:r>
    </w:p>
    <w:p w14:paraId="7F4995F7" w14:textId="534025AD" w:rsidR="006A6E99" w:rsidRPr="00BA4492" w:rsidRDefault="00C77FFC" w:rsidP="006A6E99">
      <w:pPr>
        <w:ind w:firstLine="567"/>
        <w:jc w:val="both"/>
        <w:rPr>
          <w:rFonts w:ascii="Arial Narrow" w:hAnsi="Arial Narrow" w:cs="Times New Roman"/>
          <w:sz w:val="24"/>
          <w:szCs w:val="24"/>
        </w:rPr>
      </w:pPr>
      <w:r w:rsidRPr="00BA4492">
        <w:rPr>
          <w:rFonts w:ascii="Arial Narrow" w:hAnsi="Arial Narrow" w:cs="Times New Roman"/>
          <w:sz w:val="24"/>
          <w:szCs w:val="24"/>
        </w:rPr>
        <w:t>Όσον αφορά το διμερές εμπόριο υπηρεσιών, το 202</w:t>
      </w:r>
      <w:r w:rsidR="00FC7ED4" w:rsidRPr="00BA4492">
        <w:rPr>
          <w:rFonts w:ascii="Arial Narrow" w:hAnsi="Arial Narrow" w:cs="Times New Roman"/>
          <w:sz w:val="24"/>
          <w:szCs w:val="24"/>
        </w:rPr>
        <w:t>3</w:t>
      </w:r>
      <w:r w:rsidRPr="00BA4492">
        <w:rPr>
          <w:rFonts w:ascii="Arial Narrow" w:hAnsi="Arial Narrow" w:cs="Times New Roman"/>
          <w:sz w:val="24"/>
          <w:szCs w:val="24"/>
        </w:rPr>
        <w:t xml:space="preserve"> (τελευταία διαθέσιμα στοιχεία), οι εισαγωγές της ΕΕ από τα ΗΑΕ ήταν </w:t>
      </w:r>
      <w:r w:rsidR="00FC7ED4" w:rsidRPr="00BA4492">
        <w:rPr>
          <w:rFonts w:ascii="Arial Narrow" w:hAnsi="Arial Narrow" w:cs="Times New Roman"/>
          <w:sz w:val="24"/>
          <w:szCs w:val="24"/>
        </w:rPr>
        <w:t>16,5</w:t>
      </w:r>
      <w:r w:rsidRPr="00BA4492">
        <w:rPr>
          <w:rFonts w:ascii="Arial Narrow" w:hAnsi="Arial Narrow" w:cs="Times New Roman"/>
          <w:sz w:val="24"/>
          <w:szCs w:val="24"/>
        </w:rPr>
        <w:t xml:space="preserve"> </w:t>
      </w:r>
      <w:r w:rsidR="00133844" w:rsidRPr="00BA4492">
        <w:rPr>
          <w:rFonts w:ascii="Arial Narrow" w:hAnsi="Arial Narrow" w:cs="Times New Roman"/>
          <w:sz w:val="24"/>
          <w:szCs w:val="24"/>
        </w:rPr>
        <w:t xml:space="preserve">δισεκ. </w:t>
      </w:r>
      <w:r w:rsidRPr="00BA4492">
        <w:rPr>
          <w:rFonts w:ascii="Arial Narrow" w:hAnsi="Arial Narrow" w:cs="Times New Roman"/>
          <w:sz w:val="24"/>
          <w:szCs w:val="24"/>
        </w:rPr>
        <w:t xml:space="preserve"> </w:t>
      </w:r>
      <w:r w:rsidR="00617A7D" w:rsidRPr="00BA4492">
        <w:rPr>
          <w:rFonts w:ascii="Arial Narrow" w:hAnsi="Arial Narrow" w:cs="Times New Roman"/>
          <w:sz w:val="24"/>
          <w:szCs w:val="24"/>
        </w:rPr>
        <w:t>Ευρώ</w:t>
      </w:r>
      <w:r w:rsidRPr="00BA4492">
        <w:rPr>
          <w:rFonts w:ascii="Arial Narrow" w:hAnsi="Arial Narrow" w:cs="Times New Roman"/>
          <w:sz w:val="24"/>
          <w:szCs w:val="24"/>
        </w:rPr>
        <w:t xml:space="preserve"> (έναντι </w:t>
      </w:r>
      <w:r w:rsidR="00FC7ED4" w:rsidRPr="00BA4492">
        <w:rPr>
          <w:rFonts w:ascii="Arial Narrow" w:hAnsi="Arial Narrow" w:cs="Times New Roman"/>
          <w:sz w:val="24"/>
          <w:szCs w:val="24"/>
        </w:rPr>
        <w:t>15,4</w:t>
      </w:r>
      <w:r w:rsidRPr="00BA4492">
        <w:rPr>
          <w:rFonts w:ascii="Arial Narrow" w:hAnsi="Arial Narrow" w:cs="Times New Roman"/>
          <w:sz w:val="24"/>
          <w:szCs w:val="24"/>
        </w:rPr>
        <w:t xml:space="preserve"> το 202</w:t>
      </w:r>
      <w:r w:rsidR="00FC7ED4" w:rsidRPr="00BA4492">
        <w:rPr>
          <w:rFonts w:ascii="Arial Narrow" w:hAnsi="Arial Narrow" w:cs="Times New Roman"/>
          <w:sz w:val="24"/>
          <w:szCs w:val="24"/>
        </w:rPr>
        <w:t>2</w:t>
      </w:r>
      <w:r w:rsidRPr="00BA4492">
        <w:rPr>
          <w:rFonts w:ascii="Arial Narrow" w:hAnsi="Arial Narrow" w:cs="Times New Roman"/>
          <w:sz w:val="24"/>
          <w:szCs w:val="24"/>
        </w:rPr>
        <w:t xml:space="preserve">), ενώ οι εξαγωγές της ΕΕ στα ΗΑΕ ανήλθαν σε </w:t>
      </w:r>
      <w:r w:rsidR="00FC7ED4" w:rsidRPr="00BA4492">
        <w:rPr>
          <w:rFonts w:ascii="Arial Narrow" w:hAnsi="Arial Narrow" w:cs="Times New Roman"/>
          <w:sz w:val="24"/>
          <w:szCs w:val="24"/>
        </w:rPr>
        <w:t>22,5</w:t>
      </w:r>
      <w:r w:rsidRPr="00BA4492">
        <w:rPr>
          <w:rFonts w:ascii="Arial Narrow" w:hAnsi="Arial Narrow" w:cs="Times New Roman"/>
          <w:sz w:val="24"/>
          <w:szCs w:val="24"/>
        </w:rPr>
        <w:t xml:space="preserve"> </w:t>
      </w:r>
      <w:r w:rsidR="00133844" w:rsidRPr="00BA4492">
        <w:rPr>
          <w:rFonts w:ascii="Arial Narrow" w:hAnsi="Arial Narrow" w:cs="Times New Roman"/>
          <w:sz w:val="24"/>
          <w:szCs w:val="24"/>
        </w:rPr>
        <w:t xml:space="preserve">δισεκ. </w:t>
      </w:r>
      <w:r w:rsidRPr="00BA4492">
        <w:rPr>
          <w:rFonts w:ascii="Arial Narrow" w:hAnsi="Arial Narrow" w:cs="Times New Roman"/>
          <w:sz w:val="24"/>
          <w:szCs w:val="24"/>
        </w:rPr>
        <w:t xml:space="preserve"> </w:t>
      </w:r>
      <w:r w:rsidR="00617A7D" w:rsidRPr="00BA4492">
        <w:rPr>
          <w:rFonts w:ascii="Arial Narrow" w:hAnsi="Arial Narrow" w:cs="Times New Roman"/>
          <w:sz w:val="24"/>
          <w:szCs w:val="24"/>
        </w:rPr>
        <w:t>Ευρώ</w:t>
      </w:r>
      <w:r w:rsidRPr="00BA4492">
        <w:rPr>
          <w:rFonts w:ascii="Arial Narrow" w:hAnsi="Arial Narrow" w:cs="Times New Roman"/>
          <w:sz w:val="24"/>
          <w:szCs w:val="24"/>
        </w:rPr>
        <w:t xml:space="preserve"> (έναντι </w:t>
      </w:r>
      <w:r w:rsidR="00FC7ED4" w:rsidRPr="00BA4492">
        <w:rPr>
          <w:rFonts w:ascii="Arial Narrow" w:hAnsi="Arial Narrow" w:cs="Times New Roman"/>
          <w:sz w:val="24"/>
          <w:szCs w:val="24"/>
        </w:rPr>
        <w:t>20</w:t>
      </w:r>
      <w:r w:rsidRPr="00BA4492">
        <w:rPr>
          <w:rFonts w:ascii="Arial Narrow" w:hAnsi="Arial Narrow" w:cs="Times New Roman"/>
          <w:sz w:val="24"/>
          <w:szCs w:val="24"/>
        </w:rPr>
        <w:t xml:space="preserve"> το 202</w:t>
      </w:r>
      <w:r w:rsidR="00FC7ED4" w:rsidRPr="00BA4492">
        <w:rPr>
          <w:rFonts w:ascii="Arial Narrow" w:hAnsi="Arial Narrow" w:cs="Times New Roman"/>
          <w:sz w:val="24"/>
          <w:szCs w:val="24"/>
        </w:rPr>
        <w:t>2</w:t>
      </w:r>
      <w:r w:rsidRPr="00BA4492">
        <w:rPr>
          <w:rFonts w:ascii="Arial Narrow" w:hAnsi="Arial Narrow" w:cs="Times New Roman"/>
          <w:sz w:val="24"/>
          <w:szCs w:val="24"/>
        </w:rPr>
        <w:t>).</w:t>
      </w:r>
      <w:r w:rsidR="007B2409" w:rsidRPr="00BA4492">
        <w:rPr>
          <w:rFonts w:ascii="Arial Narrow" w:hAnsi="Arial Narrow" w:cs="Times New Roman"/>
          <w:sz w:val="24"/>
          <w:szCs w:val="24"/>
        </w:rPr>
        <w:t xml:space="preserve"> </w:t>
      </w:r>
      <w:r w:rsidR="006A6E99" w:rsidRPr="00BA4492">
        <w:rPr>
          <w:rFonts w:ascii="Arial Narrow" w:hAnsi="Arial Narrow" w:cs="Times New Roman"/>
          <w:sz w:val="24"/>
          <w:szCs w:val="24"/>
        </w:rPr>
        <w:t>Το 202</w:t>
      </w:r>
      <w:r w:rsidR="00FC7ED4" w:rsidRPr="00BA4492">
        <w:rPr>
          <w:rFonts w:ascii="Arial Narrow" w:hAnsi="Arial Narrow" w:cs="Times New Roman"/>
          <w:sz w:val="24"/>
          <w:szCs w:val="24"/>
        </w:rPr>
        <w:t>3</w:t>
      </w:r>
      <w:r w:rsidR="006A6E99" w:rsidRPr="00BA4492">
        <w:rPr>
          <w:rFonts w:ascii="Arial Narrow" w:hAnsi="Arial Narrow" w:cs="Times New Roman"/>
          <w:sz w:val="24"/>
          <w:szCs w:val="24"/>
        </w:rPr>
        <w:t xml:space="preserve">,το </w:t>
      </w:r>
      <w:r w:rsidR="006A6E99" w:rsidRPr="00BA4492">
        <w:rPr>
          <w:rFonts w:ascii="Arial Narrow" w:hAnsi="Arial Narrow" w:cs="Times New Roman"/>
          <w:b/>
          <w:sz w:val="24"/>
          <w:szCs w:val="24"/>
        </w:rPr>
        <w:t>ισοζύγιο υπηρεσιών</w:t>
      </w:r>
      <w:r w:rsidR="006A6E99" w:rsidRPr="00BA4492">
        <w:rPr>
          <w:rFonts w:ascii="Arial Narrow" w:hAnsi="Arial Narrow" w:cs="Times New Roman"/>
          <w:sz w:val="24"/>
          <w:szCs w:val="24"/>
        </w:rPr>
        <w:t xml:space="preserve"> ήταν επίσης </w:t>
      </w:r>
      <w:r w:rsidR="006A6E99" w:rsidRPr="00BA4492">
        <w:rPr>
          <w:rFonts w:ascii="Arial Narrow" w:hAnsi="Arial Narrow" w:cs="Times New Roman"/>
          <w:b/>
          <w:sz w:val="24"/>
          <w:szCs w:val="24"/>
        </w:rPr>
        <w:t xml:space="preserve">πλεονασματικό υπέρ της ΕΕ, κατά </w:t>
      </w:r>
      <w:r w:rsidR="00FC7ED4" w:rsidRPr="00BA4492">
        <w:rPr>
          <w:rFonts w:ascii="Arial Narrow" w:hAnsi="Arial Narrow" w:cs="Times New Roman"/>
          <w:b/>
          <w:sz w:val="24"/>
          <w:szCs w:val="24"/>
        </w:rPr>
        <w:t>6</w:t>
      </w:r>
      <w:r w:rsidR="006A6E99" w:rsidRPr="00BA4492">
        <w:rPr>
          <w:rFonts w:ascii="Arial Narrow" w:hAnsi="Arial Narrow" w:cs="Times New Roman"/>
          <w:b/>
          <w:sz w:val="24"/>
          <w:szCs w:val="24"/>
        </w:rPr>
        <w:t xml:space="preserve"> </w:t>
      </w:r>
      <w:r w:rsidR="00133844" w:rsidRPr="00BA4492">
        <w:rPr>
          <w:rFonts w:ascii="Arial Narrow" w:hAnsi="Arial Narrow" w:cs="Times New Roman"/>
          <w:b/>
          <w:sz w:val="24"/>
          <w:szCs w:val="24"/>
        </w:rPr>
        <w:t xml:space="preserve">δισεκ. </w:t>
      </w:r>
      <w:r w:rsidR="006A6E99" w:rsidRPr="00BA4492">
        <w:rPr>
          <w:rFonts w:ascii="Arial Narrow" w:hAnsi="Arial Narrow" w:cs="Times New Roman"/>
          <w:b/>
          <w:sz w:val="24"/>
          <w:szCs w:val="24"/>
        </w:rPr>
        <w:t xml:space="preserve"> </w:t>
      </w:r>
      <w:r w:rsidR="00617A7D" w:rsidRPr="00BA4492">
        <w:rPr>
          <w:rFonts w:ascii="Arial Narrow" w:hAnsi="Arial Narrow" w:cs="Times New Roman"/>
          <w:b/>
          <w:sz w:val="24"/>
          <w:szCs w:val="24"/>
        </w:rPr>
        <w:t>Ευρώ</w:t>
      </w:r>
      <w:r w:rsidR="006A6E99" w:rsidRPr="00BA4492">
        <w:rPr>
          <w:rFonts w:ascii="Arial Narrow" w:hAnsi="Arial Narrow" w:cs="Times New Roman"/>
          <w:sz w:val="24"/>
          <w:szCs w:val="24"/>
        </w:rPr>
        <w:t>.</w:t>
      </w:r>
    </w:p>
    <w:p w14:paraId="6F3C389D" w14:textId="6FACB715" w:rsidR="00C77FFC" w:rsidRPr="00BA4492" w:rsidRDefault="00C77FFC" w:rsidP="00FC7ED4">
      <w:pPr>
        <w:ind w:firstLine="567"/>
        <w:jc w:val="both"/>
        <w:rPr>
          <w:rFonts w:ascii="Arial Narrow" w:hAnsi="Arial Narrow" w:cs="Times New Roman"/>
          <w:sz w:val="24"/>
          <w:szCs w:val="24"/>
          <w:shd w:val="clear" w:color="auto" w:fill="FFFFFF"/>
        </w:rPr>
      </w:pPr>
      <w:r w:rsidRPr="00BA4492">
        <w:rPr>
          <w:rFonts w:ascii="Arial Narrow" w:hAnsi="Arial Narrow" w:cs="Times New Roman"/>
          <w:sz w:val="24"/>
          <w:szCs w:val="24"/>
        </w:rPr>
        <w:t xml:space="preserve">Αναφορικά με την επενδυτική συνεργασία ΕΕ-ΗΑΕ, τα ΗΑΕ αποτελούν τον </w:t>
      </w:r>
      <w:r w:rsidRPr="00BA4492">
        <w:rPr>
          <w:rFonts w:ascii="Arial Narrow" w:hAnsi="Arial Narrow" w:cs="Times New Roman"/>
          <w:b/>
          <w:sz w:val="24"/>
          <w:szCs w:val="24"/>
        </w:rPr>
        <w:t>μεγαλύτερο επενδυτικό εταίρο της ΕΕ στο ΣΣΚ</w:t>
      </w:r>
      <w:r w:rsidRPr="00BA4492">
        <w:rPr>
          <w:rFonts w:ascii="Arial Narrow" w:hAnsi="Arial Narrow" w:cs="Times New Roman"/>
          <w:sz w:val="24"/>
          <w:szCs w:val="24"/>
        </w:rPr>
        <w:t>. Το 202</w:t>
      </w:r>
      <w:r w:rsidR="00FC7ED4" w:rsidRPr="00BA4492">
        <w:rPr>
          <w:rFonts w:ascii="Arial Narrow" w:hAnsi="Arial Narrow" w:cs="Times New Roman"/>
          <w:sz w:val="24"/>
          <w:szCs w:val="24"/>
        </w:rPr>
        <w:t>3</w:t>
      </w:r>
      <w:r w:rsidRPr="00BA4492">
        <w:rPr>
          <w:rFonts w:ascii="Arial Narrow" w:hAnsi="Arial Narrow" w:cs="Times New Roman"/>
          <w:sz w:val="24"/>
          <w:szCs w:val="24"/>
        </w:rPr>
        <w:t xml:space="preserve"> (τελευταία διαθέσιμα στοιχεία), το απόθεμα ΑΞΕ της ΕΕ στα ΗΑΕ ήταν </w:t>
      </w:r>
      <w:r w:rsidR="00FC7ED4" w:rsidRPr="00BA4492">
        <w:rPr>
          <w:rFonts w:ascii="Arial Narrow" w:hAnsi="Arial Narrow" w:cs="Times New Roman"/>
          <w:sz w:val="24"/>
          <w:szCs w:val="24"/>
        </w:rPr>
        <w:t>186</w:t>
      </w:r>
      <w:r w:rsidRPr="00BA4492">
        <w:rPr>
          <w:rFonts w:ascii="Arial Narrow" w:hAnsi="Arial Narrow" w:cs="Times New Roman"/>
          <w:sz w:val="24"/>
          <w:szCs w:val="24"/>
        </w:rPr>
        <w:t xml:space="preserve"> δισεκ. </w:t>
      </w:r>
      <w:r w:rsidR="00617A7D" w:rsidRPr="00BA4492">
        <w:rPr>
          <w:rFonts w:ascii="Arial Narrow" w:hAnsi="Arial Narrow" w:cs="Times New Roman"/>
          <w:sz w:val="24"/>
          <w:szCs w:val="24"/>
        </w:rPr>
        <w:t>Ευρώ</w:t>
      </w:r>
      <w:r w:rsidRPr="00BA4492">
        <w:rPr>
          <w:rFonts w:ascii="Arial Narrow" w:hAnsi="Arial Narrow" w:cs="Times New Roman"/>
          <w:sz w:val="24"/>
          <w:szCs w:val="24"/>
        </w:rPr>
        <w:t xml:space="preserve"> (έναντι </w:t>
      </w:r>
      <w:r w:rsidR="00FC7ED4" w:rsidRPr="00BA4492">
        <w:rPr>
          <w:rFonts w:ascii="Arial Narrow" w:hAnsi="Arial Narrow" w:cs="Times New Roman"/>
          <w:sz w:val="24"/>
          <w:szCs w:val="24"/>
        </w:rPr>
        <w:t xml:space="preserve">181,3 </w:t>
      </w:r>
      <w:r w:rsidR="00133844" w:rsidRPr="00BA4492">
        <w:rPr>
          <w:rFonts w:ascii="Arial Narrow" w:hAnsi="Arial Narrow" w:cs="Times New Roman"/>
          <w:sz w:val="24"/>
          <w:szCs w:val="24"/>
        </w:rPr>
        <w:t xml:space="preserve">δισεκ. </w:t>
      </w:r>
      <w:r w:rsidR="00FC7ED4" w:rsidRPr="00BA4492">
        <w:rPr>
          <w:rFonts w:ascii="Arial Narrow" w:hAnsi="Arial Narrow" w:cs="Times New Roman"/>
          <w:sz w:val="24"/>
          <w:szCs w:val="24"/>
        </w:rPr>
        <w:t xml:space="preserve"> </w:t>
      </w:r>
      <w:r w:rsidR="00617A7D" w:rsidRPr="00BA4492">
        <w:rPr>
          <w:rFonts w:ascii="Arial Narrow" w:hAnsi="Arial Narrow" w:cs="Times New Roman"/>
          <w:sz w:val="24"/>
          <w:szCs w:val="24"/>
        </w:rPr>
        <w:t>Ευρώ</w:t>
      </w:r>
      <w:r w:rsidRPr="00BA4492">
        <w:rPr>
          <w:rFonts w:ascii="Arial Narrow" w:hAnsi="Arial Narrow" w:cs="Times New Roman"/>
          <w:sz w:val="24"/>
          <w:szCs w:val="24"/>
        </w:rPr>
        <w:t xml:space="preserve"> το 202</w:t>
      </w:r>
      <w:r w:rsidR="00FC7ED4" w:rsidRPr="00BA4492">
        <w:rPr>
          <w:rFonts w:ascii="Arial Narrow" w:hAnsi="Arial Narrow" w:cs="Times New Roman"/>
          <w:sz w:val="24"/>
          <w:szCs w:val="24"/>
        </w:rPr>
        <w:t>2</w:t>
      </w:r>
      <w:r w:rsidRPr="00BA4492">
        <w:rPr>
          <w:rFonts w:ascii="Arial Narrow" w:hAnsi="Arial Narrow" w:cs="Times New Roman"/>
          <w:sz w:val="24"/>
          <w:szCs w:val="24"/>
        </w:rPr>
        <w:t xml:space="preserve">), </w:t>
      </w:r>
      <w:r w:rsidRPr="00BA4492">
        <w:rPr>
          <w:rFonts w:ascii="Arial Narrow" w:hAnsi="Arial Narrow" w:cs="Times New Roman"/>
          <w:sz w:val="24"/>
          <w:szCs w:val="24"/>
          <w:shd w:val="clear" w:color="auto" w:fill="FFFFFF"/>
        </w:rPr>
        <w:t>γεγονός που καθιστά την ΕΕ τον μεγαλύτερο επενδυτή στα ΗΑΕ</w:t>
      </w:r>
      <w:r w:rsidRPr="00BA4492">
        <w:rPr>
          <w:rFonts w:ascii="Arial Narrow" w:hAnsi="Arial Narrow" w:cs="Times New Roman"/>
          <w:sz w:val="24"/>
          <w:szCs w:val="24"/>
        </w:rPr>
        <w:t xml:space="preserve">. Αντίστοιχα, το απόθεμα ΑΞΕ των ΗΑΕ στην ΕΕ έφτασε στα </w:t>
      </w:r>
      <w:r w:rsidR="00FC7ED4" w:rsidRPr="00BA4492">
        <w:rPr>
          <w:rFonts w:ascii="Arial Narrow" w:hAnsi="Arial Narrow" w:cs="Times New Roman"/>
          <w:sz w:val="24"/>
          <w:szCs w:val="24"/>
        </w:rPr>
        <w:t>141,4</w:t>
      </w:r>
      <w:r w:rsidRPr="00BA4492">
        <w:rPr>
          <w:rFonts w:ascii="Arial Narrow" w:hAnsi="Arial Narrow" w:cs="Times New Roman"/>
          <w:sz w:val="24"/>
          <w:szCs w:val="24"/>
        </w:rPr>
        <w:t xml:space="preserve"> </w:t>
      </w:r>
      <w:r w:rsidR="00133844" w:rsidRPr="00BA4492">
        <w:rPr>
          <w:rFonts w:ascii="Arial Narrow" w:hAnsi="Arial Narrow" w:cs="Times New Roman"/>
          <w:sz w:val="24"/>
          <w:szCs w:val="24"/>
        </w:rPr>
        <w:t xml:space="preserve">δισεκ. </w:t>
      </w:r>
      <w:r w:rsidRPr="00BA4492">
        <w:rPr>
          <w:rFonts w:ascii="Arial Narrow" w:hAnsi="Arial Narrow" w:cs="Times New Roman"/>
          <w:sz w:val="24"/>
          <w:szCs w:val="24"/>
        </w:rPr>
        <w:t xml:space="preserve"> </w:t>
      </w:r>
      <w:r w:rsidR="00617A7D" w:rsidRPr="00BA4492">
        <w:rPr>
          <w:rFonts w:ascii="Arial Narrow" w:hAnsi="Arial Narrow" w:cs="Times New Roman"/>
          <w:sz w:val="24"/>
          <w:szCs w:val="24"/>
        </w:rPr>
        <w:t>Ευρώ</w:t>
      </w:r>
      <w:r w:rsidRPr="00BA4492">
        <w:rPr>
          <w:rFonts w:ascii="Arial Narrow" w:hAnsi="Arial Narrow" w:cs="Times New Roman"/>
          <w:sz w:val="24"/>
          <w:szCs w:val="24"/>
        </w:rPr>
        <w:t xml:space="preserve"> (έναντι </w:t>
      </w:r>
      <w:r w:rsidR="00FC7ED4" w:rsidRPr="00BA4492">
        <w:rPr>
          <w:rFonts w:ascii="Arial Narrow" w:hAnsi="Arial Narrow" w:cs="Times New Roman"/>
          <w:sz w:val="24"/>
          <w:szCs w:val="24"/>
        </w:rPr>
        <w:t>139,1</w:t>
      </w:r>
      <w:r w:rsidRPr="00BA4492">
        <w:rPr>
          <w:rFonts w:ascii="Arial Narrow" w:hAnsi="Arial Narrow" w:cs="Times New Roman"/>
          <w:sz w:val="24"/>
          <w:szCs w:val="24"/>
        </w:rPr>
        <w:t xml:space="preserve"> </w:t>
      </w:r>
      <w:r w:rsidR="00133844" w:rsidRPr="00BA4492">
        <w:rPr>
          <w:rFonts w:ascii="Arial Narrow" w:hAnsi="Arial Narrow" w:cs="Times New Roman"/>
          <w:sz w:val="24"/>
          <w:szCs w:val="24"/>
        </w:rPr>
        <w:t xml:space="preserve">δισεκ. </w:t>
      </w:r>
      <w:r w:rsidR="00FC7ED4" w:rsidRPr="00BA4492">
        <w:rPr>
          <w:rFonts w:ascii="Arial Narrow" w:hAnsi="Arial Narrow" w:cs="Times New Roman"/>
          <w:sz w:val="24"/>
          <w:szCs w:val="24"/>
        </w:rPr>
        <w:t xml:space="preserve"> </w:t>
      </w:r>
      <w:r w:rsidR="00617A7D" w:rsidRPr="00BA4492">
        <w:rPr>
          <w:rFonts w:ascii="Arial Narrow" w:hAnsi="Arial Narrow" w:cs="Times New Roman"/>
          <w:sz w:val="24"/>
          <w:szCs w:val="24"/>
        </w:rPr>
        <w:t>Ευρώ</w:t>
      </w:r>
      <w:r w:rsidR="00FC7ED4" w:rsidRPr="00BA4492">
        <w:rPr>
          <w:rFonts w:ascii="Arial Narrow" w:hAnsi="Arial Narrow" w:cs="Times New Roman"/>
          <w:sz w:val="24"/>
          <w:szCs w:val="24"/>
        </w:rPr>
        <w:t xml:space="preserve"> </w:t>
      </w:r>
      <w:r w:rsidRPr="00BA4492">
        <w:rPr>
          <w:rFonts w:ascii="Arial Narrow" w:hAnsi="Arial Narrow" w:cs="Times New Roman"/>
          <w:sz w:val="24"/>
          <w:szCs w:val="24"/>
        </w:rPr>
        <w:t>το 202</w:t>
      </w:r>
      <w:r w:rsidR="00FC7ED4" w:rsidRPr="00BA4492">
        <w:rPr>
          <w:rFonts w:ascii="Arial Narrow" w:hAnsi="Arial Narrow" w:cs="Times New Roman"/>
          <w:sz w:val="24"/>
          <w:szCs w:val="24"/>
        </w:rPr>
        <w:t>2</w:t>
      </w:r>
      <w:r w:rsidRPr="00BA4492">
        <w:rPr>
          <w:rFonts w:ascii="Arial Narrow" w:hAnsi="Arial Narrow" w:cs="Times New Roman"/>
          <w:sz w:val="24"/>
          <w:szCs w:val="24"/>
        </w:rPr>
        <w:t>)</w:t>
      </w:r>
      <w:r w:rsidRPr="00BA4492">
        <w:rPr>
          <w:rFonts w:ascii="Arial Narrow" w:hAnsi="Arial Narrow" w:cs="Times New Roman"/>
          <w:sz w:val="24"/>
          <w:szCs w:val="24"/>
          <w:shd w:val="clear" w:color="auto" w:fill="FFFFFF"/>
        </w:rPr>
        <w:t>.</w:t>
      </w:r>
    </w:p>
    <w:p w14:paraId="60A88812" w14:textId="0BF23EFF" w:rsidR="00DD37C1" w:rsidRPr="00817F84" w:rsidRDefault="008F7FA4" w:rsidP="00817F84">
      <w:pPr>
        <w:pStyle w:val="Caption"/>
        <w:jc w:val="center"/>
        <w:rPr>
          <w:rFonts w:ascii="Arial Narrow" w:hAnsi="Arial Narrow"/>
          <w:sz w:val="24"/>
          <w:szCs w:val="24"/>
          <w:lang w:eastAsia="en-GB"/>
        </w:rPr>
      </w:pPr>
      <w:bookmarkStart w:id="41" w:name="_Toc200448557"/>
      <w:r w:rsidRPr="00817F84">
        <w:rPr>
          <w:rFonts w:ascii="Arial Narrow" w:hAnsi="Arial Narrow"/>
          <w:sz w:val="24"/>
          <w:szCs w:val="24"/>
        </w:rPr>
        <w:t>Π</w:t>
      </w:r>
      <w:r w:rsidR="00A235B3">
        <w:rPr>
          <w:rFonts w:ascii="Arial Narrow" w:hAnsi="Arial Narrow"/>
          <w:sz w:val="24"/>
          <w:szCs w:val="24"/>
        </w:rPr>
        <w:t xml:space="preserve">ΙΝΑΚΑΣ </w:t>
      </w:r>
      <w:r w:rsidR="00451B2E">
        <w:rPr>
          <w:rFonts w:ascii="Arial Narrow" w:hAnsi="Arial Narrow"/>
          <w:sz w:val="24"/>
          <w:szCs w:val="24"/>
        </w:rPr>
        <w:t xml:space="preserve">8 </w:t>
      </w:r>
      <w:r w:rsidR="00A235B3" w:rsidRPr="00A235B3">
        <w:rPr>
          <w:rFonts w:ascii="Arial Narrow" w:hAnsi="Arial Narrow"/>
          <w:sz w:val="24"/>
          <w:szCs w:val="24"/>
        </w:rPr>
        <w:t xml:space="preserve"> - </w:t>
      </w:r>
      <w:r w:rsidR="00E427BD" w:rsidRPr="00817F84">
        <w:rPr>
          <w:rFonts w:ascii="Arial Narrow" w:hAnsi="Arial Narrow"/>
          <w:sz w:val="24"/>
          <w:szCs w:val="24"/>
          <w:lang w:eastAsia="en-GB"/>
        </w:rPr>
        <w:t>Εμπ</w:t>
      </w:r>
      <w:r w:rsidR="00B32D1E" w:rsidRPr="00817F84">
        <w:rPr>
          <w:rFonts w:ascii="Arial Narrow" w:hAnsi="Arial Narrow"/>
          <w:sz w:val="24"/>
          <w:szCs w:val="24"/>
          <w:lang w:eastAsia="en-GB"/>
        </w:rPr>
        <w:t>όριο Αγαθών</w:t>
      </w:r>
      <w:r w:rsidR="00E427BD" w:rsidRPr="00817F84">
        <w:rPr>
          <w:rFonts w:ascii="Arial Narrow" w:hAnsi="Arial Narrow"/>
          <w:sz w:val="24"/>
          <w:szCs w:val="24"/>
          <w:lang w:eastAsia="en-GB"/>
        </w:rPr>
        <w:t xml:space="preserve"> </w:t>
      </w:r>
      <w:r w:rsidR="00F60F1B" w:rsidRPr="00817F84">
        <w:rPr>
          <w:rFonts w:ascii="Arial Narrow" w:hAnsi="Arial Narrow"/>
          <w:sz w:val="24"/>
          <w:szCs w:val="24"/>
          <w:lang w:eastAsia="en-GB"/>
        </w:rPr>
        <w:t>ΕΕ-</w:t>
      </w:r>
      <w:r w:rsidR="00E427BD" w:rsidRPr="00817F84">
        <w:rPr>
          <w:rFonts w:ascii="Arial Narrow" w:hAnsi="Arial Narrow"/>
          <w:sz w:val="24"/>
          <w:szCs w:val="24"/>
          <w:lang w:eastAsia="en-GB"/>
        </w:rPr>
        <w:t>ΗΑΕ</w:t>
      </w:r>
      <w:r w:rsidR="00B32D1E" w:rsidRPr="00817F84">
        <w:rPr>
          <w:rFonts w:ascii="Arial Narrow" w:hAnsi="Arial Narrow"/>
          <w:sz w:val="24"/>
          <w:szCs w:val="24"/>
          <w:lang w:eastAsia="en-GB"/>
        </w:rPr>
        <w:t>,</w:t>
      </w:r>
      <w:r w:rsidR="00E427BD" w:rsidRPr="00817F84">
        <w:rPr>
          <w:rFonts w:ascii="Arial Narrow" w:hAnsi="Arial Narrow"/>
          <w:sz w:val="24"/>
          <w:szCs w:val="24"/>
          <w:lang w:eastAsia="en-GB"/>
        </w:rPr>
        <w:t xml:space="preserve"> </w:t>
      </w:r>
      <w:r w:rsidR="00775F35" w:rsidRPr="00817F84">
        <w:rPr>
          <w:rFonts w:ascii="Arial Narrow" w:hAnsi="Arial Narrow"/>
          <w:sz w:val="24"/>
          <w:szCs w:val="24"/>
          <w:lang w:eastAsia="en-GB"/>
        </w:rPr>
        <w:t>201</w:t>
      </w:r>
      <w:r w:rsidR="000A6CF0" w:rsidRPr="00817F84">
        <w:rPr>
          <w:rFonts w:ascii="Arial Narrow" w:hAnsi="Arial Narrow"/>
          <w:sz w:val="24"/>
          <w:szCs w:val="24"/>
          <w:lang w:eastAsia="en-GB"/>
        </w:rPr>
        <w:t>9</w:t>
      </w:r>
      <w:r w:rsidR="00775F35" w:rsidRPr="00817F84">
        <w:rPr>
          <w:rFonts w:ascii="Arial Narrow" w:hAnsi="Arial Narrow"/>
          <w:sz w:val="24"/>
          <w:szCs w:val="24"/>
          <w:lang w:eastAsia="en-GB"/>
        </w:rPr>
        <w:t>-202</w:t>
      </w:r>
      <w:r w:rsidR="00190F96" w:rsidRPr="00817F84">
        <w:rPr>
          <w:rFonts w:ascii="Arial Narrow" w:hAnsi="Arial Narrow"/>
          <w:sz w:val="24"/>
          <w:szCs w:val="24"/>
          <w:lang w:eastAsia="en-GB"/>
        </w:rPr>
        <w:t>4</w:t>
      </w:r>
      <w:r w:rsidR="00F60F1B" w:rsidRPr="00817F84">
        <w:rPr>
          <w:rFonts w:ascii="Arial Narrow" w:hAnsi="Arial Narrow"/>
          <w:sz w:val="24"/>
          <w:szCs w:val="24"/>
          <w:lang w:eastAsia="en-GB"/>
        </w:rPr>
        <w:t xml:space="preserve">, σε </w:t>
      </w:r>
      <w:r w:rsidR="00133844" w:rsidRPr="00817F84">
        <w:rPr>
          <w:rFonts w:ascii="Arial Narrow" w:hAnsi="Arial Narrow"/>
          <w:sz w:val="24"/>
          <w:szCs w:val="24"/>
          <w:lang w:eastAsia="en-GB"/>
        </w:rPr>
        <w:t>δι</w:t>
      </w:r>
      <w:r w:rsidR="00A235B3">
        <w:rPr>
          <w:rFonts w:ascii="Arial Narrow" w:hAnsi="Arial Narrow"/>
          <w:sz w:val="24"/>
          <w:szCs w:val="24"/>
          <w:lang w:eastAsia="en-GB"/>
        </w:rPr>
        <w:t xml:space="preserve">ς </w:t>
      </w:r>
      <w:r w:rsidR="00617A7D" w:rsidRPr="00817F84">
        <w:rPr>
          <w:rFonts w:ascii="Arial Narrow" w:hAnsi="Arial Narrow"/>
          <w:sz w:val="24"/>
          <w:szCs w:val="24"/>
          <w:lang w:eastAsia="en-GB"/>
        </w:rPr>
        <w:t>Ευρώ</w:t>
      </w:r>
      <w:bookmarkEnd w:id="41"/>
    </w:p>
    <w:tbl>
      <w:tblPr>
        <w:tblW w:w="9777" w:type="dxa"/>
        <w:tblLook w:val="04A0" w:firstRow="1" w:lastRow="0" w:firstColumn="1" w:lastColumn="0" w:noHBand="0" w:noVBand="1"/>
      </w:tblPr>
      <w:tblGrid>
        <w:gridCol w:w="4536"/>
        <w:gridCol w:w="874"/>
        <w:gridCol w:w="874"/>
        <w:gridCol w:w="874"/>
        <w:gridCol w:w="873"/>
        <w:gridCol w:w="873"/>
        <w:gridCol w:w="873"/>
      </w:tblGrid>
      <w:tr w:rsidR="00851D01" w:rsidRPr="00BA4492" w14:paraId="6DDA97EA" w14:textId="77777777" w:rsidTr="00851D01">
        <w:trPr>
          <w:trHeight w:val="312"/>
        </w:trPr>
        <w:tc>
          <w:tcPr>
            <w:tcW w:w="4536" w:type="dxa"/>
            <w:tcBorders>
              <w:top w:val="nil"/>
              <w:left w:val="nil"/>
              <w:bottom w:val="single" w:sz="12" w:space="0" w:color="C00000"/>
              <w:right w:val="single" w:sz="4" w:space="0" w:color="auto"/>
            </w:tcBorders>
            <w:shd w:val="clear" w:color="auto" w:fill="auto"/>
            <w:noWrap/>
            <w:vAlign w:val="center"/>
            <w:hideMark/>
          </w:tcPr>
          <w:p w14:paraId="757FBDBB" w14:textId="26E2B206" w:rsidR="00851D01" w:rsidRPr="00BA4492" w:rsidRDefault="00851D01" w:rsidP="00851D01">
            <w:pPr>
              <w:spacing w:after="0" w:line="240" w:lineRule="auto"/>
              <w:rPr>
                <w:rFonts w:ascii="Arial Narrow" w:eastAsia="Times New Roman" w:hAnsi="Arial Narrow" w:cs="Times New Roman"/>
                <w:b/>
                <w:color w:val="000000"/>
                <w:sz w:val="24"/>
                <w:szCs w:val="24"/>
                <w:lang w:val="en-GB" w:eastAsia="en-GB"/>
              </w:rPr>
            </w:pPr>
            <w:r w:rsidRPr="00BA4492">
              <w:rPr>
                <w:rFonts w:ascii="Arial Narrow" w:eastAsia="Times New Roman" w:hAnsi="Arial Narrow" w:cs="Times New Roman"/>
                <w:b/>
                <w:color w:val="000000"/>
                <w:sz w:val="24"/>
                <w:szCs w:val="24"/>
                <w:lang w:eastAsia="en-GB"/>
              </w:rPr>
              <w:t xml:space="preserve">Ποσά σε </w:t>
            </w:r>
            <w:r w:rsidR="00133844" w:rsidRPr="00BA4492">
              <w:rPr>
                <w:rFonts w:ascii="Arial Narrow" w:eastAsia="Times New Roman" w:hAnsi="Arial Narrow" w:cs="Times New Roman"/>
                <w:b/>
                <w:color w:val="000000"/>
                <w:sz w:val="24"/>
                <w:szCs w:val="24"/>
                <w:lang w:eastAsia="en-GB"/>
              </w:rPr>
              <w:t xml:space="preserve">δισεκ. </w:t>
            </w:r>
            <w:r w:rsidRPr="00BA4492">
              <w:rPr>
                <w:rFonts w:ascii="Arial Narrow" w:eastAsia="Times New Roman" w:hAnsi="Arial Narrow" w:cs="Times New Roman"/>
                <w:b/>
                <w:color w:val="000000"/>
                <w:sz w:val="24"/>
                <w:szCs w:val="24"/>
                <w:lang w:eastAsia="en-GB"/>
              </w:rPr>
              <w:t xml:space="preserve"> </w:t>
            </w:r>
            <w:r w:rsidR="00617A7D" w:rsidRPr="00BA4492">
              <w:rPr>
                <w:rFonts w:ascii="Arial Narrow" w:eastAsia="Times New Roman" w:hAnsi="Arial Narrow" w:cs="Times New Roman"/>
                <w:b/>
                <w:color w:val="000000"/>
                <w:sz w:val="24"/>
                <w:szCs w:val="24"/>
                <w:lang w:eastAsia="en-GB"/>
              </w:rPr>
              <w:t>Ευρώ</w:t>
            </w:r>
          </w:p>
        </w:tc>
        <w:tc>
          <w:tcPr>
            <w:tcW w:w="874" w:type="dxa"/>
            <w:tcBorders>
              <w:top w:val="single" w:sz="12" w:space="0" w:color="7F7F7F"/>
              <w:left w:val="single" w:sz="4" w:space="0" w:color="auto"/>
              <w:bottom w:val="single" w:sz="12" w:space="0" w:color="C00000"/>
              <w:right w:val="single" w:sz="4" w:space="0" w:color="auto"/>
            </w:tcBorders>
            <w:vAlign w:val="center"/>
          </w:tcPr>
          <w:p w14:paraId="4EE67DC9" w14:textId="555E19F1" w:rsidR="00851D01" w:rsidRPr="00BA4492" w:rsidRDefault="00851D01" w:rsidP="00851D01">
            <w:pPr>
              <w:spacing w:after="0" w:line="240" w:lineRule="auto"/>
              <w:jc w:val="right"/>
              <w:rPr>
                <w:rFonts w:ascii="Arial Narrow" w:eastAsia="Times New Roman" w:hAnsi="Arial Narrow" w:cs="Calibri"/>
                <w:b/>
                <w:color w:val="000000"/>
                <w:sz w:val="24"/>
                <w:szCs w:val="24"/>
                <w:lang w:eastAsia="en-GB"/>
              </w:rPr>
            </w:pPr>
            <w:r w:rsidRPr="00BA4492">
              <w:rPr>
                <w:rFonts w:ascii="Arial Narrow" w:eastAsia="Times New Roman" w:hAnsi="Arial Narrow" w:cs="Calibri"/>
                <w:b/>
                <w:color w:val="000000"/>
                <w:sz w:val="24"/>
                <w:szCs w:val="24"/>
                <w:lang w:eastAsia="en-GB"/>
              </w:rPr>
              <w:t>2024</w:t>
            </w:r>
          </w:p>
        </w:tc>
        <w:tc>
          <w:tcPr>
            <w:tcW w:w="874" w:type="dxa"/>
            <w:tcBorders>
              <w:top w:val="single" w:sz="12" w:space="0" w:color="7F7F7F"/>
              <w:left w:val="single" w:sz="4" w:space="0" w:color="auto"/>
              <w:bottom w:val="single" w:sz="12" w:space="0" w:color="C00000"/>
              <w:right w:val="single" w:sz="4" w:space="0" w:color="auto"/>
            </w:tcBorders>
            <w:vAlign w:val="center"/>
          </w:tcPr>
          <w:p w14:paraId="67B8AF8A" w14:textId="670DF91B" w:rsidR="00851D01" w:rsidRPr="00BA4492" w:rsidRDefault="00851D01" w:rsidP="00851D01">
            <w:pPr>
              <w:spacing w:after="0" w:line="240" w:lineRule="auto"/>
              <w:jc w:val="right"/>
              <w:rPr>
                <w:rFonts w:ascii="Arial Narrow" w:eastAsia="Times New Roman" w:hAnsi="Arial Narrow" w:cs="Calibri"/>
                <w:b/>
                <w:color w:val="000000"/>
                <w:sz w:val="24"/>
                <w:szCs w:val="24"/>
                <w:lang w:eastAsia="en-GB"/>
              </w:rPr>
            </w:pPr>
            <w:r w:rsidRPr="00BA4492">
              <w:rPr>
                <w:rFonts w:ascii="Arial Narrow" w:eastAsia="Times New Roman" w:hAnsi="Arial Narrow" w:cs="Calibri"/>
                <w:b/>
                <w:color w:val="000000"/>
                <w:sz w:val="24"/>
                <w:szCs w:val="24"/>
                <w:lang w:eastAsia="en-GB"/>
              </w:rPr>
              <w:t>2023</w:t>
            </w:r>
          </w:p>
        </w:tc>
        <w:tc>
          <w:tcPr>
            <w:tcW w:w="874" w:type="dxa"/>
            <w:tcBorders>
              <w:top w:val="single" w:sz="12" w:space="0" w:color="7F7F7F"/>
              <w:left w:val="single" w:sz="4" w:space="0" w:color="auto"/>
              <w:bottom w:val="single" w:sz="12" w:space="0" w:color="C00000"/>
              <w:right w:val="single" w:sz="12" w:space="0" w:color="7F7F7F"/>
            </w:tcBorders>
            <w:shd w:val="clear" w:color="auto" w:fill="auto"/>
            <w:noWrap/>
            <w:vAlign w:val="center"/>
            <w:hideMark/>
          </w:tcPr>
          <w:p w14:paraId="409EB56E" w14:textId="54E170FE" w:rsidR="00851D01" w:rsidRPr="00BA4492" w:rsidRDefault="00851D01" w:rsidP="00851D01">
            <w:pPr>
              <w:spacing w:after="0" w:line="240" w:lineRule="auto"/>
              <w:jc w:val="right"/>
              <w:rPr>
                <w:rFonts w:ascii="Arial Narrow" w:eastAsia="Times New Roman" w:hAnsi="Arial Narrow" w:cs="Calibri"/>
                <w:b/>
                <w:color w:val="000000"/>
                <w:sz w:val="24"/>
                <w:szCs w:val="24"/>
                <w:lang w:val="en-GB" w:eastAsia="en-GB"/>
              </w:rPr>
            </w:pPr>
            <w:r w:rsidRPr="00BA4492">
              <w:rPr>
                <w:rFonts w:ascii="Arial Narrow" w:eastAsia="Times New Roman" w:hAnsi="Arial Narrow" w:cs="Calibri"/>
                <w:b/>
                <w:color w:val="000000"/>
                <w:sz w:val="24"/>
                <w:szCs w:val="24"/>
                <w:lang w:eastAsia="en-GB"/>
              </w:rPr>
              <w:t>2022</w:t>
            </w:r>
          </w:p>
        </w:tc>
        <w:tc>
          <w:tcPr>
            <w:tcW w:w="873" w:type="dxa"/>
            <w:tcBorders>
              <w:top w:val="single" w:sz="12" w:space="0" w:color="7F7F7F"/>
              <w:left w:val="nil"/>
              <w:bottom w:val="single" w:sz="12" w:space="0" w:color="C00000"/>
              <w:right w:val="single" w:sz="8" w:space="0" w:color="auto"/>
            </w:tcBorders>
            <w:shd w:val="clear" w:color="auto" w:fill="auto"/>
            <w:noWrap/>
            <w:vAlign w:val="center"/>
            <w:hideMark/>
          </w:tcPr>
          <w:p w14:paraId="23A3189A" w14:textId="652CC83D" w:rsidR="00851D01" w:rsidRPr="00BA4492" w:rsidRDefault="00851D01" w:rsidP="00851D01">
            <w:pPr>
              <w:spacing w:after="0" w:line="240" w:lineRule="auto"/>
              <w:jc w:val="right"/>
              <w:rPr>
                <w:rFonts w:ascii="Arial Narrow" w:eastAsia="Times New Roman" w:hAnsi="Arial Narrow" w:cs="Calibri"/>
                <w:b/>
                <w:color w:val="000000"/>
                <w:sz w:val="24"/>
                <w:szCs w:val="24"/>
                <w:lang w:val="en-GB" w:eastAsia="en-GB"/>
              </w:rPr>
            </w:pPr>
            <w:r w:rsidRPr="00BA4492">
              <w:rPr>
                <w:rFonts w:ascii="Arial Narrow" w:eastAsia="Times New Roman" w:hAnsi="Arial Narrow" w:cs="Calibri"/>
                <w:b/>
                <w:color w:val="000000"/>
                <w:sz w:val="24"/>
                <w:szCs w:val="24"/>
                <w:lang w:eastAsia="en-GB"/>
              </w:rPr>
              <w:t>2021</w:t>
            </w:r>
          </w:p>
        </w:tc>
        <w:tc>
          <w:tcPr>
            <w:tcW w:w="873" w:type="dxa"/>
            <w:tcBorders>
              <w:top w:val="single" w:sz="12" w:space="0" w:color="7F7F7F"/>
              <w:left w:val="nil"/>
              <w:bottom w:val="single" w:sz="12" w:space="0" w:color="C00000"/>
              <w:right w:val="single" w:sz="8" w:space="0" w:color="auto"/>
            </w:tcBorders>
            <w:shd w:val="clear" w:color="auto" w:fill="auto"/>
            <w:noWrap/>
            <w:vAlign w:val="center"/>
            <w:hideMark/>
          </w:tcPr>
          <w:p w14:paraId="42F3850A" w14:textId="6EBA1238" w:rsidR="00851D01" w:rsidRPr="00BA4492" w:rsidRDefault="00851D01" w:rsidP="00851D01">
            <w:pPr>
              <w:spacing w:after="0" w:line="240" w:lineRule="auto"/>
              <w:jc w:val="right"/>
              <w:rPr>
                <w:rFonts w:ascii="Arial Narrow" w:eastAsia="Times New Roman" w:hAnsi="Arial Narrow" w:cs="Calibri"/>
                <w:b/>
                <w:color w:val="000000"/>
                <w:sz w:val="24"/>
                <w:szCs w:val="24"/>
                <w:lang w:val="en-GB" w:eastAsia="en-GB"/>
              </w:rPr>
            </w:pPr>
            <w:r w:rsidRPr="00BA4492">
              <w:rPr>
                <w:rFonts w:ascii="Arial Narrow" w:eastAsia="Times New Roman" w:hAnsi="Arial Narrow" w:cs="Calibri"/>
                <w:b/>
                <w:color w:val="000000"/>
                <w:sz w:val="24"/>
                <w:szCs w:val="24"/>
                <w:lang w:eastAsia="en-GB"/>
              </w:rPr>
              <w:t>2020</w:t>
            </w:r>
          </w:p>
        </w:tc>
        <w:tc>
          <w:tcPr>
            <w:tcW w:w="873" w:type="dxa"/>
            <w:tcBorders>
              <w:top w:val="single" w:sz="12" w:space="0" w:color="7F7F7F"/>
              <w:left w:val="nil"/>
              <w:bottom w:val="single" w:sz="12" w:space="0" w:color="C00000"/>
              <w:right w:val="single" w:sz="8" w:space="0" w:color="auto"/>
            </w:tcBorders>
            <w:shd w:val="clear" w:color="auto" w:fill="auto"/>
            <w:noWrap/>
            <w:vAlign w:val="center"/>
            <w:hideMark/>
          </w:tcPr>
          <w:p w14:paraId="1343BA36" w14:textId="5B1325B1" w:rsidR="00851D01" w:rsidRPr="00BA4492" w:rsidRDefault="00851D01" w:rsidP="00851D01">
            <w:pPr>
              <w:spacing w:after="0" w:line="240" w:lineRule="auto"/>
              <w:jc w:val="right"/>
              <w:rPr>
                <w:rFonts w:ascii="Arial Narrow" w:eastAsia="Times New Roman" w:hAnsi="Arial Narrow" w:cs="Calibri"/>
                <w:b/>
                <w:color w:val="000000"/>
                <w:sz w:val="24"/>
                <w:szCs w:val="24"/>
                <w:lang w:val="en-GB" w:eastAsia="en-GB"/>
              </w:rPr>
            </w:pPr>
            <w:r w:rsidRPr="00BA4492">
              <w:rPr>
                <w:rFonts w:ascii="Arial Narrow" w:eastAsia="Times New Roman" w:hAnsi="Arial Narrow" w:cs="Calibri"/>
                <w:b/>
                <w:color w:val="000000"/>
                <w:sz w:val="24"/>
                <w:szCs w:val="24"/>
                <w:lang w:eastAsia="en-GB"/>
              </w:rPr>
              <w:t>2019</w:t>
            </w:r>
          </w:p>
        </w:tc>
      </w:tr>
      <w:tr w:rsidR="00851D01" w:rsidRPr="00BA4492" w14:paraId="640E82C6" w14:textId="77777777" w:rsidTr="00851D01">
        <w:trPr>
          <w:trHeight w:val="312"/>
        </w:trPr>
        <w:tc>
          <w:tcPr>
            <w:tcW w:w="4536" w:type="dxa"/>
            <w:tcBorders>
              <w:top w:val="nil"/>
              <w:left w:val="single" w:sz="12" w:space="0" w:color="7F7F7F"/>
              <w:bottom w:val="single" w:sz="8" w:space="0" w:color="auto"/>
              <w:right w:val="single" w:sz="4" w:space="0" w:color="auto"/>
            </w:tcBorders>
            <w:shd w:val="clear" w:color="auto" w:fill="auto"/>
            <w:noWrap/>
            <w:vAlign w:val="center"/>
            <w:hideMark/>
          </w:tcPr>
          <w:p w14:paraId="7602E28B" w14:textId="77777777" w:rsidR="00851D01" w:rsidRPr="00BA4492" w:rsidRDefault="00851D01" w:rsidP="00851D01">
            <w:pPr>
              <w:spacing w:after="0" w:line="240" w:lineRule="auto"/>
              <w:rPr>
                <w:rFonts w:ascii="Arial Narrow" w:eastAsia="Times New Roman" w:hAnsi="Arial Narrow" w:cs="Calibri"/>
                <w:b/>
                <w:color w:val="000000"/>
                <w:sz w:val="24"/>
                <w:szCs w:val="24"/>
                <w:lang w:val="en-GB" w:eastAsia="en-GB"/>
              </w:rPr>
            </w:pPr>
            <w:r w:rsidRPr="00BA4492">
              <w:rPr>
                <w:rFonts w:ascii="Arial Narrow" w:eastAsia="Times New Roman" w:hAnsi="Arial Narrow" w:cs="Calibri"/>
                <w:b/>
                <w:color w:val="000000"/>
                <w:sz w:val="24"/>
                <w:szCs w:val="24"/>
                <w:lang w:eastAsia="en-GB"/>
              </w:rPr>
              <w:t>Εξαγωγές ΕΕ προς ΗΑΕ</w:t>
            </w:r>
          </w:p>
        </w:tc>
        <w:tc>
          <w:tcPr>
            <w:tcW w:w="874" w:type="dxa"/>
            <w:tcBorders>
              <w:top w:val="nil"/>
              <w:left w:val="single" w:sz="4" w:space="0" w:color="auto"/>
              <w:bottom w:val="single" w:sz="8" w:space="0" w:color="auto"/>
              <w:right w:val="single" w:sz="4" w:space="0" w:color="auto"/>
            </w:tcBorders>
            <w:vAlign w:val="center"/>
          </w:tcPr>
          <w:p w14:paraId="393D1938" w14:textId="52975355" w:rsidR="00851D01" w:rsidRPr="00BA4492" w:rsidRDefault="00851D01" w:rsidP="00851D01">
            <w:pPr>
              <w:spacing w:after="0" w:line="240" w:lineRule="auto"/>
              <w:jc w:val="right"/>
              <w:rPr>
                <w:rFonts w:ascii="Arial Narrow" w:eastAsia="Times New Roman" w:hAnsi="Arial Narrow" w:cs="Calibri"/>
                <w:color w:val="000000"/>
                <w:sz w:val="24"/>
                <w:szCs w:val="24"/>
                <w:lang w:eastAsia="en-GB"/>
              </w:rPr>
            </w:pPr>
            <w:r w:rsidRPr="00BA4492">
              <w:rPr>
                <w:rFonts w:ascii="Arial Narrow" w:eastAsia="Times New Roman" w:hAnsi="Arial Narrow" w:cs="Calibri"/>
                <w:color w:val="000000"/>
                <w:sz w:val="24"/>
                <w:szCs w:val="24"/>
                <w:lang w:eastAsia="en-GB"/>
              </w:rPr>
              <w:t>44,3</w:t>
            </w:r>
          </w:p>
        </w:tc>
        <w:tc>
          <w:tcPr>
            <w:tcW w:w="874" w:type="dxa"/>
            <w:tcBorders>
              <w:top w:val="nil"/>
              <w:left w:val="single" w:sz="4" w:space="0" w:color="auto"/>
              <w:bottom w:val="single" w:sz="8" w:space="0" w:color="auto"/>
              <w:right w:val="single" w:sz="4" w:space="0" w:color="auto"/>
            </w:tcBorders>
            <w:vAlign w:val="center"/>
          </w:tcPr>
          <w:p w14:paraId="4EDA435F" w14:textId="77F9D719" w:rsidR="00851D01" w:rsidRPr="00BA4492" w:rsidRDefault="00851D01" w:rsidP="00851D01">
            <w:pPr>
              <w:spacing w:after="0" w:line="240" w:lineRule="auto"/>
              <w:jc w:val="right"/>
              <w:rPr>
                <w:rFonts w:ascii="Arial Narrow" w:eastAsia="Times New Roman" w:hAnsi="Arial Narrow" w:cs="Calibri"/>
                <w:color w:val="000000"/>
                <w:sz w:val="24"/>
                <w:szCs w:val="24"/>
                <w:lang w:eastAsia="en-GB"/>
              </w:rPr>
            </w:pPr>
            <w:r w:rsidRPr="00BA4492">
              <w:rPr>
                <w:rFonts w:ascii="Arial Narrow" w:eastAsia="Times New Roman" w:hAnsi="Arial Narrow" w:cs="Calibri"/>
                <w:color w:val="000000"/>
                <w:sz w:val="24"/>
                <w:szCs w:val="24"/>
                <w:lang w:eastAsia="en-GB"/>
              </w:rPr>
              <w:t>38,8</w:t>
            </w:r>
          </w:p>
        </w:tc>
        <w:tc>
          <w:tcPr>
            <w:tcW w:w="874" w:type="dxa"/>
            <w:tcBorders>
              <w:top w:val="nil"/>
              <w:left w:val="single" w:sz="4" w:space="0" w:color="auto"/>
              <w:bottom w:val="single" w:sz="8" w:space="0" w:color="auto"/>
              <w:right w:val="single" w:sz="12" w:space="0" w:color="7F7F7F"/>
            </w:tcBorders>
            <w:shd w:val="clear" w:color="auto" w:fill="auto"/>
            <w:noWrap/>
            <w:vAlign w:val="center"/>
            <w:hideMark/>
          </w:tcPr>
          <w:p w14:paraId="67B9D61F" w14:textId="33333739" w:rsidR="00851D01" w:rsidRPr="00BA4492" w:rsidRDefault="00851D01" w:rsidP="00851D01">
            <w:pPr>
              <w:spacing w:after="0" w:line="240" w:lineRule="auto"/>
              <w:jc w:val="right"/>
              <w:rPr>
                <w:rFonts w:ascii="Arial Narrow" w:eastAsia="Times New Roman" w:hAnsi="Arial Narrow" w:cs="Calibri"/>
                <w:color w:val="000000"/>
                <w:sz w:val="24"/>
                <w:szCs w:val="24"/>
                <w:lang w:val="en-GB" w:eastAsia="en-GB"/>
              </w:rPr>
            </w:pPr>
            <w:r w:rsidRPr="00BA4492">
              <w:rPr>
                <w:rFonts w:ascii="Arial Narrow" w:eastAsia="Times New Roman" w:hAnsi="Arial Narrow" w:cs="Calibri"/>
                <w:color w:val="000000"/>
                <w:sz w:val="24"/>
                <w:szCs w:val="24"/>
                <w:lang w:eastAsia="en-GB"/>
              </w:rPr>
              <w:t>35,7</w:t>
            </w:r>
          </w:p>
        </w:tc>
        <w:tc>
          <w:tcPr>
            <w:tcW w:w="873" w:type="dxa"/>
            <w:tcBorders>
              <w:top w:val="nil"/>
              <w:left w:val="nil"/>
              <w:bottom w:val="single" w:sz="8" w:space="0" w:color="auto"/>
              <w:right w:val="single" w:sz="8" w:space="0" w:color="auto"/>
            </w:tcBorders>
            <w:shd w:val="clear" w:color="auto" w:fill="auto"/>
            <w:noWrap/>
            <w:vAlign w:val="center"/>
            <w:hideMark/>
          </w:tcPr>
          <w:p w14:paraId="5F584531" w14:textId="4296A1E5" w:rsidR="00851D01" w:rsidRPr="00BA4492" w:rsidRDefault="00851D01" w:rsidP="00851D01">
            <w:pPr>
              <w:spacing w:after="0" w:line="240" w:lineRule="auto"/>
              <w:jc w:val="right"/>
              <w:rPr>
                <w:rFonts w:ascii="Arial Narrow" w:eastAsia="Times New Roman" w:hAnsi="Arial Narrow" w:cs="Calibri"/>
                <w:color w:val="000000"/>
                <w:sz w:val="24"/>
                <w:szCs w:val="24"/>
                <w:lang w:val="en-GB" w:eastAsia="en-GB"/>
              </w:rPr>
            </w:pPr>
            <w:r w:rsidRPr="00BA4492">
              <w:rPr>
                <w:rFonts w:ascii="Arial Narrow" w:eastAsia="Times New Roman" w:hAnsi="Arial Narrow" w:cs="Calibri"/>
                <w:color w:val="000000"/>
                <w:sz w:val="24"/>
                <w:szCs w:val="24"/>
                <w:lang w:eastAsia="en-GB"/>
              </w:rPr>
              <w:t>29,8</w:t>
            </w:r>
          </w:p>
        </w:tc>
        <w:tc>
          <w:tcPr>
            <w:tcW w:w="873" w:type="dxa"/>
            <w:tcBorders>
              <w:top w:val="nil"/>
              <w:left w:val="nil"/>
              <w:bottom w:val="single" w:sz="8" w:space="0" w:color="auto"/>
              <w:right w:val="single" w:sz="8" w:space="0" w:color="auto"/>
            </w:tcBorders>
            <w:shd w:val="clear" w:color="auto" w:fill="auto"/>
            <w:noWrap/>
            <w:vAlign w:val="center"/>
            <w:hideMark/>
          </w:tcPr>
          <w:p w14:paraId="58635226" w14:textId="15752672" w:rsidR="00851D01" w:rsidRPr="00BA4492" w:rsidRDefault="00851D01" w:rsidP="00851D01">
            <w:pPr>
              <w:spacing w:after="0" w:line="240" w:lineRule="auto"/>
              <w:jc w:val="right"/>
              <w:rPr>
                <w:rFonts w:ascii="Arial Narrow" w:eastAsia="Times New Roman" w:hAnsi="Arial Narrow" w:cs="Calibri"/>
                <w:color w:val="000000"/>
                <w:sz w:val="24"/>
                <w:szCs w:val="24"/>
                <w:lang w:val="en-GB" w:eastAsia="en-GB"/>
              </w:rPr>
            </w:pPr>
            <w:r w:rsidRPr="00BA4492">
              <w:rPr>
                <w:rFonts w:ascii="Arial Narrow" w:eastAsia="Times New Roman" w:hAnsi="Arial Narrow" w:cs="Calibri"/>
                <w:color w:val="000000"/>
                <w:sz w:val="24"/>
                <w:szCs w:val="24"/>
                <w:lang w:eastAsia="en-GB"/>
              </w:rPr>
              <w:t>25,9</w:t>
            </w:r>
          </w:p>
        </w:tc>
        <w:tc>
          <w:tcPr>
            <w:tcW w:w="873" w:type="dxa"/>
            <w:tcBorders>
              <w:top w:val="nil"/>
              <w:left w:val="nil"/>
              <w:bottom w:val="single" w:sz="8" w:space="0" w:color="auto"/>
              <w:right w:val="single" w:sz="8" w:space="0" w:color="auto"/>
            </w:tcBorders>
            <w:shd w:val="clear" w:color="auto" w:fill="auto"/>
            <w:noWrap/>
            <w:vAlign w:val="center"/>
            <w:hideMark/>
          </w:tcPr>
          <w:p w14:paraId="7553647A" w14:textId="13711B35" w:rsidR="00851D01" w:rsidRPr="00BA4492" w:rsidRDefault="00851D01" w:rsidP="00851D01">
            <w:pPr>
              <w:spacing w:after="0" w:line="240" w:lineRule="auto"/>
              <w:jc w:val="right"/>
              <w:rPr>
                <w:rFonts w:ascii="Arial Narrow" w:eastAsia="Times New Roman" w:hAnsi="Arial Narrow" w:cs="Calibri"/>
                <w:color w:val="000000"/>
                <w:sz w:val="24"/>
                <w:szCs w:val="24"/>
                <w:lang w:val="en-GB" w:eastAsia="en-GB"/>
              </w:rPr>
            </w:pPr>
            <w:r w:rsidRPr="00BA4492">
              <w:rPr>
                <w:rFonts w:ascii="Arial Narrow" w:eastAsia="Times New Roman" w:hAnsi="Arial Narrow" w:cs="Calibri"/>
                <w:color w:val="000000"/>
                <w:sz w:val="24"/>
                <w:szCs w:val="24"/>
                <w:lang w:eastAsia="en-GB"/>
              </w:rPr>
              <w:t>29,9</w:t>
            </w:r>
          </w:p>
        </w:tc>
      </w:tr>
      <w:tr w:rsidR="00851D01" w:rsidRPr="00BA4492" w14:paraId="55805B60" w14:textId="77777777" w:rsidTr="00851D01">
        <w:trPr>
          <w:trHeight w:val="300"/>
        </w:trPr>
        <w:tc>
          <w:tcPr>
            <w:tcW w:w="4536" w:type="dxa"/>
            <w:tcBorders>
              <w:top w:val="nil"/>
              <w:left w:val="single" w:sz="12" w:space="0" w:color="7F7F7F"/>
              <w:bottom w:val="single" w:sz="8" w:space="0" w:color="auto"/>
              <w:right w:val="single" w:sz="4" w:space="0" w:color="auto"/>
            </w:tcBorders>
            <w:shd w:val="clear" w:color="auto" w:fill="auto"/>
            <w:noWrap/>
            <w:vAlign w:val="center"/>
            <w:hideMark/>
          </w:tcPr>
          <w:p w14:paraId="1BBBD7F9" w14:textId="77777777" w:rsidR="00851D01" w:rsidRPr="00BA4492" w:rsidRDefault="00851D01" w:rsidP="00851D01">
            <w:pPr>
              <w:spacing w:after="0" w:line="240" w:lineRule="auto"/>
              <w:rPr>
                <w:rFonts w:ascii="Arial Narrow" w:eastAsia="Times New Roman" w:hAnsi="Arial Narrow" w:cs="Calibri"/>
                <w:b/>
                <w:color w:val="000000"/>
                <w:sz w:val="24"/>
                <w:szCs w:val="24"/>
                <w:lang w:val="en-GB" w:eastAsia="en-GB"/>
              </w:rPr>
            </w:pPr>
            <w:r w:rsidRPr="00BA4492">
              <w:rPr>
                <w:rFonts w:ascii="Arial Narrow" w:eastAsia="Times New Roman" w:hAnsi="Arial Narrow" w:cs="Calibri"/>
                <w:b/>
                <w:color w:val="000000"/>
                <w:sz w:val="24"/>
                <w:szCs w:val="24"/>
                <w:lang w:eastAsia="en-GB"/>
              </w:rPr>
              <w:t>Εισαγωγές ΕΕ από ΗΑΕ</w:t>
            </w:r>
          </w:p>
        </w:tc>
        <w:tc>
          <w:tcPr>
            <w:tcW w:w="874" w:type="dxa"/>
            <w:tcBorders>
              <w:top w:val="nil"/>
              <w:left w:val="single" w:sz="4" w:space="0" w:color="auto"/>
              <w:bottom w:val="single" w:sz="8" w:space="0" w:color="auto"/>
              <w:right w:val="single" w:sz="4" w:space="0" w:color="auto"/>
            </w:tcBorders>
            <w:vAlign w:val="center"/>
          </w:tcPr>
          <w:p w14:paraId="4953A771" w14:textId="7049B0CE" w:rsidR="00851D01" w:rsidRPr="00BA4492" w:rsidRDefault="00851D01" w:rsidP="00851D01">
            <w:pPr>
              <w:spacing w:after="0" w:line="240" w:lineRule="auto"/>
              <w:jc w:val="right"/>
              <w:rPr>
                <w:rFonts w:ascii="Arial Narrow" w:eastAsia="Times New Roman" w:hAnsi="Arial Narrow" w:cs="Calibri"/>
                <w:color w:val="000000"/>
                <w:sz w:val="24"/>
                <w:szCs w:val="24"/>
                <w:lang w:eastAsia="en-GB"/>
              </w:rPr>
            </w:pPr>
            <w:r w:rsidRPr="00BA4492">
              <w:rPr>
                <w:rFonts w:ascii="Arial Narrow" w:eastAsia="Times New Roman" w:hAnsi="Arial Narrow" w:cs="Calibri"/>
                <w:color w:val="000000"/>
                <w:sz w:val="24"/>
                <w:szCs w:val="24"/>
                <w:lang w:eastAsia="en-GB"/>
              </w:rPr>
              <w:t>11,7</w:t>
            </w:r>
          </w:p>
        </w:tc>
        <w:tc>
          <w:tcPr>
            <w:tcW w:w="874" w:type="dxa"/>
            <w:tcBorders>
              <w:top w:val="nil"/>
              <w:left w:val="single" w:sz="4" w:space="0" w:color="auto"/>
              <w:bottom w:val="single" w:sz="8" w:space="0" w:color="auto"/>
              <w:right w:val="single" w:sz="4" w:space="0" w:color="auto"/>
            </w:tcBorders>
            <w:vAlign w:val="center"/>
          </w:tcPr>
          <w:p w14:paraId="05DC66E9" w14:textId="7AC56733" w:rsidR="00851D01" w:rsidRPr="00BA4492" w:rsidRDefault="00851D01" w:rsidP="00851D01">
            <w:pPr>
              <w:spacing w:after="0" w:line="240" w:lineRule="auto"/>
              <w:jc w:val="right"/>
              <w:rPr>
                <w:rFonts w:ascii="Arial Narrow" w:eastAsia="Times New Roman" w:hAnsi="Arial Narrow" w:cs="Calibri"/>
                <w:color w:val="000000"/>
                <w:sz w:val="24"/>
                <w:szCs w:val="24"/>
                <w:lang w:eastAsia="en-GB"/>
              </w:rPr>
            </w:pPr>
            <w:r w:rsidRPr="00BA4492">
              <w:rPr>
                <w:rFonts w:ascii="Arial Narrow" w:eastAsia="Times New Roman" w:hAnsi="Arial Narrow" w:cs="Calibri"/>
                <w:color w:val="000000"/>
                <w:sz w:val="24"/>
                <w:szCs w:val="24"/>
                <w:lang w:eastAsia="en-GB"/>
              </w:rPr>
              <w:t>17,1</w:t>
            </w:r>
          </w:p>
        </w:tc>
        <w:tc>
          <w:tcPr>
            <w:tcW w:w="874" w:type="dxa"/>
            <w:tcBorders>
              <w:top w:val="nil"/>
              <w:left w:val="single" w:sz="4" w:space="0" w:color="auto"/>
              <w:bottom w:val="single" w:sz="8" w:space="0" w:color="auto"/>
              <w:right w:val="single" w:sz="12" w:space="0" w:color="7F7F7F"/>
            </w:tcBorders>
            <w:shd w:val="clear" w:color="auto" w:fill="auto"/>
            <w:noWrap/>
            <w:vAlign w:val="center"/>
            <w:hideMark/>
          </w:tcPr>
          <w:p w14:paraId="10593078" w14:textId="26578029" w:rsidR="00851D01" w:rsidRPr="00BA4492" w:rsidRDefault="00851D01" w:rsidP="00851D01">
            <w:pPr>
              <w:spacing w:after="0" w:line="240" w:lineRule="auto"/>
              <w:jc w:val="right"/>
              <w:rPr>
                <w:rFonts w:ascii="Arial Narrow" w:eastAsia="Times New Roman" w:hAnsi="Arial Narrow" w:cs="Calibri"/>
                <w:color w:val="000000"/>
                <w:sz w:val="24"/>
                <w:szCs w:val="24"/>
                <w:lang w:val="en-GB" w:eastAsia="en-GB"/>
              </w:rPr>
            </w:pPr>
            <w:r w:rsidRPr="00BA4492">
              <w:rPr>
                <w:rFonts w:ascii="Arial Narrow" w:eastAsia="Times New Roman" w:hAnsi="Arial Narrow" w:cs="Calibri"/>
                <w:color w:val="000000"/>
                <w:sz w:val="24"/>
                <w:szCs w:val="24"/>
                <w:lang w:eastAsia="en-GB"/>
              </w:rPr>
              <w:t>14,1</w:t>
            </w:r>
          </w:p>
        </w:tc>
        <w:tc>
          <w:tcPr>
            <w:tcW w:w="873" w:type="dxa"/>
            <w:tcBorders>
              <w:top w:val="nil"/>
              <w:left w:val="nil"/>
              <w:bottom w:val="single" w:sz="8" w:space="0" w:color="auto"/>
              <w:right w:val="single" w:sz="8" w:space="0" w:color="auto"/>
            </w:tcBorders>
            <w:shd w:val="clear" w:color="auto" w:fill="auto"/>
            <w:noWrap/>
            <w:vAlign w:val="center"/>
            <w:hideMark/>
          </w:tcPr>
          <w:p w14:paraId="48A52A3C" w14:textId="3C701542" w:rsidR="00851D01" w:rsidRPr="00BA4492" w:rsidRDefault="00851D01" w:rsidP="00851D01">
            <w:pPr>
              <w:spacing w:after="0" w:line="240" w:lineRule="auto"/>
              <w:jc w:val="right"/>
              <w:rPr>
                <w:rFonts w:ascii="Arial Narrow" w:eastAsia="Times New Roman" w:hAnsi="Arial Narrow" w:cs="Calibri"/>
                <w:color w:val="000000"/>
                <w:sz w:val="24"/>
                <w:szCs w:val="24"/>
                <w:lang w:val="en-GB" w:eastAsia="en-GB"/>
              </w:rPr>
            </w:pPr>
            <w:r w:rsidRPr="00BA4492">
              <w:rPr>
                <w:rFonts w:ascii="Arial Narrow" w:eastAsia="Times New Roman" w:hAnsi="Arial Narrow" w:cs="Calibri"/>
                <w:color w:val="000000"/>
                <w:sz w:val="24"/>
                <w:szCs w:val="24"/>
                <w:lang w:eastAsia="en-GB"/>
              </w:rPr>
              <w:t>9,4</w:t>
            </w:r>
          </w:p>
        </w:tc>
        <w:tc>
          <w:tcPr>
            <w:tcW w:w="873" w:type="dxa"/>
            <w:tcBorders>
              <w:top w:val="nil"/>
              <w:left w:val="nil"/>
              <w:bottom w:val="single" w:sz="8" w:space="0" w:color="auto"/>
              <w:right w:val="single" w:sz="8" w:space="0" w:color="auto"/>
            </w:tcBorders>
            <w:shd w:val="clear" w:color="auto" w:fill="auto"/>
            <w:noWrap/>
            <w:vAlign w:val="center"/>
            <w:hideMark/>
          </w:tcPr>
          <w:p w14:paraId="035213F2" w14:textId="30CD6BCC" w:rsidR="00851D01" w:rsidRPr="00BA4492" w:rsidRDefault="00851D01" w:rsidP="00851D01">
            <w:pPr>
              <w:spacing w:after="0" w:line="240" w:lineRule="auto"/>
              <w:jc w:val="right"/>
              <w:rPr>
                <w:rFonts w:ascii="Arial Narrow" w:eastAsia="Times New Roman" w:hAnsi="Arial Narrow" w:cs="Calibri"/>
                <w:color w:val="000000"/>
                <w:sz w:val="24"/>
                <w:szCs w:val="24"/>
                <w:lang w:val="en-GB" w:eastAsia="en-GB"/>
              </w:rPr>
            </w:pPr>
            <w:r w:rsidRPr="00BA4492">
              <w:rPr>
                <w:rFonts w:ascii="Arial Narrow" w:eastAsia="Times New Roman" w:hAnsi="Arial Narrow" w:cs="Calibri"/>
                <w:color w:val="000000"/>
                <w:sz w:val="24"/>
                <w:szCs w:val="24"/>
                <w:lang w:eastAsia="en-GB"/>
              </w:rPr>
              <w:t>8,6</w:t>
            </w:r>
          </w:p>
        </w:tc>
        <w:tc>
          <w:tcPr>
            <w:tcW w:w="873" w:type="dxa"/>
            <w:tcBorders>
              <w:top w:val="nil"/>
              <w:left w:val="nil"/>
              <w:bottom w:val="single" w:sz="8" w:space="0" w:color="auto"/>
              <w:right w:val="single" w:sz="8" w:space="0" w:color="auto"/>
            </w:tcBorders>
            <w:shd w:val="clear" w:color="auto" w:fill="auto"/>
            <w:noWrap/>
            <w:vAlign w:val="center"/>
            <w:hideMark/>
          </w:tcPr>
          <w:p w14:paraId="7ED3DDB6" w14:textId="39100A3C" w:rsidR="00851D01" w:rsidRPr="00BA4492" w:rsidRDefault="00851D01" w:rsidP="00851D01">
            <w:pPr>
              <w:spacing w:after="0" w:line="240" w:lineRule="auto"/>
              <w:jc w:val="right"/>
              <w:rPr>
                <w:rFonts w:ascii="Arial Narrow" w:eastAsia="Times New Roman" w:hAnsi="Arial Narrow" w:cs="Calibri"/>
                <w:color w:val="000000"/>
                <w:sz w:val="24"/>
                <w:szCs w:val="24"/>
                <w:lang w:val="en-GB" w:eastAsia="en-GB"/>
              </w:rPr>
            </w:pPr>
            <w:r w:rsidRPr="00BA4492">
              <w:rPr>
                <w:rFonts w:ascii="Arial Narrow" w:eastAsia="Times New Roman" w:hAnsi="Arial Narrow" w:cs="Calibri"/>
                <w:color w:val="000000"/>
                <w:sz w:val="24"/>
                <w:szCs w:val="24"/>
                <w:lang w:eastAsia="en-GB"/>
              </w:rPr>
              <w:t>7,2</w:t>
            </w:r>
          </w:p>
        </w:tc>
      </w:tr>
      <w:tr w:rsidR="00851D01" w:rsidRPr="00BA4492" w14:paraId="29D3D955" w14:textId="77777777" w:rsidTr="00851D01">
        <w:trPr>
          <w:trHeight w:val="312"/>
        </w:trPr>
        <w:tc>
          <w:tcPr>
            <w:tcW w:w="4536" w:type="dxa"/>
            <w:tcBorders>
              <w:top w:val="nil"/>
              <w:left w:val="single" w:sz="12" w:space="0" w:color="7F7F7F"/>
              <w:bottom w:val="single" w:sz="12" w:space="0" w:color="C00000"/>
              <w:right w:val="single" w:sz="4" w:space="0" w:color="auto"/>
            </w:tcBorders>
            <w:shd w:val="clear" w:color="auto" w:fill="auto"/>
            <w:noWrap/>
            <w:vAlign w:val="center"/>
            <w:hideMark/>
          </w:tcPr>
          <w:p w14:paraId="2B625EB9" w14:textId="77777777" w:rsidR="00851D01" w:rsidRPr="00BA4492" w:rsidRDefault="00851D01" w:rsidP="00851D01">
            <w:pPr>
              <w:spacing w:after="0" w:line="240" w:lineRule="auto"/>
              <w:rPr>
                <w:rFonts w:ascii="Arial Narrow" w:eastAsia="Times New Roman" w:hAnsi="Arial Narrow" w:cs="Calibri"/>
                <w:b/>
                <w:color w:val="000000"/>
                <w:sz w:val="24"/>
                <w:szCs w:val="24"/>
                <w:lang w:val="en-GB" w:eastAsia="en-GB"/>
              </w:rPr>
            </w:pPr>
            <w:r w:rsidRPr="00BA4492">
              <w:rPr>
                <w:rFonts w:ascii="Arial Narrow" w:eastAsia="Times New Roman" w:hAnsi="Arial Narrow" w:cs="Calibri"/>
                <w:b/>
                <w:color w:val="000000"/>
                <w:sz w:val="24"/>
                <w:szCs w:val="24"/>
                <w:lang w:eastAsia="en-GB"/>
              </w:rPr>
              <w:t>Εμπορικό Ισοζύγιο ΕΕ- ΗΑΕ</w:t>
            </w:r>
          </w:p>
        </w:tc>
        <w:tc>
          <w:tcPr>
            <w:tcW w:w="874" w:type="dxa"/>
            <w:tcBorders>
              <w:top w:val="nil"/>
              <w:left w:val="single" w:sz="4" w:space="0" w:color="auto"/>
              <w:bottom w:val="single" w:sz="12" w:space="0" w:color="C00000"/>
              <w:right w:val="single" w:sz="4" w:space="0" w:color="auto"/>
            </w:tcBorders>
            <w:vAlign w:val="center"/>
          </w:tcPr>
          <w:p w14:paraId="20C99860" w14:textId="738EE755" w:rsidR="00851D01" w:rsidRPr="00BA4492" w:rsidRDefault="00851D01" w:rsidP="00851D01">
            <w:pPr>
              <w:spacing w:after="0" w:line="240" w:lineRule="auto"/>
              <w:jc w:val="right"/>
              <w:rPr>
                <w:rFonts w:ascii="Arial Narrow" w:eastAsia="Times New Roman" w:hAnsi="Arial Narrow" w:cs="Calibri"/>
                <w:color w:val="000000"/>
                <w:sz w:val="24"/>
                <w:szCs w:val="24"/>
                <w:lang w:eastAsia="en-GB"/>
              </w:rPr>
            </w:pPr>
            <w:r w:rsidRPr="00BA4492">
              <w:rPr>
                <w:rFonts w:ascii="Arial Narrow" w:eastAsia="Times New Roman" w:hAnsi="Arial Narrow" w:cs="Calibri"/>
                <w:color w:val="000000"/>
                <w:sz w:val="24"/>
                <w:szCs w:val="24"/>
                <w:lang w:eastAsia="en-GB"/>
              </w:rPr>
              <w:t>32,6</w:t>
            </w:r>
          </w:p>
        </w:tc>
        <w:tc>
          <w:tcPr>
            <w:tcW w:w="874" w:type="dxa"/>
            <w:tcBorders>
              <w:top w:val="nil"/>
              <w:left w:val="single" w:sz="4" w:space="0" w:color="auto"/>
              <w:bottom w:val="single" w:sz="12" w:space="0" w:color="C00000"/>
              <w:right w:val="single" w:sz="4" w:space="0" w:color="auto"/>
            </w:tcBorders>
            <w:vAlign w:val="center"/>
          </w:tcPr>
          <w:p w14:paraId="1ACC3195" w14:textId="335865C3" w:rsidR="00851D01" w:rsidRPr="00BA4492" w:rsidRDefault="00851D01" w:rsidP="00851D01">
            <w:pPr>
              <w:spacing w:after="0" w:line="240" w:lineRule="auto"/>
              <w:jc w:val="right"/>
              <w:rPr>
                <w:rFonts w:ascii="Arial Narrow" w:eastAsia="Times New Roman" w:hAnsi="Arial Narrow" w:cs="Calibri"/>
                <w:color w:val="000000"/>
                <w:sz w:val="24"/>
                <w:szCs w:val="24"/>
                <w:lang w:eastAsia="en-GB"/>
              </w:rPr>
            </w:pPr>
            <w:r w:rsidRPr="00BA4492">
              <w:rPr>
                <w:rFonts w:ascii="Arial Narrow" w:eastAsia="Times New Roman" w:hAnsi="Arial Narrow" w:cs="Calibri"/>
                <w:color w:val="000000"/>
                <w:sz w:val="24"/>
                <w:szCs w:val="24"/>
                <w:lang w:eastAsia="en-GB"/>
              </w:rPr>
              <w:t>21,7</w:t>
            </w:r>
          </w:p>
        </w:tc>
        <w:tc>
          <w:tcPr>
            <w:tcW w:w="874" w:type="dxa"/>
            <w:tcBorders>
              <w:top w:val="nil"/>
              <w:left w:val="single" w:sz="4" w:space="0" w:color="auto"/>
              <w:bottom w:val="single" w:sz="12" w:space="0" w:color="C00000"/>
              <w:right w:val="single" w:sz="12" w:space="0" w:color="7F7F7F"/>
            </w:tcBorders>
            <w:shd w:val="clear" w:color="auto" w:fill="auto"/>
            <w:noWrap/>
            <w:vAlign w:val="center"/>
            <w:hideMark/>
          </w:tcPr>
          <w:p w14:paraId="77D89F91" w14:textId="16998691" w:rsidR="00851D01" w:rsidRPr="00BA4492" w:rsidRDefault="00851D01" w:rsidP="00851D01">
            <w:pPr>
              <w:spacing w:after="0" w:line="240" w:lineRule="auto"/>
              <w:jc w:val="right"/>
              <w:rPr>
                <w:rFonts w:ascii="Arial Narrow" w:eastAsia="Times New Roman" w:hAnsi="Arial Narrow" w:cs="Calibri"/>
                <w:color w:val="000000"/>
                <w:sz w:val="24"/>
                <w:szCs w:val="24"/>
                <w:lang w:val="en-GB" w:eastAsia="en-GB"/>
              </w:rPr>
            </w:pPr>
            <w:r w:rsidRPr="00BA4492">
              <w:rPr>
                <w:rFonts w:ascii="Arial Narrow" w:eastAsia="Times New Roman" w:hAnsi="Arial Narrow" w:cs="Calibri"/>
                <w:color w:val="000000"/>
                <w:sz w:val="24"/>
                <w:szCs w:val="24"/>
                <w:lang w:val="en-AE" w:eastAsia="en-GB"/>
              </w:rPr>
              <w:t>21,6</w:t>
            </w:r>
          </w:p>
        </w:tc>
        <w:tc>
          <w:tcPr>
            <w:tcW w:w="873" w:type="dxa"/>
            <w:tcBorders>
              <w:top w:val="nil"/>
              <w:left w:val="nil"/>
              <w:bottom w:val="single" w:sz="12" w:space="0" w:color="C00000"/>
              <w:right w:val="single" w:sz="8" w:space="0" w:color="auto"/>
            </w:tcBorders>
            <w:shd w:val="clear" w:color="auto" w:fill="auto"/>
            <w:noWrap/>
            <w:vAlign w:val="center"/>
            <w:hideMark/>
          </w:tcPr>
          <w:p w14:paraId="4C6E7F00" w14:textId="00E5105D" w:rsidR="00851D01" w:rsidRPr="00BA4492" w:rsidRDefault="00851D01" w:rsidP="00851D01">
            <w:pPr>
              <w:spacing w:after="0" w:line="240" w:lineRule="auto"/>
              <w:jc w:val="right"/>
              <w:rPr>
                <w:rFonts w:ascii="Arial Narrow" w:eastAsia="Times New Roman" w:hAnsi="Arial Narrow" w:cs="Calibri"/>
                <w:color w:val="000000"/>
                <w:sz w:val="24"/>
                <w:szCs w:val="24"/>
                <w:lang w:val="en-GB" w:eastAsia="en-GB"/>
              </w:rPr>
            </w:pPr>
            <w:r w:rsidRPr="00BA4492">
              <w:rPr>
                <w:rFonts w:ascii="Arial Narrow" w:eastAsia="Times New Roman" w:hAnsi="Arial Narrow" w:cs="Calibri"/>
                <w:color w:val="000000"/>
                <w:sz w:val="24"/>
                <w:szCs w:val="24"/>
                <w:lang w:eastAsia="en-GB"/>
              </w:rPr>
              <w:t>20,4</w:t>
            </w:r>
          </w:p>
        </w:tc>
        <w:tc>
          <w:tcPr>
            <w:tcW w:w="873" w:type="dxa"/>
            <w:tcBorders>
              <w:top w:val="nil"/>
              <w:left w:val="nil"/>
              <w:bottom w:val="single" w:sz="12" w:space="0" w:color="C00000"/>
              <w:right w:val="single" w:sz="8" w:space="0" w:color="auto"/>
            </w:tcBorders>
            <w:shd w:val="clear" w:color="auto" w:fill="auto"/>
            <w:noWrap/>
            <w:vAlign w:val="center"/>
            <w:hideMark/>
          </w:tcPr>
          <w:p w14:paraId="460B109F" w14:textId="2A0F9276" w:rsidR="00851D01" w:rsidRPr="00BA4492" w:rsidRDefault="00851D01" w:rsidP="00851D01">
            <w:pPr>
              <w:spacing w:after="0" w:line="240" w:lineRule="auto"/>
              <w:jc w:val="right"/>
              <w:rPr>
                <w:rFonts w:ascii="Arial Narrow" w:eastAsia="Times New Roman" w:hAnsi="Arial Narrow" w:cs="Calibri"/>
                <w:color w:val="000000"/>
                <w:sz w:val="24"/>
                <w:szCs w:val="24"/>
                <w:lang w:val="en-GB" w:eastAsia="en-GB"/>
              </w:rPr>
            </w:pPr>
            <w:r w:rsidRPr="00BA4492">
              <w:rPr>
                <w:rFonts w:ascii="Arial Narrow" w:eastAsia="Times New Roman" w:hAnsi="Arial Narrow" w:cs="Calibri"/>
                <w:color w:val="000000"/>
                <w:sz w:val="24"/>
                <w:szCs w:val="24"/>
                <w:lang w:eastAsia="en-GB"/>
              </w:rPr>
              <w:t>17,3</w:t>
            </w:r>
          </w:p>
        </w:tc>
        <w:tc>
          <w:tcPr>
            <w:tcW w:w="873" w:type="dxa"/>
            <w:tcBorders>
              <w:top w:val="nil"/>
              <w:left w:val="nil"/>
              <w:bottom w:val="single" w:sz="12" w:space="0" w:color="C00000"/>
              <w:right w:val="single" w:sz="8" w:space="0" w:color="auto"/>
            </w:tcBorders>
            <w:shd w:val="clear" w:color="auto" w:fill="auto"/>
            <w:noWrap/>
            <w:vAlign w:val="center"/>
            <w:hideMark/>
          </w:tcPr>
          <w:p w14:paraId="318973A3" w14:textId="6DCC99F2" w:rsidR="00851D01" w:rsidRPr="00BA4492" w:rsidRDefault="00851D01" w:rsidP="00851D01">
            <w:pPr>
              <w:spacing w:after="0" w:line="240" w:lineRule="auto"/>
              <w:jc w:val="right"/>
              <w:rPr>
                <w:rFonts w:ascii="Arial Narrow" w:eastAsia="Times New Roman" w:hAnsi="Arial Narrow" w:cs="Calibri"/>
                <w:color w:val="000000"/>
                <w:sz w:val="24"/>
                <w:szCs w:val="24"/>
                <w:lang w:val="en-GB" w:eastAsia="en-GB"/>
              </w:rPr>
            </w:pPr>
            <w:r w:rsidRPr="00BA4492">
              <w:rPr>
                <w:rFonts w:ascii="Arial Narrow" w:eastAsia="Times New Roman" w:hAnsi="Arial Narrow" w:cs="Calibri"/>
                <w:color w:val="000000"/>
                <w:sz w:val="24"/>
                <w:szCs w:val="24"/>
                <w:lang w:eastAsia="en-GB"/>
              </w:rPr>
              <w:t>22,6</w:t>
            </w:r>
          </w:p>
        </w:tc>
      </w:tr>
      <w:tr w:rsidR="00851D01" w:rsidRPr="00BA4492" w14:paraId="28C19019" w14:textId="77777777" w:rsidTr="00851D01">
        <w:trPr>
          <w:trHeight w:val="312"/>
        </w:trPr>
        <w:tc>
          <w:tcPr>
            <w:tcW w:w="4536" w:type="dxa"/>
            <w:tcBorders>
              <w:top w:val="nil"/>
              <w:left w:val="single" w:sz="12" w:space="0" w:color="7F7F7F"/>
              <w:bottom w:val="single" w:sz="12" w:space="0" w:color="7F7F7F"/>
              <w:right w:val="single" w:sz="4" w:space="0" w:color="auto"/>
            </w:tcBorders>
            <w:shd w:val="clear" w:color="auto" w:fill="auto"/>
            <w:noWrap/>
            <w:vAlign w:val="center"/>
            <w:hideMark/>
          </w:tcPr>
          <w:p w14:paraId="3F4554A4" w14:textId="77777777" w:rsidR="00851D01" w:rsidRPr="00BA4492" w:rsidRDefault="00851D01" w:rsidP="00851D01">
            <w:pPr>
              <w:spacing w:after="0" w:line="240" w:lineRule="auto"/>
              <w:rPr>
                <w:rFonts w:ascii="Arial Narrow" w:eastAsia="Times New Roman" w:hAnsi="Arial Narrow" w:cs="Calibri"/>
                <w:b/>
                <w:color w:val="000000"/>
                <w:sz w:val="24"/>
                <w:szCs w:val="24"/>
                <w:lang w:val="en-GB" w:eastAsia="en-GB"/>
              </w:rPr>
            </w:pPr>
            <w:r w:rsidRPr="00BA4492">
              <w:rPr>
                <w:rFonts w:ascii="Arial Narrow" w:eastAsia="Times New Roman" w:hAnsi="Arial Narrow" w:cs="Calibri"/>
                <w:b/>
                <w:color w:val="000000"/>
                <w:sz w:val="24"/>
                <w:szCs w:val="24"/>
                <w:lang w:eastAsia="en-GB"/>
              </w:rPr>
              <w:t>Όγκος Εμπορίου</w:t>
            </w:r>
          </w:p>
        </w:tc>
        <w:tc>
          <w:tcPr>
            <w:tcW w:w="874" w:type="dxa"/>
            <w:tcBorders>
              <w:top w:val="nil"/>
              <w:left w:val="single" w:sz="4" w:space="0" w:color="auto"/>
              <w:bottom w:val="single" w:sz="12" w:space="0" w:color="7F7F7F"/>
              <w:right w:val="single" w:sz="4" w:space="0" w:color="auto"/>
            </w:tcBorders>
            <w:vAlign w:val="center"/>
          </w:tcPr>
          <w:p w14:paraId="76E62B25" w14:textId="7812BA50" w:rsidR="00851D01" w:rsidRPr="00BA4492" w:rsidRDefault="00190F96" w:rsidP="00851D01">
            <w:pPr>
              <w:spacing w:after="0" w:line="240" w:lineRule="auto"/>
              <w:jc w:val="right"/>
              <w:rPr>
                <w:rFonts w:ascii="Arial Narrow" w:eastAsia="Times New Roman" w:hAnsi="Arial Narrow" w:cs="Calibri"/>
                <w:color w:val="000000"/>
                <w:sz w:val="24"/>
                <w:szCs w:val="24"/>
                <w:lang w:eastAsia="en-GB"/>
              </w:rPr>
            </w:pPr>
            <w:r w:rsidRPr="00BA4492">
              <w:rPr>
                <w:rFonts w:ascii="Arial Narrow" w:eastAsia="Times New Roman" w:hAnsi="Arial Narrow" w:cs="Calibri"/>
                <w:color w:val="000000"/>
                <w:sz w:val="24"/>
                <w:szCs w:val="24"/>
                <w:lang w:eastAsia="en-GB"/>
              </w:rPr>
              <w:t>56,0</w:t>
            </w:r>
          </w:p>
        </w:tc>
        <w:tc>
          <w:tcPr>
            <w:tcW w:w="874" w:type="dxa"/>
            <w:tcBorders>
              <w:top w:val="nil"/>
              <w:left w:val="single" w:sz="4" w:space="0" w:color="auto"/>
              <w:bottom w:val="single" w:sz="12" w:space="0" w:color="7F7F7F"/>
              <w:right w:val="single" w:sz="4" w:space="0" w:color="auto"/>
            </w:tcBorders>
            <w:vAlign w:val="center"/>
          </w:tcPr>
          <w:p w14:paraId="07A2BF3A" w14:textId="23C67666" w:rsidR="00851D01" w:rsidRPr="00BA4492" w:rsidRDefault="00851D01" w:rsidP="00851D01">
            <w:pPr>
              <w:spacing w:after="0" w:line="240" w:lineRule="auto"/>
              <w:jc w:val="right"/>
              <w:rPr>
                <w:rFonts w:ascii="Arial Narrow" w:eastAsia="Times New Roman" w:hAnsi="Arial Narrow" w:cs="Calibri"/>
                <w:color w:val="000000"/>
                <w:sz w:val="24"/>
                <w:szCs w:val="24"/>
                <w:lang w:eastAsia="en-GB"/>
              </w:rPr>
            </w:pPr>
            <w:r w:rsidRPr="00BA4492">
              <w:rPr>
                <w:rFonts w:ascii="Arial Narrow" w:eastAsia="Times New Roman" w:hAnsi="Arial Narrow" w:cs="Calibri"/>
                <w:color w:val="000000"/>
                <w:sz w:val="24"/>
                <w:szCs w:val="24"/>
                <w:lang w:eastAsia="en-GB"/>
              </w:rPr>
              <w:t>55,9</w:t>
            </w:r>
          </w:p>
        </w:tc>
        <w:tc>
          <w:tcPr>
            <w:tcW w:w="874" w:type="dxa"/>
            <w:tcBorders>
              <w:top w:val="nil"/>
              <w:left w:val="single" w:sz="4" w:space="0" w:color="auto"/>
              <w:bottom w:val="single" w:sz="12" w:space="0" w:color="7F7F7F"/>
              <w:right w:val="single" w:sz="12" w:space="0" w:color="7F7F7F"/>
            </w:tcBorders>
            <w:shd w:val="clear" w:color="auto" w:fill="auto"/>
            <w:noWrap/>
            <w:vAlign w:val="center"/>
            <w:hideMark/>
          </w:tcPr>
          <w:p w14:paraId="61CCF6D9" w14:textId="2696F0DB" w:rsidR="00851D01" w:rsidRPr="00BA4492" w:rsidRDefault="00851D01" w:rsidP="00851D01">
            <w:pPr>
              <w:spacing w:after="0" w:line="240" w:lineRule="auto"/>
              <w:jc w:val="right"/>
              <w:rPr>
                <w:rFonts w:ascii="Arial Narrow" w:eastAsia="Times New Roman" w:hAnsi="Arial Narrow" w:cs="Calibri"/>
                <w:color w:val="000000"/>
                <w:sz w:val="24"/>
                <w:szCs w:val="24"/>
                <w:lang w:val="en-GB" w:eastAsia="en-GB"/>
              </w:rPr>
            </w:pPr>
            <w:r w:rsidRPr="00BA4492">
              <w:rPr>
                <w:rFonts w:ascii="Arial Narrow" w:eastAsia="Times New Roman" w:hAnsi="Arial Narrow" w:cs="Calibri"/>
                <w:color w:val="000000"/>
                <w:sz w:val="24"/>
                <w:szCs w:val="24"/>
                <w:lang w:eastAsia="en-GB"/>
              </w:rPr>
              <w:t>49,8</w:t>
            </w:r>
          </w:p>
        </w:tc>
        <w:tc>
          <w:tcPr>
            <w:tcW w:w="873" w:type="dxa"/>
            <w:tcBorders>
              <w:top w:val="nil"/>
              <w:left w:val="nil"/>
              <w:bottom w:val="single" w:sz="12" w:space="0" w:color="7F7F7F"/>
              <w:right w:val="single" w:sz="8" w:space="0" w:color="auto"/>
            </w:tcBorders>
            <w:shd w:val="clear" w:color="auto" w:fill="auto"/>
            <w:noWrap/>
            <w:vAlign w:val="center"/>
            <w:hideMark/>
          </w:tcPr>
          <w:p w14:paraId="0F26CE22" w14:textId="11316E8B" w:rsidR="00851D01" w:rsidRPr="00BA4492" w:rsidRDefault="00851D01" w:rsidP="00851D01">
            <w:pPr>
              <w:spacing w:after="0" w:line="240" w:lineRule="auto"/>
              <w:jc w:val="right"/>
              <w:rPr>
                <w:rFonts w:ascii="Arial Narrow" w:eastAsia="Times New Roman" w:hAnsi="Arial Narrow" w:cs="Calibri"/>
                <w:color w:val="000000"/>
                <w:sz w:val="24"/>
                <w:szCs w:val="24"/>
                <w:lang w:val="en-GB" w:eastAsia="en-GB"/>
              </w:rPr>
            </w:pPr>
            <w:r w:rsidRPr="00BA4492">
              <w:rPr>
                <w:rFonts w:ascii="Arial Narrow" w:eastAsia="Times New Roman" w:hAnsi="Arial Narrow" w:cs="Calibri"/>
                <w:color w:val="000000"/>
                <w:sz w:val="24"/>
                <w:szCs w:val="24"/>
                <w:lang w:eastAsia="en-GB"/>
              </w:rPr>
              <w:t>39,2</w:t>
            </w:r>
          </w:p>
        </w:tc>
        <w:tc>
          <w:tcPr>
            <w:tcW w:w="873" w:type="dxa"/>
            <w:tcBorders>
              <w:top w:val="nil"/>
              <w:left w:val="nil"/>
              <w:bottom w:val="single" w:sz="12" w:space="0" w:color="7F7F7F"/>
              <w:right w:val="single" w:sz="8" w:space="0" w:color="auto"/>
            </w:tcBorders>
            <w:shd w:val="clear" w:color="auto" w:fill="auto"/>
            <w:noWrap/>
            <w:vAlign w:val="center"/>
            <w:hideMark/>
          </w:tcPr>
          <w:p w14:paraId="5EBEA606" w14:textId="044C5EA5" w:rsidR="00851D01" w:rsidRPr="00BA4492" w:rsidRDefault="00851D01" w:rsidP="00851D01">
            <w:pPr>
              <w:spacing w:after="0" w:line="240" w:lineRule="auto"/>
              <w:jc w:val="right"/>
              <w:rPr>
                <w:rFonts w:ascii="Arial Narrow" w:eastAsia="Times New Roman" w:hAnsi="Arial Narrow" w:cs="Calibri"/>
                <w:color w:val="000000"/>
                <w:sz w:val="24"/>
                <w:szCs w:val="24"/>
                <w:lang w:val="en-GB" w:eastAsia="en-GB"/>
              </w:rPr>
            </w:pPr>
            <w:r w:rsidRPr="00BA4492">
              <w:rPr>
                <w:rFonts w:ascii="Arial Narrow" w:eastAsia="Times New Roman" w:hAnsi="Arial Narrow" w:cs="Calibri"/>
                <w:color w:val="000000"/>
                <w:sz w:val="24"/>
                <w:szCs w:val="24"/>
                <w:lang w:eastAsia="en-GB"/>
              </w:rPr>
              <w:t>34,5</w:t>
            </w:r>
          </w:p>
        </w:tc>
        <w:tc>
          <w:tcPr>
            <w:tcW w:w="873" w:type="dxa"/>
            <w:tcBorders>
              <w:top w:val="nil"/>
              <w:left w:val="nil"/>
              <w:bottom w:val="single" w:sz="12" w:space="0" w:color="7F7F7F"/>
              <w:right w:val="single" w:sz="8" w:space="0" w:color="auto"/>
            </w:tcBorders>
            <w:shd w:val="clear" w:color="auto" w:fill="auto"/>
            <w:noWrap/>
            <w:vAlign w:val="center"/>
            <w:hideMark/>
          </w:tcPr>
          <w:p w14:paraId="52F40C72" w14:textId="6972FF36" w:rsidR="00851D01" w:rsidRPr="00BA4492" w:rsidRDefault="00851D01" w:rsidP="00851D01">
            <w:pPr>
              <w:spacing w:after="0" w:line="240" w:lineRule="auto"/>
              <w:jc w:val="right"/>
              <w:rPr>
                <w:rFonts w:ascii="Arial Narrow" w:eastAsia="Times New Roman" w:hAnsi="Arial Narrow" w:cs="Calibri"/>
                <w:color w:val="000000"/>
                <w:sz w:val="24"/>
                <w:szCs w:val="24"/>
                <w:lang w:val="en-GB" w:eastAsia="en-GB"/>
              </w:rPr>
            </w:pPr>
            <w:r w:rsidRPr="00BA4492">
              <w:rPr>
                <w:rFonts w:ascii="Arial Narrow" w:eastAsia="Times New Roman" w:hAnsi="Arial Narrow" w:cs="Calibri"/>
                <w:color w:val="000000"/>
                <w:sz w:val="24"/>
                <w:szCs w:val="24"/>
                <w:lang w:eastAsia="en-GB"/>
              </w:rPr>
              <w:t>37,1</w:t>
            </w:r>
          </w:p>
        </w:tc>
      </w:tr>
    </w:tbl>
    <w:p w14:paraId="68C34ED8" w14:textId="34FBE9CB" w:rsidR="0093729E" w:rsidRPr="00BA4492" w:rsidRDefault="00E427BD" w:rsidP="00EF4904">
      <w:pPr>
        <w:rPr>
          <w:rFonts w:ascii="Arial Narrow" w:hAnsi="Arial Narrow"/>
          <w:bCs/>
          <w:i/>
          <w:sz w:val="24"/>
          <w:szCs w:val="24"/>
        </w:rPr>
      </w:pPr>
      <w:r w:rsidRPr="00BA4492">
        <w:rPr>
          <w:rFonts w:ascii="Arial Narrow" w:hAnsi="Arial Narrow"/>
          <w:bCs/>
          <w:i/>
          <w:sz w:val="24"/>
          <w:szCs w:val="24"/>
        </w:rPr>
        <w:t>Πηγή:  Ευρωπαϊκή Επιτροπή</w:t>
      </w:r>
      <w:r w:rsidR="00E47A42" w:rsidRPr="00BA4492">
        <w:rPr>
          <w:rFonts w:ascii="Arial Narrow" w:hAnsi="Arial Narrow"/>
          <w:bCs/>
          <w:i/>
          <w:sz w:val="24"/>
          <w:szCs w:val="24"/>
        </w:rPr>
        <w:t xml:space="preserve">, , Επεξεργασία Γρ. ΟΕΥ </w:t>
      </w:r>
      <w:r w:rsidR="00C14ED1" w:rsidRPr="00BA4492">
        <w:rPr>
          <w:rFonts w:ascii="Arial Narrow" w:hAnsi="Arial Narrow"/>
          <w:bCs/>
          <w:i/>
          <w:sz w:val="24"/>
          <w:szCs w:val="24"/>
        </w:rPr>
        <w:t>Dubai</w:t>
      </w:r>
    </w:p>
    <w:p w14:paraId="64D492DC" w14:textId="21F7998F" w:rsidR="00E427BD" w:rsidRPr="00A235B3" w:rsidRDefault="006956A7" w:rsidP="00A235B3">
      <w:pPr>
        <w:pStyle w:val="Caption"/>
        <w:jc w:val="center"/>
        <w:rPr>
          <w:rFonts w:ascii="Arial Narrow" w:hAnsi="Arial Narrow"/>
          <w:sz w:val="24"/>
          <w:szCs w:val="24"/>
        </w:rPr>
      </w:pPr>
      <w:bookmarkStart w:id="42" w:name="_Toc200448558"/>
      <w:r w:rsidRPr="00A235B3">
        <w:rPr>
          <w:rFonts w:ascii="Arial Narrow" w:hAnsi="Arial Narrow"/>
          <w:sz w:val="24"/>
          <w:szCs w:val="24"/>
        </w:rPr>
        <w:t>Π</w:t>
      </w:r>
      <w:r w:rsidR="00A235B3">
        <w:rPr>
          <w:rFonts w:ascii="Arial Narrow" w:hAnsi="Arial Narrow"/>
          <w:sz w:val="24"/>
          <w:szCs w:val="24"/>
        </w:rPr>
        <w:t>ΙΝΑΚΑΣ</w:t>
      </w:r>
      <w:r w:rsidR="00864EE2" w:rsidRPr="00864EE2">
        <w:rPr>
          <w:rFonts w:ascii="Arial Narrow" w:hAnsi="Arial Narrow"/>
          <w:sz w:val="24"/>
          <w:szCs w:val="24"/>
        </w:rPr>
        <w:t xml:space="preserve"> </w:t>
      </w:r>
      <w:r w:rsidR="00451B2E">
        <w:rPr>
          <w:rFonts w:ascii="Arial Narrow" w:hAnsi="Arial Narrow"/>
          <w:sz w:val="24"/>
          <w:szCs w:val="24"/>
        </w:rPr>
        <w:t xml:space="preserve">9 </w:t>
      </w:r>
      <w:r w:rsidR="00864EE2" w:rsidRPr="00864EE2">
        <w:rPr>
          <w:rFonts w:ascii="Arial Narrow" w:hAnsi="Arial Narrow"/>
          <w:sz w:val="24"/>
          <w:szCs w:val="24"/>
        </w:rPr>
        <w:t xml:space="preserve">- </w:t>
      </w:r>
      <w:r w:rsidR="00630D8F" w:rsidRPr="00A235B3">
        <w:rPr>
          <w:rFonts w:ascii="Arial Narrow" w:hAnsi="Arial Narrow"/>
          <w:sz w:val="24"/>
          <w:szCs w:val="24"/>
        </w:rPr>
        <w:t>Εμπόριο</w:t>
      </w:r>
      <w:r w:rsidR="00E427BD" w:rsidRPr="00A235B3">
        <w:rPr>
          <w:rFonts w:ascii="Arial Narrow" w:hAnsi="Arial Narrow"/>
          <w:sz w:val="24"/>
          <w:szCs w:val="24"/>
        </w:rPr>
        <w:t xml:space="preserve"> </w:t>
      </w:r>
      <w:r w:rsidR="00630D8F" w:rsidRPr="00A235B3">
        <w:rPr>
          <w:rFonts w:ascii="Arial Narrow" w:hAnsi="Arial Narrow"/>
          <w:sz w:val="24"/>
          <w:szCs w:val="24"/>
        </w:rPr>
        <w:t>Υ</w:t>
      </w:r>
      <w:r w:rsidR="00E427BD" w:rsidRPr="00A235B3">
        <w:rPr>
          <w:rFonts w:ascii="Arial Narrow" w:hAnsi="Arial Narrow"/>
          <w:sz w:val="24"/>
          <w:szCs w:val="24"/>
        </w:rPr>
        <w:t>πηρεσιών ΕΕ – ΗΑΕ</w:t>
      </w:r>
      <w:r w:rsidR="00DD37C1" w:rsidRPr="00A235B3">
        <w:rPr>
          <w:rFonts w:ascii="Arial Narrow" w:hAnsi="Arial Narrow"/>
          <w:sz w:val="24"/>
          <w:szCs w:val="24"/>
        </w:rPr>
        <w:t>,</w:t>
      </w:r>
      <w:r w:rsidR="00E427BD" w:rsidRPr="00A235B3">
        <w:rPr>
          <w:rFonts w:ascii="Arial Narrow" w:hAnsi="Arial Narrow"/>
          <w:sz w:val="24"/>
          <w:szCs w:val="24"/>
        </w:rPr>
        <w:t xml:space="preserve"> 20</w:t>
      </w:r>
      <w:r w:rsidR="003B2B94" w:rsidRPr="00A235B3">
        <w:rPr>
          <w:rFonts w:ascii="Arial Narrow" w:hAnsi="Arial Narrow"/>
          <w:sz w:val="24"/>
          <w:szCs w:val="24"/>
        </w:rPr>
        <w:t>20</w:t>
      </w:r>
      <w:r w:rsidR="00E427BD" w:rsidRPr="00A235B3">
        <w:rPr>
          <w:rFonts w:ascii="Arial Narrow" w:hAnsi="Arial Narrow"/>
          <w:sz w:val="24"/>
          <w:szCs w:val="24"/>
        </w:rPr>
        <w:t>-20</w:t>
      </w:r>
      <w:r w:rsidR="00DD37C1" w:rsidRPr="00A235B3">
        <w:rPr>
          <w:rFonts w:ascii="Arial Narrow" w:hAnsi="Arial Narrow"/>
          <w:sz w:val="24"/>
          <w:szCs w:val="24"/>
        </w:rPr>
        <w:t>2</w:t>
      </w:r>
      <w:r w:rsidR="003B2B94" w:rsidRPr="00A235B3">
        <w:rPr>
          <w:rFonts w:ascii="Arial Narrow" w:hAnsi="Arial Narrow"/>
          <w:sz w:val="24"/>
          <w:szCs w:val="24"/>
        </w:rPr>
        <w:t>3</w:t>
      </w:r>
      <w:r w:rsidR="00F60F1B" w:rsidRPr="00A235B3">
        <w:rPr>
          <w:rFonts w:ascii="Arial Narrow" w:hAnsi="Arial Narrow"/>
          <w:sz w:val="24"/>
          <w:szCs w:val="24"/>
        </w:rPr>
        <w:t>, σε</w:t>
      </w:r>
      <w:r w:rsidR="00A235B3">
        <w:rPr>
          <w:rFonts w:ascii="Arial Narrow" w:hAnsi="Arial Narrow"/>
          <w:sz w:val="24"/>
          <w:szCs w:val="24"/>
        </w:rPr>
        <w:t xml:space="preserve"> δις </w:t>
      </w:r>
      <w:r w:rsidR="00617A7D" w:rsidRPr="00A235B3">
        <w:rPr>
          <w:rFonts w:ascii="Arial Narrow" w:hAnsi="Arial Narrow"/>
          <w:sz w:val="24"/>
          <w:szCs w:val="24"/>
        </w:rPr>
        <w:t>Ευρώ</w:t>
      </w:r>
      <w:bookmarkEnd w:id="42"/>
    </w:p>
    <w:tbl>
      <w:tblPr>
        <w:tblW w:w="7220" w:type="dxa"/>
        <w:tblLook w:val="04A0" w:firstRow="1" w:lastRow="0" w:firstColumn="1" w:lastColumn="0" w:noHBand="0" w:noVBand="1"/>
      </w:tblPr>
      <w:tblGrid>
        <w:gridCol w:w="3380"/>
        <w:gridCol w:w="960"/>
        <w:gridCol w:w="960"/>
        <w:gridCol w:w="960"/>
        <w:gridCol w:w="960"/>
      </w:tblGrid>
      <w:tr w:rsidR="003B2B94" w:rsidRPr="00CC7440" w14:paraId="07D24EE8" w14:textId="77777777" w:rsidTr="003B2B94">
        <w:trPr>
          <w:trHeight w:val="312"/>
        </w:trPr>
        <w:tc>
          <w:tcPr>
            <w:tcW w:w="3380" w:type="dxa"/>
            <w:tcBorders>
              <w:top w:val="nil"/>
              <w:left w:val="nil"/>
              <w:bottom w:val="single" w:sz="12" w:space="0" w:color="808080"/>
              <w:right w:val="single" w:sz="12" w:space="0" w:color="808080"/>
            </w:tcBorders>
            <w:shd w:val="clear" w:color="auto" w:fill="auto"/>
            <w:noWrap/>
            <w:vAlign w:val="center"/>
            <w:hideMark/>
          </w:tcPr>
          <w:p w14:paraId="0BD1E081" w14:textId="0E80610F" w:rsidR="003B2B94" w:rsidRPr="00CC7440" w:rsidRDefault="003B2B94" w:rsidP="00EF4904">
            <w:pPr>
              <w:spacing w:after="0" w:line="240" w:lineRule="auto"/>
              <w:rPr>
                <w:rFonts w:ascii="Times New Roman" w:eastAsia="Times New Roman" w:hAnsi="Times New Roman" w:cs="Times New Roman"/>
                <w:b/>
                <w:color w:val="000000"/>
                <w:sz w:val="20"/>
                <w:szCs w:val="20"/>
                <w:lang w:val="en-GB" w:eastAsia="en-GB"/>
              </w:rPr>
            </w:pPr>
            <w:r w:rsidRPr="00CC7440">
              <w:rPr>
                <w:rFonts w:ascii="Times New Roman" w:eastAsia="Times New Roman" w:hAnsi="Times New Roman" w:cs="Times New Roman"/>
                <w:b/>
                <w:color w:val="000000"/>
                <w:sz w:val="20"/>
                <w:szCs w:val="20"/>
                <w:lang w:eastAsia="en-GB"/>
              </w:rPr>
              <w:t xml:space="preserve">Ποσά σε </w:t>
            </w:r>
            <w:r w:rsidR="00133844">
              <w:rPr>
                <w:rFonts w:ascii="Times New Roman" w:eastAsia="Times New Roman" w:hAnsi="Times New Roman" w:cs="Times New Roman"/>
                <w:b/>
                <w:color w:val="000000"/>
                <w:sz w:val="20"/>
                <w:szCs w:val="20"/>
                <w:lang w:eastAsia="en-GB"/>
              </w:rPr>
              <w:t xml:space="preserve">δισεκ. </w:t>
            </w:r>
            <w:r w:rsidRPr="00CC7440">
              <w:rPr>
                <w:rFonts w:ascii="Times New Roman" w:eastAsia="Times New Roman" w:hAnsi="Times New Roman" w:cs="Times New Roman"/>
                <w:b/>
                <w:color w:val="000000"/>
                <w:sz w:val="20"/>
                <w:szCs w:val="20"/>
                <w:lang w:eastAsia="en-GB"/>
              </w:rPr>
              <w:t xml:space="preserve"> </w:t>
            </w:r>
            <w:r w:rsidR="00617A7D">
              <w:rPr>
                <w:rFonts w:ascii="Times New Roman" w:eastAsia="Times New Roman" w:hAnsi="Times New Roman" w:cs="Times New Roman"/>
                <w:b/>
                <w:color w:val="000000"/>
                <w:sz w:val="20"/>
                <w:szCs w:val="20"/>
                <w:lang w:eastAsia="en-GB"/>
              </w:rPr>
              <w:t>Ευρώ</w:t>
            </w:r>
          </w:p>
        </w:tc>
        <w:tc>
          <w:tcPr>
            <w:tcW w:w="960" w:type="dxa"/>
            <w:tcBorders>
              <w:top w:val="single" w:sz="12" w:space="0" w:color="808080"/>
              <w:left w:val="nil"/>
              <w:bottom w:val="single" w:sz="12" w:space="0" w:color="C00000"/>
              <w:right w:val="single" w:sz="8" w:space="0" w:color="auto"/>
            </w:tcBorders>
            <w:shd w:val="clear" w:color="auto" w:fill="auto"/>
            <w:noWrap/>
            <w:vAlign w:val="center"/>
            <w:hideMark/>
          </w:tcPr>
          <w:p w14:paraId="0D9E60D9" w14:textId="478F620D" w:rsidR="003B2B94" w:rsidRPr="00CC7440" w:rsidRDefault="003B2B94" w:rsidP="00102FC9">
            <w:pPr>
              <w:spacing w:after="0" w:line="240" w:lineRule="auto"/>
              <w:jc w:val="right"/>
              <w:rPr>
                <w:rFonts w:ascii="Calibri" w:eastAsia="Times New Roman" w:hAnsi="Calibri" w:cs="Calibri"/>
                <w:b/>
                <w:color w:val="000000"/>
                <w:lang w:val="en-GB" w:eastAsia="en-GB"/>
              </w:rPr>
            </w:pPr>
            <w:r w:rsidRPr="00CC7440">
              <w:rPr>
                <w:rFonts w:ascii="Calibri" w:eastAsia="Times New Roman" w:hAnsi="Calibri" w:cs="Calibri"/>
                <w:b/>
                <w:color w:val="000000"/>
                <w:lang w:eastAsia="en-GB"/>
              </w:rPr>
              <w:t>202</w:t>
            </w:r>
            <w:r>
              <w:rPr>
                <w:rFonts w:ascii="Calibri" w:eastAsia="Times New Roman" w:hAnsi="Calibri" w:cs="Calibri"/>
                <w:b/>
                <w:color w:val="000000"/>
                <w:lang w:eastAsia="en-GB"/>
              </w:rPr>
              <w:t>3</w:t>
            </w:r>
          </w:p>
        </w:tc>
        <w:tc>
          <w:tcPr>
            <w:tcW w:w="960" w:type="dxa"/>
            <w:tcBorders>
              <w:top w:val="single" w:sz="12" w:space="0" w:color="808080"/>
              <w:left w:val="nil"/>
              <w:bottom w:val="single" w:sz="12" w:space="0" w:color="C00000"/>
              <w:right w:val="single" w:sz="8" w:space="0" w:color="auto"/>
            </w:tcBorders>
            <w:shd w:val="clear" w:color="auto" w:fill="auto"/>
            <w:noWrap/>
            <w:vAlign w:val="center"/>
            <w:hideMark/>
          </w:tcPr>
          <w:p w14:paraId="0FF63037" w14:textId="1A6EC376" w:rsidR="003B2B94" w:rsidRPr="00CC7440" w:rsidRDefault="003B2B94" w:rsidP="00EF4904">
            <w:pPr>
              <w:spacing w:after="0" w:line="240" w:lineRule="auto"/>
              <w:jc w:val="right"/>
              <w:rPr>
                <w:rFonts w:ascii="Calibri" w:eastAsia="Times New Roman" w:hAnsi="Calibri" w:cs="Calibri"/>
                <w:b/>
                <w:color w:val="000000"/>
                <w:lang w:val="en-GB" w:eastAsia="en-GB"/>
              </w:rPr>
            </w:pPr>
            <w:r w:rsidRPr="00CC7440">
              <w:rPr>
                <w:rFonts w:ascii="Calibri" w:eastAsia="Times New Roman" w:hAnsi="Calibri" w:cs="Calibri"/>
                <w:b/>
                <w:color w:val="000000"/>
                <w:lang w:eastAsia="en-GB"/>
              </w:rPr>
              <w:t>202</w:t>
            </w:r>
            <w:r>
              <w:rPr>
                <w:rFonts w:ascii="Calibri" w:eastAsia="Times New Roman" w:hAnsi="Calibri" w:cs="Calibri"/>
                <w:b/>
                <w:color w:val="000000"/>
                <w:lang w:eastAsia="en-GB"/>
              </w:rPr>
              <w:t>2</w:t>
            </w:r>
          </w:p>
        </w:tc>
        <w:tc>
          <w:tcPr>
            <w:tcW w:w="960" w:type="dxa"/>
            <w:tcBorders>
              <w:top w:val="single" w:sz="12" w:space="0" w:color="808080"/>
              <w:left w:val="nil"/>
              <w:bottom w:val="single" w:sz="12" w:space="0" w:color="C00000"/>
              <w:right w:val="single" w:sz="8" w:space="0" w:color="auto"/>
            </w:tcBorders>
            <w:shd w:val="clear" w:color="auto" w:fill="auto"/>
            <w:noWrap/>
            <w:vAlign w:val="center"/>
            <w:hideMark/>
          </w:tcPr>
          <w:p w14:paraId="72A4571D" w14:textId="7E862433" w:rsidR="003B2B94" w:rsidRPr="00CC7440" w:rsidRDefault="003B2B94" w:rsidP="00EF4904">
            <w:pPr>
              <w:spacing w:after="0" w:line="240" w:lineRule="auto"/>
              <w:jc w:val="right"/>
              <w:rPr>
                <w:rFonts w:ascii="Calibri" w:eastAsia="Times New Roman" w:hAnsi="Calibri" w:cs="Calibri"/>
                <w:b/>
                <w:color w:val="000000"/>
                <w:lang w:val="en-GB" w:eastAsia="en-GB"/>
              </w:rPr>
            </w:pPr>
            <w:r w:rsidRPr="00CC7440">
              <w:rPr>
                <w:rFonts w:ascii="Calibri" w:eastAsia="Times New Roman" w:hAnsi="Calibri" w:cs="Calibri"/>
                <w:b/>
                <w:color w:val="000000"/>
                <w:lang w:eastAsia="en-GB"/>
              </w:rPr>
              <w:t>20</w:t>
            </w:r>
            <w:r>
              <w:rPr>
                <w:rFonts w:ascii="Calibri" w:eastAsia="Times New Roman" w:hAnsi="Calibri" w:cs="Calibri"/>
                <w:b/>
                <w:color w:val="000000"/>
                <w:lang w:eastAsia="en-GB"/>
              </w:rPr>
              <w:t>21</w:t>
            </w:r>
          </w:p>
        </w:tc>
        <w:tc>
          <w:tcPr>
            <w:tcW w:w="960" w:type="dxa"/>
            <w:tcBorders>
              <w:top w:val="single" w:sz="12" w:space="0" w:color="808080"/>
              <w:left w:val="nil"/>
              <w:bottom w:val="single" w:sz="12" w:space="0" w:color="C00000"/>
              <w:right w:val="single" w:sz="8" w:space="0" w:color="auto"/>
            </w:tcBorders>
            <w:shd w:val="clear" w:color="auto" w:fill="auto"/>
            <w:noWrap/>
            <w:vAlign w:val="center"/>
            <w:hideMark/>
          </w:tcPr>
          <w:p w14:paraId="25AEE906" w14:textId="57E5A0DF" w:rsidR="003B2B94" w:rsidRPr="00CC7440" w:rsidRDefault="003B2B94" w:rsidP="00EF4904">
            <w:pPr>
              <w:spacing w:after="0" w:line="240" w:lineRule="auto"/>
              <w:jc w:val="right"/>
              <w:rPr>
                <w:rFonts w:ascii="Calibri" w:eastAsia="Times New Roman" w:hAnsi="Calibri" w:cs="Calibri"/>
                <w:b/>
                <w:color w:val="000000"/>
                <w:lang w:val="en-GB" w:eastAsia="en-GB"/>
              </w:rPr>
            </w:pPr>
            <w:r w:rsidRPr="00CC7440">
              <w:rPr>
                <w:rFonts w:ascii="Calibri" w:eastAsia="Times New Roman" w:hAnsi="Calibri" w:cs="Calibri"/>
                <w:b/>
                <w:color w:val="000000"/>
                <w:lang w:eastAsia="en-GB"/>
              </w:rPr>
              <w:t>20</w:t>
            </w:r>
            <w:r>
              <w:rPr>
                <w:rFonts w:ascii="Calibri" w:eastAsia="Times New Roman" w:hAnsi="Calibri" w:cs="Calibri"/>
                <w:b/>
                <w:color w:val="000000"/>
                <w:lang w:eastAsia="en-GB"/>
              </w:rPr>
              <w:t>20</w:t>
            </w:r>
          </w:p>
        </w:tc>
      </w:tr>
      <w:tr w:rsidR="003B2B94" w:rsidRPr="00EF4904" w14:paraId="25EB0BA2" w14:textId="77777777" w:rsidTr="00AE311A">
        <w:trPr>
          <w:trHeight w:val="312"/>
        </w:trPr>
        <w:tc>
          <w:tcPr>
            <w:tcW w:w="3380" w:type="dxa"/>
            <w:tcBorders>
              <w:top w:val="nil"/>
              <w:left w:val="single" w:sz="12" w:space="0" w:color="808080"/>
              <w:bottom w:val="single" w:sz="12" w:space="0" w:color="C00000"/>
              <w:right w:val="single" w:sz="12" w:space="0" w:color="808080"/>
            </w:tcBorders>
            <w:shd w:val="clear" w:color="auto" w:fill="auto"/>
            <w:noWrap/>
            <w:vAlign w:val="center"/>
            <w:hideMark/>
          </w:tcPr>
          <w:p w14:paraId="2A29D94C" w14:textId="77777777" w:rsidR="003B2B94" w:rsidRPr="00CC7440" w:rsidRDefault="003B2B94" w:rsidP="003B2B94">
            <w:pPr>
              <w:spacing w:after="0" w:line="240" w:lineRule="auto"/>
              <w:rPr>
                <w:rFonts w:ascii="Calibri" w:eastAsia="Times New Roman" w:hAnsi="Calibri" w:cs="Calibri"/>
                <w:b/>
                <w:color w:val="000000"/>
                <w:sz w:val="20"/>
                <w:szCs w:val="20"/>
                <w:lang w:val="en-GB" w:eastAsia="en-GB"/>
              </w:rPr>
            </w:pPr>
            <w:r w:rsidRPr="00CC7440">
              <w:rPr>
                <w:rFonts w:ascii="Calibri" w:eastAsia="Times New Roman" w:hAnsi="Calibri" w:cs="Calibri"/>
                <w:b/>
                <w:color w:val="000000"/>
                <w:sz w:val="20"/>
                <w:szCs w:val="20"/>
                <w:lang w:eastAsia="en-GB"/>
              </w:rPr>
              <w:t>Πληρωμές ΗΑΕ</w:t>
            </w:r>
          </w:p>
        </w:tc>
        <w:tc>
          <w:tcPr>
            <w:tcW w:w="960" w:type="dxa"/>
            <w:tcBorders>
              <w:top w:val="nil"/>
              <w:left w:val="nil"/>
              <w:bottom w:val="single" w:sz="12" w:space="0" w:color="C00000"/>
              <w:right w:val="single" w:sz="8" w:space="0" w:color="auto"/>
            </w:tcBorders>
            <w:shd w:val="clear" w:color="auto" w:fill="auto"/>
            <w:noWrap/>
            <w:vAlign w:val="center"/>
          </w:tcPr>
          <w:p w14:paraId="2282093C" w14:textId="19379598" w:rsidR="003B2B94" w:rsidRPr="00102FC9" w:rsidRDefault="003B2B94" w:rsidP="003B2B94">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22,5</w:t>
            </w:r>
          </w:p>
        </w:tc>
        <w:tc>
          <w:tcPr>
            <w:tcW w:w="960" w:type="dxa"/>
            <w:tcBorders>
              <w:top w:val="nil"/>
              <w:left w:val="nil"/>
              <w:bottom w:val="single" w:sz="12" w:space="0" w:color="C00000"/>
              <w:right w:val="single" w:sz="8" w:space="0" w:color="auto"/>
            </w:tcBorders>
            <w:shd w:val="clear" w:color="auto" w:fill="auto"/>
            <w:noWrap/>
            <w:vAlign w:val="center"/>
            <w:hideMark/>
          </w:tcPr>
          <w:p w14:paraId="71A9075B" w14:textId="2CDEAC40" w:rsidR="003B2B94" w:rsidRPr="00EF4904" w:rsidRDefault="003B2B94" w:rsidP="003B2B94">
            <w:pPr>
              <w:spacing w:after="0" w:line="240" w:lineRule="auto"/>
              <w:jc w:val="cente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eastAsia="en-GB"/>
              </w:rPr>
              <w:t>20</w:t>
            </w:r>
          </w:p>
        </w:tc>
        <w:tc>
          <w:tcPr>
            <w:tcW w:w="960" w:type="dxa"/>
            <w:tcBorders>
              <w:top w:val="nil"/>
              <w:left w:val="nil"/>
              <w:bottom w:val="single" w:sz="12" w:space="0" w:color="C00000"/>
              <w:right w:val="single" w:sz="8" w:space="0" w:color="auto"/>
            </w:tcBorders>
            <w:shd w:val="clear" w:color="auto" w:fill="auto"/>
            <w:noWrap/>
            <w:vAlign w:val="center"/>
            <w:hideMark/>
          </w:tcPr>
          <w:p w14:paraId="7C8C0F9D" w14:textId="3768ADB8" w:rsidR="003B2B94" w:rsidRPr="00EF4904" w:rsidRDefault="003B2B94" w:rsidP="003B2B94">
            <w:pPr>
              <w:spacing w:after="0" w:line="240" w:lineRule="auto"/>
              <w:jc w:val="cente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eastAsia="en-GB"/>
              </w:rPr>
              <w:t>15,6</w:t>
            </w:r>
          </w:p>
        </w:tc>
        <w:tc>
          <w:tcPr>
            <w:tcW w:w="960" w:type="dxa"/>
            <w:tcBorders>
              <w:top w:val="nil"/>
              <w:left w:val="nil"/>
              <w:bottom w:val="single" w:sz="12" w:space="0" w:color="C00000"/>
              <w:right w:val="single" w:sz="8" w:space="0" w:color="auto"/>
            </w:tcBorders>
            <w:shd w:val="clear" w:color="auto" w:fill="auto"/>
            <w:noWrap/>
            <w:vAlign w:val="center"/>
            <w:hideMark/>
          </w:tcPr>
          <w:p w14:paraId="243FE70F" w14:textId="51FB5C73" w:rsidR="003B2B94" w:rsidRPr="00EF4904" w:rsidRDefault="003B2B94" w:rsidP="003B2B94">
            <w:pPr>
              <w:spacing w:after="0" w:line="240" w:lineRule="auto"/>
              <w:jc w:val="center"/>
              <w:rPr>
                <w:rFonts w:ascii="Calibri" w:eastAsia="Times New Roman" w:hAnsi="Calibri" w:cs="Calibri"/>
                <w:color w:val="000000"/>
                <w:sz w:val="20"/>
                <w:szCs w:val="20"/>
                <w:lang w:val="en-GB" w:eastAsia="en-GB"/>
              </w:rPr>
            </w:pPr>
            <w:r w:rsidRPr="00EF4904">
              <w:rPr>
                <w:rFonts w:ascii="Calibri" w:eastAsia="Times New Roman" w:hAnsi="Calibri" w:cs="Calibri"/>
                <w:color w:val="000000"/>
                <w:sz w:val="20"/>
                <w:szCs w:val="20"/>
                <w:lang w:eastAsia="en-GB"/>
              </w:rPr>
              <w:t>11,7</w:t>
            </w:r>
          </w:p>
        </w:tc>
      </w:tr>
      <w:tr w:rsidR="003B2B94" w:rsidRPr="00EF4904" w14:paraId="212B8FC3" w14:textId="77777777" w:rsidTr="00AE311A">
        <w:trPr>
          <w:trHeight w:val="312"/>
        </w:trPr>
        <w:tc>
          <w:tcPr>
            <w:tcW w:w="3380" w:type="dxa"/>
            <w:tcBorders>
              <w:top w:val="nil"/>
              <w:left w:val="single" w:sz="12" w:space="0" w:color="808080"/>
              <w:bottom w:val="single" w:sz="12" w:space="0" w:color="C00000"/>
              <w:right w:val="single" w:sz="12" w:space="0" w:color="808080"/>
            </w:tcBorders>
            <w:shd w:val="clear" w:color="auto" w:fill="auto"/>
            <w:noWrap/>
            <w:vAlign w:val="center"/>
            <w:hideMark/>
          </w:tcPr>
          <w:p w14:paraId="4529FCC6" w14:textId="77777777" w:rsidR="003B2B94" w:rsidRPr="00CC7440" w:rsidRDefault="003B2B94" w:rsidP="003B2B94">
            <w:pPr>
              <w:spacing w:after="0" w:line="240" w:lineRule="auto"/>
              <w:rPr>
                <w:rFonts w:ascii="Calibri" w:eastAsia="Times New Roman" w:hAnsi="Calibri" w:cs="Calibri"/>
                <w:b/>
                <w:color w:val="000000"/>
                <w:sz w:val="20"/>
                <w:szCs w:val="20"/>
                <w:lang w:val="en-GB" w:eastAsia="en-GB"/>
              </w:rPr>
            </w:pPr>
            <w:r w:rsidRPr="00CC7440">
              <w:rPr>
                <w:rFonts w:ascii="Calibri" w:eastAsia="Times New Roman" w:hAnsi="Calibri" w:cs="Calibri"/>
                <w:b/>
                <w:color w:val="000000"/>
                <w:sz w:val="20"/>
                <w:szCs w:val="20"/>
                <w:lang w:eastAsia="en-GB"/>
              </w:rPr>
              <w:t>Εισπράξεις ΗΑΕ</w:t>
            </w:r>
          </w:p>
        </w:tc>
        <w:tc>
          <w:tcPr>
            <w:tcW w:w="960" w:type="dxa"/>
            <w:tcBorders>
              <w:top w:val="nil"/>
              <w:left w:val="nil"/>
              <w:bottom w:val="single" w:sz="12" w:space="0" w:color="C00000"/>
              <w:right w:val="single" w:sz="8" w:space="0" w:color="auto"/>
            </w:tcBorders>
            <w:shd w:val="clear" w:color="auto" w:fill="auto"/>
            <w:noWrap/>
            <w:vAlign w:val="center"/>
          </w:tcPr>
          <w:p w14:paraId="76D3173C" w14:textId="2775AEE5" w:rsidR="003B2B94" w:rsidRPr="00102FC9" w:rsidRDefault="003B2B94" w:rsidP="003B2B94">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16,5</w:t>
            </w:r>
          </w:p>
        </w:tc>
        <w:tc>
          <w:tcPr>
            <w:tcW w:w="960" w:type="dxa"/>
            <w:tcBorders>
              <w:top w:val="nil"/>
              <w:left w:val="nil"/>
              <w:bottom w:val="single" w:sz="12" w:space="0" w:color="C00000"/>
              <w:right w:val="single" w:sz="8" w:space="0" w:color="auto"/>
            </w:tcBorders>
            <w:shd w:val="clear" w:color="auto" w:fill="auto"/>
            <w:noWrap/>
            <w:vAlign w:val="center"/>
            <w:hideMark/>
          </w:tcPr>
          <w:p w14:paraId="1B2F5ACD" w14:textId="55776529" w:rsidR="003B2B94" w:rsidRPr="00EF4904" w:rsidRDefault="003B2B94" w:rsidP="003B2B94">
            <w:pPr>
              <w:spacing w:after="0" w:line="240" w:lineRule="auto"/>
              <w:jc w:val="cente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eastAsia="en-GB"/>
              </w:rPr>
              <w:t>15,4</w:t>
            </w:r>
          </w:p>
        </w:tc>
        <w:tc>
          <w:tcPr>
            <w:tcW w:w="960" w:type="dxa"/>
            <w:tcBorders>
              <w:top w:val="nil"/>
              <w:left w:val="nil"/>
              <w:bottom w:val="single" w:sz="12" w:space="0" w:color="C00000"/>
              <w:right w:val="single" w:sz="8" w:space="0" w:color="auto"/>
            </w:tcBorders>
            <w:shd w:val="clear" w:color="auto" w:fill="auto"/>
            <w:noWrap/>
            <w:vAlign w:val="center"/>
            <w:hideMark/>
          </w:tcPr>
          <w:p w14:paraId="02BB23A6" w14:textId="6ADCE876" w:rsidR="003B2B94" w:rsidRPr="00EF4904" w:rsidRDefault="003B2B94" w:rsidP="003B2B94">
            <w:pPr>
              <w:spacing w:after="0" w:line="240" w:lineRule="auto"/>
              <w:jc w:val="cente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eastAsia="en-GB"/>
              </w:rPr>
              <w:t>11</w:t>
            </w:r>
          </w:p>
        </w:tc>
        <w:tc>
          <w:tcPr>
            <w:tcW w:w="960" w:type="dxa"/>
            <w:tcBorders>
              <w:top w:val="nil"/>
              <w:left w:val="nil"/>
              <w:bottom w:val="single" w:sz="12" w:space="0" w:color="C00000"/>
              <w:right w:val="single" w:sz="8" w:space="0" w:color="auto"/>
            </w:tcBorders>
            <w:shd w:val="clear" w:color="auto" w:fill="auto"/>
            <w:noWrap/>
            <w:vAlign w:val="center"/>
            <w:hideMark/>
          </w:tcPr>
          <w:p w14:paraId="60533B1E" w14:textId="166587D8" w:rsidR="003B2B94" w:rsidRPr="00EF4904" w:rsidRDefault="003B2B94" w:rsidP="003B2B94">
            <w:pPr>
              <w:spacing w:after="0" w:line="240" w:lineRule="auto"/>
              <w:jc w:val="center"/>
              <w:rPr>
                <w:rFonts w:ascii="Calibri" w:eastAsia="Times New Roman" w:hAnsi="Calibri" w:cs="Calibri"/>
                <w:color w:val="000000"/>
                <w:sz w:val="20"/>
                <w:szCs w:val="20"/>
                <w:lang w:val="en-GB" w:eastAsia="en-GB"/>
              </w:rPr>
            </w:pPr>
            <w:r w:rsidRPr="00EF4904">
              <w:rPr>
                <w:rFonts w:ascii="Calibri" w:eastAsia="Times New Roman" w:hAnsi="Calibri" w:cs="Calibri"/>
                <w:color w:val="000000"/>
                <w:sz w:val="20"/>
                <w:szCs w:val="20"/>
                <w:lang w:eastAsia="en-GB"/>
              </w:rPr>
              <w:t>9</w:t>
            </w:r>
          </w:p>
        </w:tc>
      </w:tr>
      <w:tr w:rsidR="003B2B94" w:rsidRPr="00EF4904" w14:paraId="383AA877" w14:textId="77777777" w:rsidTr="00AE311A">
        <w:trPr>
          <w:trHeight w:val="312"/>
        </w:trPr>
        <w:tc>
          <w:tcPr>
            <w:tcW w:w="3380" w:type="dxa"/>
            <w:tcBorders>
              <w:top w:val="nil"/>
              <w:left w:val="single" w:sz="12" w:space="0" w:color="808080"/>
              <w:bottom w:val="single" w:sz="12" w:space="0" w:color="C00000"/>
              <w:right w:val="single" w:sz="12" w:space="0" w:color="808080"/>
            </w:tcBorders>
            <w:shd w:val="clear" w:color="auto" w:fill="auto"/>
            <w:noWrap/>
            <w:vAlign w:val="center"/>
            <w:hideMark/>
          </w:tcPr>
          <w:p w14:paraId="1F36EF81" w14:textId="77777777" w:rsidR="003B2B94" w:rsidRPr="00CC7440" w:rsidRDefault="003B2B94" w:rsidP="003B2B94">
            <w:pPr>
              <w:spacing w:after="0" w:line="240" w:lineRule="auto"/>
              <w:rPr>
                <w:rFonts w:ascii="Calibri" w:eastAsia="Times New Roman" w:hAnsi="Calibri" w:cs="Calibri"/>
                <w:b/>
                <w:color w:val="000000"/>
                <w:sz w:val="20"/>
                <w:szCs w:val="20"/>
                <w:lang w:val="en-GB" w:eastAsia="en-GB"/>
              </w:rPr>
            </w:pPr>
            <w:r w:rsidRPr="00CC7440">
              <w:rPr>
                <w:rFonts w:ascii="Calibri" w:eastAsia="Times New Roman" w:hAnsi="Calibri" w:cs="Calibri"/>
                <w:b/>
                <w:color w:val="000000"/>
                <w:sz w:val="20"/>
                <w:szCs w:val="20"/>
                <w:lang w:eastAsia="en-GB"/>
              </w:rPr>
              <w:t>Ισοζύγιο Υπηρεσιών</w:t>
            </w:r>
          </w:p>
        </w:tc>
        <w:tc>
          <w:tcPr>
            <w:tcW w:w="960" w:type="dxa"/>
            <w:tcBorders>
              <w:top w:val="nil"/>
              <w:left w:val="nil"/>
              <w:bottom w:val="single" w:sz="12" w:space="0" w:color="C00000"/>
              <w:right w:val="single" w:sz="8" w:space="0" w:color="auto"/>
            </w:tcBorders>
            <w:shd w:val="clear" w:color="auto" w:fill="auto"/>
            <w:noWrap/>
            <w:vAlign w:val="center"/>
          </w:tcPr>
          <w:p w14:paraId="198EDC2A" w14:textId="380461DA" w:rsidR="003B2B94" w:rsidRPr="00EF4904" w:rsidRDefault="003B2B94" w:rsidP="003B2B94">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w:t>
            </w:r>
          </w:p>
        </w:tc>
        <w:tc>
          <w:tcPr>
            <w:tcW w:w="960" w:type="dxa"/>
            <w:tcBorders>
              <w:top w:val="nil"/>
              <w:left w:val="nil"/>
              <w:bottom w:val="single" w:sz="12" w:space="0" w:color="C00000"/>
              <w:right w:val="single" w:sz="8" w:space="0" w:color="auto"/>
            </w:tcBorders>
            <w:shd w:val="clear" w:color="auto" w:fill="auto"/>
            <w:noWrap/>
            <w:vAlign w:val="center"/>
            <w:hideMark/>
          </w:tcPr>
          <w:p w14:paraId="18A108DC" w14:textId="32DDD6C0" w:rsidR="003B2B94" w:rsidRPr="00EF4904" w:rsidRDefault="003B2B94" w:rsidP="003B2B94">
            <w:pPr>
              <w:spacing w:after="0" w:line="240" w:lineRule="auto"/>
              <w:jc w:val="cente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eastAsia="en-GB"/>
              </w:rPr>
              <w:t>4,6</w:t>
            </w:r>
          </w:p>
        </w:tc>
        <w:tc>
          <w:tcPr>
            <w:tcW w:w="960" w:type="dxa"/>
            <w:tcBorders>
              <w:top w:val="nil"/>
              <w:left w:val="nil"/>
              <w:bottom w:val="single" w:sz="12" w:space="0" w:color="C00000"/>
              <w:right w:val="single" w:sz="8" w:space="0" w:color="auto"/>
            </w:tcBorders>
            <w:shd w:val="clear" w:color="auto" w:fill="auto"/>
            <w:noWrap/>
            <w:vAlign w:val="center"/>
            <w:hideMark/>
          </w:tcPr>
          <w:p w14:paraId="74DD8BFA" w14:textId="0DDDC9B2" w:rsidR="003B2B94" w:rsidRPr="00EF4904" w:rsidRDefault="003B2B94" w:rsidP="003B2B94">
            <w:pPr>
              <w:spacing w:after="0" w:line="240" w:lineRule="auto"/>
              <w:jc w:val="cente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eastAsia="en-GB"/>
              </w:rPr>
              <w:t>4,6</w:t>
            </w:r>
          </w:p>
        </w:tc>
        <w:tc>
          <w:tcPr>
            <w:tcW w:w="960" w:type="dxa"/>
            <w:tcBorders>
              <w:top w:val="nil"/>
              <w:left w:val="nil"/>
              <w:bottom w:val="single" w:sz="12" w:space="0" w:color="C00000"/>
              <w:right w:val="single" w:sz="8" w:space="0" w:color="auto"/>
            </w:tcBorders>
            <w:shd w:val="clear" w:color="auto" w:fill="auto"/>
            <w:noWrap/>
            <w:vAlign w:val="center"/>
            <w:hideMark/>
          </w:tcPr>
          <w:p w14:paraId="724FEE87" w14:textId="672AF321" w:rsidR="003B2B94" w:rsidRPr="00EF4904" w:rsidRDefault="003B2B94" w:rsidP="003B2B94">
            <w:pPr>
              <w:spacing w:after="0" w:line="240" w:lineRule="auto"/>
              <w:jc w:val="cente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eastAsia="en-GB"/>
              </w:rPr>
              <w:t>2,7</w:t>
            </w:r>
          </w:p>
        </w:tc>
      </w:tr>
    </w:tbl>
    <w:p w14:paraId="3D3F765B" w14:textId="77777777" w:rsidR="009E351D" w:rsidRDefault="00E95CFC" w:rsidP="009E351D">
      <w:pPr>
        <w:rPr>
          <w:rFonts w:asciiTheme="majorHAnsi" w:hAnsiTheme="majorHAnsi"/>
          <w:bCs/>
          <w:i/>
          <w:sz w:val="18"/>
          <w:szCs w:val="18"/>
        </w:rPr>
      </w:pPr>
      <w:r>
        <w:rPr>
          <w:rFonts w:asciiTheme="majorHAnsi" w:hAnsiTheme="majorHAnsi"/>
          <w:bCs/>
          <w:i/>
          <w:sz w:val="18"/>
          <w:szCs w:val="18"/>
        </w:rPr>
        <w:t>Πηγή: Ευρωπαϊκή Επιτροπή στα ΗΑΕ (</w:t>
      </w:r>
      <w:r>
        <w:rPr>
          <w:rFonts w:asciiTheme="majorHAnsi" w:hAnsiTheme="majorHAnsi"/>
          <w:bCs/>
          <w:i/>
          <w:sz w:val="18"/>
          <w:szCs w:val="18"/>
          <w:lang w:val="en-US"/>
        </w:rPr>
        <w:t>EUDEL</w:t>
      </w:r>
      <w:r w:rsidRPr="00E95CFC">
        <w:rPr>
          <w:rFonts w:asciiTheme="majorHAnsi" w:hAnsiTheme="majorHAnsi"/>
          <w:bCs/>
          <w:i/>
          <w:sz w:val="18"/>
          <w:szCs w:val="18"/>
        </w:rPr>
        <w:t xml:space="preserve">) </w:t>
      </w:r>
      <w:r w:rsidR="009E351D">
        <w:rPr>
          <w:rFonts w:asciiTheme="majorHAnsi" w:hAnsiTheme="majorHAnsi"/>
          <w:bCs/>
          <w:i/>
          <w:sz w:val="18"/>
          <w:szCs w:val="18"/>
        </w:rPr>
        <w:t>–</w:t>
      </w:r>
      <w:r w:rsidRPr="00E95CFC">
        <w:rPr>
          <w:rFonts w:asciiTheme="majorHAnsi" w:hAnsiTheme="majorHAnsi"/>
          <w:bCs/>
          <w:i/>
          <w:sz w:val="18"/>
          <w:szCs w:val="18"/>
        </w:rPr>
        <w:t xml:space="preserve"> </w:t>
      </w:r>
      <w:r w:rsidR="009E351D">
        <w:rPr>
          <w:rFonts w:asciiTheme="majorHAnsi" w:hAnsiTheme="majorHAnsi"/>
          <w:bCs/>
          <w:i/>
          <w:sz w:val="18"/>
          <w:szCs w:val="18"/>
        </w:rPr>
        <w:t>Αμπού – Ντάμπι</w:t>
      </w:r>
      <w:bookmarkStart w:id="43" w:name="_Συμμετοχή_των_ΗΑΕ"/>
      <w:bookmarkStart w:id="44" w:name="_Toc200448528"/>
      <w:bookmarkEnd w:id="43"/>
    </w:p>
    <w:p w14:paraId="512578AB" w14:textId="77777777" w:rsidR="009E351D" w:rsidRPr="00817F84" w:rsidRDefault="009E351D" w:rsidP="009E351D">
      <w:pPr>
        <w:rPr>
          <w:rFonts w:ascii="Arial Narrow" w:hAnsi="Arial Narrow"/>
          <w:b/>
          <w:color w:val="4F81BD" w:themeColor="accent1"/>
          <w:sz w:val="28"/>
          <w:szCs w:val="28"/>
        </w:rPr>
      </w:pPr>
      <w:r w:rsidRPr="00817F84">
        <w:rPr>
          <w:rFonts w:ascii="Arial Narrow" w:hAnsi="Arial Narrow"/>
          <w:b/>
          <w:color w:val="4F81BD" w:themeColor="accent1"/>
          <w:sz w:val="28"/>
          <w:szCs w:val="28"/>
        </w:rPr>
        <w:t xml:space="preserve">2.2.2. </w:t>
      </w:r>
      <w:r w:rsidR="002A2B29" w:rsidRPr="00817F84">
        <w:rPr>
          <w:rFonts w:ascii="Arial Narrow" w:hAnsi="Arial Narrow"/>
          <w:b/>
          <w:color w:val="4F81BD" w:themeColor="accent1"/>
          <w:sz w:val="28"/>
          <w:szCs w:val="28"/>
        </w:rPr>
        <w:t xml:space="preserve">Συμμετοχή </w:t>
      </w:r>
      <w:r w:rsidR="00F91646" w:rsidRPr="00817F84">
        <w:rPr>
          <w:rFonts w:ascii="Arial Narrow" w:hAnsi="Arial Narrow"/>
          <w:b/>
          <w:color w:val="4F81BD" w:themeColor="accent1"/>
          <w:sz w:val="28"/>
          <w:szCs w:val="28"/>
        </w:rPr>
        <w:t xml:space="preserve">των ΗΑΕ </w:t>
      </w:r>
      <w:r w:rsidR="002A2B29" w:rsidRPr="00817F84">
        <w:rPr>
          <w:rFonts w:ascii="Arial Narrow" w:hAnsi="Arial Narrow"/>
          <w:b/>
          <w:color w:val="4F81BD" w:themeColor="accent1"/>
          <w:sz w:val="28"/>
          <w:szCs w:val="28"/>
        </w:rPr>
        <w:t xml:space="preserve">σε </w:t>
      </w:r>
      <w:r w:rsidR="00E63783" w:rsidRPr="00817F84">
        <w:rPr>
          <w:rFonts w:ascii="Arial Narrow" w:hAnsi="Arial Narrow"/>
          <w:b/>
          <w:color w:val="4F81BD" w:themeColor="accent1"/>
          <w:sz w:val="28"/>
          <w:szCs w:val="28"/>
        </w:rPr>
        <w:t>Π</w:t>
      </w:r>
      <w:r w:rsidR="002A2B29" w:rsidRPr="00817F84">
        <w:rPr>
          <w:rFonts w:ascii="Arial Narrow" w:hAnsi="Arial Narrow"/>
          <w:b/>
          <w:color w:val="4F81BD" w:themeColor="accent1"/>
          <w:sz w:val="28"/>
          <w:szCs w:val="28"/>
        </w:rPr>
        <w:t xml:space="preserve">εριφερειακές </w:t>
      </w:r>
      <w:r w:rsidR="00E63783" w:rsidRPr="00817F84">
        <w:rPr>
          <w:rFonts w:ascii="Arial Narrow" w:hAnsi="Arial Narrow"/>
          <w:b/>
          <w:color w:val="4F81BD" w:themeColor="accent1"/>
          <w:sz w:val="28"/>
          <w:szCs w:val="28"/>
        </w:rPr>
        <w:t>Ο</w:t>
      </w:r>
      <w:r w:rsidR="002A2B29" w:rsidRPr="00817F84">
        <w:rPr>
          <w:rFonts w:ascii="Arial Narrow" w:hAnsi="Arial Narrow"/>
          <w:b/>
          <w:color w:val="4F81BD" w:themeColor="accent1"/>
          <w:sz w:val="28"/>
          <w:szCs w:val="28"/>
        </w:rPr>
        <w:t xml:space="preserve">ικονομικές / </w:t>
      </w:r>
      <w:r w:rsidR="00E63783" w:rsidRPr="00817F84">
        <w:rPr>
          <w:rFonts w:ascii="Arial Narrow" w:hAnsi="Arial Narrow"/>
          <w:b/>
          <w:color w:val="4F81BD" w:themeColor="accent1"/>
          <w:sz w:val="28"/>
          <w:szCs w:val="28"/>
        </w:rPr>
        <w:t>Τ</w:t>
      </w:r>
      <w:r w:rsidR="002A2B29" w:rsidRPr="00817F84">
        <w:rPr>
          <w:rFonts w:ascii="Arial Narrow" w:hAnsi="Arial Narrow"/>
          <w:b/>
          <w:color w:val="4F81BD" w:themeColor="accent1"/>
          <w:sz w:val="28"/>
          <w:szCs w:val="28"/>
        </w:rPr>
        <w:t>ελωνειακές Ενώ</w:t>
      </w:r>
      <w:bookmarkEnd w:id="44"/>
      <w:r w:rsidRPr="00817F84">
        <w:rPr>
          <w:rFonts w:ascii="Arial Narrow" w:hAnsi="Arial Narrow"/>
          <w:b/>
          <w:color w:val="4F81BD" w:themeColor="accent1"/>
          <w:sz w:val="28"/>
          <w:szCs w:val="28"/>
        </w:rPr>
        <w:t xml:space="preserve">σεις </w:t>
      </w:r>
    </w:p>
    <w:p w14:paraId="5987ECCB" w14:textId="03AE4F51" w:rsidR="00E77DDB" w:rsidRPr="00BA4492" w:rsidRDefault="00E77DDB" w:rsidP="009E351D">
      <w:pPr>
        <w:ind w:firstLine="567"/>
        <w:rPr>
          <w:rFonts w:ascii="Arial Narrow" w:hAnsi="Arial Narrow"/>
          <w:color w:val="1F497D" w:themeColor="text2"/>
          <w:sz w:val="24"/>
          <w:szCs w:val="24"/>
        </w:rPr>
      </w:pPr>
      <w:r w:rsidRPr="00BA4492">
        <w:rPr>
          <w:rFonts w:ascii="Arial Narrow" w:hAnsi="Arial Narrow" w:cs="Times New Roman"/>
          <w:sz w:val="24"/>
          <w:szCs w:val="24"/>
          <w:lang w:eastAsia="en-GB"/>
        </w:rPr>
        <w:t>Τ</w:t>
      </w:r>
      <w:r w:rsidR="00502460" w:rsidRPr="00BA4492">
        <w:rPr>
          <w:rFonts w:ascii="Arial Narrow" w:hAnsi="Arial Narrow" w:cs="Times New Roman"/>
          <w:sz w:val="24"/>
          <w:szCs w:val="24"/>
          <w:lang w:eastAsia="en-GB"/>
        </w:rPr>
        <w:t>α ΗΑΕ είναι μέλος</w:t>
      </w:r>
      <w:r w:rsidRPr="00BA4492">
        <w:rPr>
          <w:rFonts w:ascii="Arial Narrow" w:hAnsi="Arial Narrow" w:cs="Times New Roman"/>
          <w:sz w:val="24"/>
          <w:szCs w:val="24"/>
          <w:lang w:eastAsia="en-GB"/>
        </w:rPr>
        <w:t xml:space="preserve"> το</w:t>
      </w:r>
      <w:r w:rsidR="00502460" w:rsidRPr="00BA4492">
        <w:rPr>
          <w:rFonts w:ascii="Arial Narrow" w:hAnsi="Arial Narrow" w:cs="Times New Roman"/>
          <w:sz w:val="24"/>
          <w:szCs w:val="24"/>
          <w:lang w:eastAsia="en-GB"/>
        </w:rPr>
        <w:t>υ</w:t>
      </w:r>
      <w:r w:rsidRPr="00BA4492">
        <w:rPr>
          <w:rFonts w:ascii="Arial Narrow" w:hAnsi="Arial Narrow" w:cs="Times New Roman"/>
          <w:sz w:val="24"/>
          <w:szCs w:val="24"/>
          <w:lang w:eastAsia="en-GB"/>
        </w:rPr>
        <w:t xml:space="preserve"> </w:t>
      </w:r>
      <w:r w:rsidRPr="00BA4492">
        <w:rPr>
          <w:rFonts w:ascii="Arial Narrow" w:hAnsi="Arial Narrow" w:cs="Times New Roman"/>
          <w:b/>
          <w:sz w:val="24"/>
          <w:szCs w:val="24"/>
          <w:lang w:eastAsia="en-GB"/>
        </w:rPr>
        <w:t>Συμβο</w:t>
      </w:r>
      <w:r w:rsidR="00502460" w:rsidRPr="00BA4492">
        <w:rPr>
          <w:rFonts w:ascii="Arial Narrow" w:hAnsi="Arial Narrow" w:cs="Times New Roman"/>
          <w:b/>
          <w:sz w:val="24"/>
          <w:szCs w:val="24"/>
          <w:lang w:eastAsia="en-GB"/>
        </w:rPr>
        <w:t>υλίου</w:t>
      </w:r>
      <w:r w:rsidRPr="00BA4492">
        <w:rPr>
          <w:rFonts w:ascii="Arial Narrow" w:hAnsi="Arial Narrow" w:cs="Times New Roman"/>
          <w:b/>
          <w:sz w:val="24"/>
          <w:szCs w:val="24"/>
          <w:lang w:eastAsia="en-GB"/>
        </w:rPr>
        <w:t xml:space="preserve"> Συνεργασίας του Κόλπου</w:t>
      </w:r>
      <w:r w:rsidR="00BD4073" w:rsidRPr="00BA4492">
        <w:rPr>
          <w:rFonts w:ascii="Arial Narrow" w:hAnsi="Arial Narrow" w:cs="Times New Roman"/>
          <w:b/>
          <w:sz w:val="24"/>
          <w:szCs w:val="24"/>
          <w:lang w:eastAsia="en-GB"/>
        </w:rPr>
        <w:t xml:space="preserve"> - ΣΣΚ</w:t>
      </w:r>
      <w:r w:rsidRPr="00BA4492">
        <w:rPr>
          <w:rFonts w:ascii="Arial Narrow" w:hAnsi="Arial Narrow" w:cs="Times New Roman"/>
          <w:sz w:val="24"/>
          <w:szCs w:val="24"/>
          <w:lang w:eastAsia="en-GB"/>
        </w:rPr>
        <w:t xml:space="preserve"> (Gulf Cooperation Council – GCC), που αποτελείται από τα αραβικά κράτη του Περσικού Κόλπου</w:t>
      </w:r>
      <w:r w:rsidR="00BD4073" w:rsidRPr="00BA4492">
        <w:rPr>
          <w:rFonts w:ascii="Arial Narrow" w:hAnsi="Arial Narrow" w:cs="Times New Roman"/>
          <w:sz w:val="24"/>
          <w:szCs w:val="24"/>
          <w:lang w:eastAsia="en-GB"/>
        </w:rPr>
        <w:t>:</w:t>
      </w:r>
      <w:r w:rsidRPr="00BA4492">
        <w:rPr>
          <w:rFonts w:ascii="Arial Narrow" w:hAnsi="Arial Narrow" w:cs="Times New Roman"/>
          <w:sz w:val="24"/>
          <w:szCs w:val="24"/>
          <w:lang w:eastAsia="en-GB"/>
        </w:rPr>
        <w:t xml:space="preserve"> Μπαχρέιν, Κουβέιτ, Ομάν,</w:t>
      </w:r>
      <w:r w:rsidR="00BD4073" w:rsidRPr="00BA4492">
        <w:rPr>
          <w:rFonts w:ascii="Arial Narrow" w:hAnsi="Arial Narrow" w:cs="Times New Roman"/>
          <w:sz w:val="24"/>
          <w:szCs w:val="24"/>
          <w:lang w:eastAsia="en-GB"/>
        </w:rPr>
        <w:t xml:space="preserve"> </w:t>
      </w:r>
      <w:r w:rsidRPr="00BA4492">
        <w:rPr>
          <w:rFonts w:ascii="Arial Narrow" w:hAnsi="Arial Narrow" w:cs="Times New Roman"/>
          <w:sz w:val="24"/>
          <w:szCs w:val="24"/>
          <w:lang w:eastAsia="en-GB"/>
        </w:rPr>
        <w:t>Κατάρ, Σαουδική Αραβία και Η</w:t>
      </w:r>
      <w:r w:rsidR="00BD4073" w:rsidRPr="00BA4492">
        <w:rPr>
          <w:rFonts w:ascii="Arial Narrow" w:hAnsi="Arial Narrow" w:cs="Times New Roman"/>
          <w:sz w:val="24"/>
          <w:szCs w:val="24"/>
          <w:lang w:val="en-US" w:eastAsia="en-GB"/>
        </w:rPr>
        <w:t>AE</w:t>
      </w:r>
      <w:r w:rsidRPr="00BA4492">
        <w:rPr>
          <w:rFonts w:ascii="Arial Narrow" w:hAnsi="Arial Narrow" w:cs="Times New Roman"/>
          <w:sz w:val="24"/>
          <w:szCs w:val="24"/>
          <w:lang w:eastAsia="en-GB"/>
        </w:rPr>
        <w:t xml:space="preserve">. Το Συμβούλιο Συνεργασίας επιδιώκει τη </w:t>
      </w:r>
      <w:r w:rsidRPr="00BA4492">
        <w:rPr>
          <w:rFonts w:ascii="Arial Narrow" w:hAnsi="Arial Narrow" w:cs="Times New Roman"/>
          <w:b/>
          <w:sz w:val="24"/>
          <w:szCs w:val="24"/>
          <w:lang w:eastAsia="en-GB"/>
        </w:rPr>
        <w:t>σύσφιξη των μελών</w:t>
      </w:r>
      <w:r w:rsidRPr="00BA4492">
        <w:rPr>
          <w:rFonts w:ascii="Arial Narrow" w:hAnsi="Arial Narrow" w:cs="Times New Roman"/>
          <w:sz w:val="24"/>
          <w:szCs w:val="24"/>
          <w:lang w:eastAsia="en-GB"/>
        </w:rPr>
        <w:t xml:space="preserve"> του σε θέματα οικονομικής και εμπορικής συνεργασίας, εκπαίδευσης, πολιτισμού, υγείας, τουρισμού κ</w:t>
      </w:r>
      <w:r w:rsidR="00502460" w:rsidRPr="00BA4492">
        <w:rPr>
          <w:rFonts w:ascii="Arial Narrow" w:hAnsi="Arial Narrow" w:cs="Times New Roman"/>
          <w:sz w:val="24"/>
          <w:szCs w:val="24"/>
          <w:lang w:eastAsia="en-GB"/>
        </w:rPr>
        <w:t>λπ</w:t>
      </w:r>
      <w:r w:rsidRPr="00BA4492">
        <w:rPr>
          <w:rFonts w:ascii="Arial Narrow" w:hAnsi="Arial Narrow" w:cs="Times New Roman"/>
          <w:sz w:val="24"/>
          <w:szCs w:val="24"/>
          <w:lang w:eastAsia="en-GB"/>
        </w:rPr>
        <w:t xml:space="preserve">. Η </w:t>
      </w:r>
      <w:r w:rsidRPr="00BA4492">
        <w:rPr>
          <w:rFonts w:ascii="Arial Narrow" w:hAnsi="Arial Narrow" w:cs="Times New Roman"/>
          <w:b/>
          <w:sz w:val="24"/>
          <w:szCs w:val="24"/>
          <w:lang w:eastAsia="en-GB"/>
        </w:rPr>
        <w:t>Γενική Γραμματεία</w:t>
      </w:r>
      <w:r w:rsidRPr="00BA4492">
        <w:rPr>
          <w:rFonts w:ascii="Arial Narrow" w:hAnsi="Arial Narrow" w:cs="Times New Roman"/>
          <w:sz w:val="24"/>
          <w:szCs w:val="24"/>
          <w:lang w:eastAsia="en-GB"/>
        </w:rPr>
        <w:t xml:space="preserve"> του Συμβουλίου εδρεύει στο </w:t>
      </w:r>
      <w:r w:rsidRPr="00BA4492">
        <w:rPr>
          <w:rFonts w:ascii="Arial Narrow" w:hAnsi="Arial Narrow" w:cs="Times New Roman"/>
          <w:b/>
          <w:sz w:val="24"/>
          <w:szCs w:val="24"/>
          <w:lang w:eastAsia="en-GB"/>
        </w:rPr>
        <w:t>Ριάντ</w:t>
      </w:r>
      <w:r w:rsidRPr="00BA4492">
        <w:rPr>
          <w:rFonts w:ascii="Arial Narrow" w:hAnsi="Arial Narrow" w:cs="Times New Roman"/>
          <w:sz w:val="24"/>
          <w:szCs w:val="24"/>
          <w:lang w:eastAsia="en-GB"/>
        </w:rPr>
        <w:t xml:space="preserve"> της Σαουδικής Αραβία</w:t>
      </w:r>
      <w:r w:rsidR="00502460" w:rsidRPr="00BA4492">
        <w:rPr>
          <w:rFonts w:ascii="Arial Narrow" w:hAnsi="Arial Narrow" w:cs="Times New Roman"/>
          <w:sz w:val="24"/>
          <w:szCs w:val="24"/>
          <w:lang w:eastAsia="en-GB"/>
        </w:rPr>
        <w:t>ς,</w:t>
      </w:r>
      <w:r w:rsidRPr="00BA4492">
        <w:rPr>
          <w:rFonts w:ascii="Arial Narrow" w:hAnsi="Arial Narrow" w:cs="Times New Roman"/>
          <w:sz w:val="24"/>
          <w:szCs w:val="24"/>
          <w:lang w:eastAsia="en-GB"/>
        </w:rPr>
        <w:t xml:space="preserve"> ενώ κάθε χώρα ασκεί την προεδρία του Συμβουλίου εκ περιτροπής </w:t>
      </w:r>
      <w:r w:rsidR="00502460" w:rsidRPr="00BA4492">
        <w:rPr>
          <w:rFonts w:ascii="Arial Narrow" w:hAnsi="Arial Narrow" w:cs="Times New Roman"/>
          <w:sz w:val="24"/>
          <w:szCs w:val="24"/>
          <w:lang w:eastAsia="en-GB"/>
        </w:rPr>
        <w:t>ανά</w:t>
      </w:r>
      <w:r w:rsidRPr="00BA4492">
        <w:rPr>
          <w:rFonts w:ascii="Arial Narrow" w:hAnsi="Arial Narrow" w:cs="Times New Roman"/>
          <w:sz w:val="24"/>
          <w:szCs w:val="24"/>
          <w:lang w:eastAsia="en-GB"/>
        </w:rPr>
        <w:t xml:space="preserve"> έτος.</w:t>
      </w:r>
    </w:p>
    <w:p w14:paraId="45DE6067" w14:textId="77777777" w:rsidR="007C3681" w:rsidRPr="00BA4492" w:rsidRDefault="00542968" w:rsidP="00EF4904">
      <w:pPr>
        <w:ind w:firstLine="567"/>
        <w:jc w:val="both"/>
        <w:rPr>
          <w:rFonts w:ascii="Arial Narrow" w:hAnsi="Arial Narrow" w:cs="Times New Roman"/>
          <w:sz w:val="24"/>
          <w:szCs w:val="24"/>
          <w:lang w:eastAsia="en-GB"/>
        </w:rPr>
      </w:pPr>
      <w:r w:rsidRPr="00BA4492">
        <w:rPr>
          <w:rFonts w:ascii="Arial Narrow" w:hAnsi="Arial Narrow" w:cs="Times New Roman"/>
          <w:sz w:val="24"/>
          <w:szCs w:val="24"/>
          <w:lang w:eastAsia="en-GB"/>
        </w:rPr>
        <w:t xml:space="preserve">Την 1η Ιανουαρίου 2003, </w:t>
      </w:r>
      <w:r w:rsidR="00502460" w:rsidRPr="00BA4492">
        <w:rPr>
          <w:rFonts w:ascii="Arial Narrow" w:hAnsi="Arial Narrow" w:cs="Times New Roman"/>
          <w:sz w:val="24"/>
          <w:szCs w:val="24"/>
          <w:lang w:eastAsia="en-GB"/>
        </w:rPr>
        <w:t>οι χώρες-</w:t>
      </w:r>
      <w:r w:rsidRPr="00BA4492">
        <w:rPr>
          <w:rFonts w:ascii="Arial Narrow" w:hAnsi="Arial Narrow" w:cs="Times New Roman"/>
          <w:sz w:val="24"/>
          <w:szCs w:val="24"/>
          <w:lang w:eastAsia="en-GB"/>
        </w:rPr>
        <w:t xml:space="preserve">μέλη του ΣΣΚ πέτυχαν ένα σημαντικό βήμα με τη δημιουργία της </w:t>
      </w:r>
      <w:r w:rsidRPr="00BA4492">
        <w:rPr>
          <w:rFonts w:ascii="Arial Narrow" w:hAnsi="Arial Narrow" w:cs="Times New Roman"/>
          <w:b/>
          <w:sz w:val="24"/>
          <w:szCs w:val="24"/>
          <w:lang w:eastAsia="en-GB"/>
        </w:rPr>
        <w:t>Τελωνειακής Ένωσης</w:t>
      </w:r>
      <w:r w:rsidR="00502460" w:rsidRPr="00BA4492">
        <w:rPr>
          <w:rFonts w:ascii="Arial Narrow" w:hAnsi="Arial Narrow" w:cs="Times New Roman"/>
          <w:sz w:val="24"/>
          <w:szCs w:val="24"/>
          <w:lang w:eastAsia="en-GB"/>
        </w:rPr>
        <w:t>, στην οποία</w:t>
      </w:r>
      <w:r w:rsidRPr="00BA4492">
        <w:rPr>
          <w:rFonts w:ascii="Arial Narrow" w:hAnsi="Arial Narrow" w:cs="Times New Roman"/>
          <w:sz w:val="24"/>
          <w:szCs w:val="24"/>
          <w:lang w:eastAsia="en-GB"/>
        </w:rPr>
        <w:t xml:space="preserve"> επιβλήθηκε </w:t>
      </w:r>
      <w:r w:rsidRPr="00BA4492">
        <w:rPr>
          <w:rFonts w:ascii="Arial Narrow" w:hAnsi="Arial Narrow" w:cs="Times New Roman"/>
          <w:b/>
          <w:sz w:val="24"/>
          <w:szCs w:val="24"/>
          <w:lang w:eastAsia="en-GB"/>
        </w:rPr>
        <w:t>κοινό εξωτερικ</w:t>
      </w:r>
      <w:r w:rsidR="00502460" w:rsidRPr="00BA4492">
        <w:rPr>
          <w:rFonts w:ascii="Arial Narrow" w:hAnsi="Arial Narrow" w:cs="Times New Roman"/>
          <w:b/>
          <w:sz w:val="24"/>
          <w:szCs w:val="24"/>
          <w:lang w:eastAsia="en-GB"/>
        </w:rPr>
        <w:t>ό δασμολόγιο</w:t>
      </w:r>
      <w:r w:rsidR="007C3681" w:rsidRPr="00BA4492">
        <w:rPr>
          <w:rFonts w:ascii="Arial Narrow" w:hAnsi="Arial Narrow" w:cs="Times New Roman"/>
          <w:b/>
          <w:sz w:val="24"/>
          <w:szCs w:val="24"/>
          <w:lang w:eastAsia="en-GB"/>
        </w:rPr>
        <w:t>,</w:t>
      </w:r>
      <w:r w:rsidR="00502460" w:rsidRPr="00BA4492">
        <w:rPr>
          <w:rFonts w:ascii="Arial Narrow" w:hAnsi="Arial Narrow" w:cs="Times New Roman"/>
          <w:b/>
          <w:sz w:val="24"/>
          <w:szCs w:val="24"/>
          <w:lang w:eastAsia="en-GB"/>
        </w:rPr>
        <w:t xml:space="preserve"> ύψους</w:t>
      </w:r>
      <w:r w:rsidRPr="00BA4492">
        <w:rPr>
          <w:rFonts w:ascii="Arial Narrow" w:hAnsi="Arial Narrow" w:cs="Times New Roman"/>
          <w:b/>
          <w:sz w:val="24"/>
          <w:szCs w:val="24"/>
          <w:lang w:eastAsia="en-GB"/>
        </w:rPr>
        <w:t xml:space="preserve"> 5%</w:t>
      </w:r>
      <w:r w:rsidR="007C3681" w:rsidRPr="00BA4492">
        <w:rPr>
          <w:rFonts w:ascii="Arial Narrow" w:hAnsi="Arial Narrow" w:cs="Times New Roman"/>
          <w:b/>
          <w:sz w:val="24"/>
          <w:szCs w:val="24"/>
          <w:lang w:eastAsia="en-GB"/>
        </w:rPr>
        <w:t>,</w:t>
      </w:r>
      <w:r w:rsidRPr="00BA4492">
        <w:rPr>
          <w:rFonts w:ascii="Arial Narrow" w:hAnsi="Arial Narrow" w:cs="Times New Roman"/>
          <w:sz w:val="24"/>
          <w:szCs w:val="24"/>
          <w:lang w:eastAsia="en-GB"/>
        </w:rPr>
        <w:t xml:space="preserve"> σε όλες τις ξένες εισαγωγές και, θεωρητικά, </w:t>
      </w:r>
      <w:r w:rsidRPr="00BA4492">
        <w:rPr>
          <w:rFonts w:ascii="Arial Narrow" w:hAnsi="Arial Narrow" w:cs="Times New Roman"/>
          <w:b/>
          <w:sz w:val="24"/>
          <w:szCs w:val="24"/>
          <w:lang w:eastAsia="en-GB"/>
        </w:rPr>
        <w:t>κατάργηση κάθε δασμολογικού και μη δασμολογικού εμποδίου</w:t>
      </w:r>
      <w:r w:rsidRPr="00BA4492">
        <w:rPr>
          <w:rFonts w:ascii="Arial Narrow" w:hAnsi="Arial Narrow" w:cs="Times New Roman"/>
          <w:sz w:val="24"/>
          <w:szCs w:val="24"/>
          <w:lang w:eastAsia="en-GB"/>
        </w:rPr>
        <w:t xml:space="preserve"> για το εμπόριο εντός του ΣΣΚ. Στην πράξη, δεν έχει επέλθει πλήρης εφαρμογή, καθώς παραμένουν διαφοροποιήσεις μεταξύ χωρών-μελών σε θέματα (φυτο)υγειονομικών πιστοποιητικών κ.ά.. </w:t>
      </w:r>
    </w:p>
    <w:p w14:paraId="37A20EA4" w14:textId="374D0571" w:rsidR="00E975EF" w:rsidRPr="00BA4492" w:rsidRDefault="00E975EF" w:rsidP="00EF4904">
      <w:pPr>
        <w:ind w:firstLine="567"/>
        <w:jc w:val="both"/>
        <w:rPr>
          <w:rFonts w:ascii="Arial Narrow" w:hAnsi="Arial Narrow" w:cs="Times New Roman"/>
          <w:sz w:val="24"/>
          <w:szCs w:val="24"/>
          <w:lang w:eastAsia="en-GB"/>
        </w:rPr>
      </w:pPr>
      <w:r w:rsidRPr="00BA4492">
        <w:rPr>
          <w:rFonts w:ascii="Arial Narrow" w:hAnsi="Arial Narrow" w:cs="Times New Roman"/>
          <w:sz w:val="24"/>
          <w:szCs w:val="24"/>
          <w:lang w:eastAsia="en-GB"/>
        </w:rPr>
        <w:t>Την 1</w:t>
      </w:r>
      <w:r w:rsidRPr="00BA4492">
        <w:rPr>
          <w:rFonts w:ascii="Arial Narrow" w:hAnsi="Arial Narrow" w:cs="Times New Roman"/>
          <w:sz w:val="24"/>
          <w:szCs w:val="24"/>
          <w:vertAlign w:val="superscript"/>
          <w:lang w:eastAsia="en-GB"/>
        </w:rPr>
        <w:t>η</w:t>
      </w:r>
      <w:r w:rsidRPr="00BA4492">
        <w:rPr>
          <w:rFonts w:ascii="Arial Narrow" w:hAnsi="Arial Narrow" w:cs="Times New Roman"/>
          <w:sz w:val="24"/>
          <w:szCs w:val="24"/>
          <w:lang w:eastAsia="en-GB"/>
        </w:rPr>
        <w:t xml:space="preserve"> Ιανουαρίου 2008 εγκαινιάστηκε </w:t>
      </w:r>
      <w:r w:rsidR="00862F07" w:rsidRPr="00BA4492">
        <w:rPr>
          <w:rFonts w:ascii="Arial Narrow" w:hAnsi="Arial Narrow" w:cs="Times New Roman"/>
          <w:sz w:val="24"/>
          <w:szCs w:val="24"/>
          <w:lang w:eastAsia="en-GB"/>
        </w:rPr>
        <w:t xml:space="preserve">η </w:t>
      </w:r>
      <w:r w:rsidRPr="00BA4492">
        <w:rPr>
          <w:rFonts w:ascii="Arial Narrow" w:hAnsi="Arial Narrow" w:cs="Times New Roman"/>
          <w:b/>
          <w:sz w:val="24"/>
          <w:szCs w:val="24"/>
          <w:lang w:eastAsia="en-GB"/>
        </w:rPr>
        <w:t>Κοινή Αγορά</w:t>
      </w:r>
      <w:r w:rsidRPr="00BA4492">
        <w:rPr>
          <w:rFonts w:ascii="Arial Narrow" w:hAnsi="Arial Narrow" w:cs="Times New Roman"/>
          <w:sz w:val="24"/>
          <w:szCs w:val="24"/>
          <w:lang w:eastAsia="en-GB"/>
        </w:rPr>
        <w:t xml:space="preserve"> με σχέδια για την υλοποίηση μιας πλήρως ολοκληρωμένης </w:t>
      </w:r>
      <w:r w:rsidR="00502460" w:rsidRPr="00BA4492">
        <w:rPr>
          <w:rFonts w:ascii="Arial Narrow" w:hAnsi="Arial Narrow" w:cs="Times New Roman"/>
          <w:sz w:val="24"/>
          <w:szCs w:val="24"/>
          <w:lang w:eastAsia="en-GB"/>
        </w:rPr>
        <w:t>Ε</w:t>
      </w:r>
      <w:r w:rsidRPr="00BA4492">
        <w:rPr>
          <w:rFonts w:ascii="Arial Narrow" w:hAnsi="Arial Narrow" w:cs="Times New Roman"/>
          <w:sz w:val="24"/>
          <w:szCs w:val="24"/>
          <w:lang w:eastAsia="en-GB"/>
        </w:rPr>
        <w:t xml:space="preserve">νιαίας </w:t>
      </w:r>
      <w:r w:rsidR="00502460" w:rsidRPr="00BA4492">
        <w:rPr>
          <w:rFonts w:ascii="Arial Narrow" w:hAnsi="Arial Narrow" w:cs="Times New Roman"/>
          <w:sz w:val="24"/>
          <w:szCs w:val="24"/>
          <w:lang w:eastAsia="en-GB"/>
        </w:rPr>
        <w:t>Α</w:t>
      </w:r>
      <w:r w:rsidRPr="00BA4492">
        <w:rPr>
          <w:rFonts w:ascii="Arial Narrow" w:hAnsi="Arial Narrow" w:cs="Times New Roman"/>
          <w:sz w:val="24"/>
          <w:szCs w:val="24"/>
          <w:lang w:eastAsia="en-GB"/>
        </w:rPr>
        <w:t xml:space="preserve">γοράς, η οποία </w:t>
      </w:r>
      <w:r w:rsidR="00862F07" w:rsidRPr="00BA4492">
        <w:rPr>
          <w:rFonts w:ascii="Arial Narrow" w:hAnsi="Arial Narrow" w:cs="Times New Roman"/>
          <w:sz w:val="24"/>
          <w:szCs w:val="24"/>
          <w:lang w:eastAsia="en-GB"/>
        </w:rPr>
        <w:t xml:space="preserve">θα </w:t>
      </w:r>
      <w:r w:rsidRPr="00BA4492">
        <w:rPr>
          <w:rFonts w:ascii="Arial Narrow" w:hAnsi="Arial Narrow" w:cs="Times New Roman"/>
          <w:sz w:val="24"/>
          <w:szCs w:val="24"/>
          <w:lang w:eastAsia="en-GB"/>
        </w:rPr>
        <w:t>διευκόλυνε τη διακίνηση αγαθών</w:t>
      </w:r>
      <w:r w:rsidR="00862F07" w:rsidRPr="00BA4492">
        <w:rPr>
          <w:rFonts w:ascii="Arial Narrow" w:hAnsi="Arial Narrow" w:cs="Times New Roman"/>
          <w:sz w:val="24"/>
          <w:szCs w:val="24"/>
          <w:lang w:eastAsia="en-GB"/>
        </w:rPr>
        <w:t>,</w:t>
      </w:r>
      <w:r w:rsidRPr="00BA4492">
        <w:rPr>
          <w:rFonts w:ascii="Arial Narrow" w:hAnsi="Arial Narrow" w:cs="Times New Roman"/>
          <w:sz w:val="24"/>
          <w:szCs w:val="24"/>
          <w:lang w:eastAsia="en-GB"/>
        </w:rPr>
        <w:t xml:space="preserve"> υπηρεσιών</w:t>
      </w:r>
      <w:r w:rsidR="00862F07" w:rsidRPr="00BA4492">
        <w:rPr>
          <w:rFonts w:ascii="Arial Narrow" w:hAnsi="Arial Narrow" w:cs="Times New Roman"/>
          <w:sz w:val="24"/>
          <w:szCs w:val="24"/>
          <w:lang w:eastAsia="en-GB"/>
        </w:rPr>
        <w:t>, κεφαλαίων και ανθρώπων</w:t>
      </w:r>
      <w:r w:rsidRPr="00BA4492">
        <w:rPr>
          <w:rFonts w:ascii="Arial Narrow" w:hAnsi="Arial Narrow" w:cs="Times New Roman"/>
          <w:sz w:val="24"/>
          <w:szCs w:val="24"/>
          <w:lang w:eastAsia="en-GB"/>
        </w:rPr>
        <w:t xml:space="preserve">. Ωστόσο, η εφαρμογή </w:t>
      </w:r>
      <w:r w:rsidR="00FF5CBE" w:rsidRPr="00BA4492">
        <w:rPr>
          <w:rFonts w:ascii="Arial Narrow" w:hAnsi="Arial Narrow" w:cs="Times New Roman"/>
          <w:sz w:val="24"/>
          <w:szCs w:val="24"/>
          <w:lang w:eastAsia="en-GB"/>
        </w:rPr>
        <w:t xml:space="preserve">Ενιαίας Αγοράς </w:t>
      </w:r>
      <w:r w:rsidRPr="00BA4492">
        <w:rPr>
          <w:rFonts w:ascii="Arial Narrow" w:hAnsi="Arial Narrow" w:cs="Times New Roman"/>
          <w:sz w:val="24"/>
          <w:szCs w:val="24"/>
          <w:lang w:eastAsia="en-GB"/>
        </w:rPr>
        <w:t>καθυστέρησε μετά την οικονομική κρίση του 2009</w:t>
      </w:r>
      <w:r w:rsidR="00542968" w:rsidRPr="00BA4492">
        <w:rPr>
          <w:rFonts w:ascii="Arial Narrow" w:hAnsi="Arial Narrow" w:cs="Times New Roman"/>
          <w:sz w:val="24"/>
          <w:szCs w:val="24"/>
          <w:lang w:eastAsia="en-GB"/>
        </w:rPr>
        <w:t xml:space="preserve"> και ορισμένα </w:t>
      </w:r>
      <w:r w:rsidR="00862F07" w:rsidRPr="00BA4492">
        <w:rPr>
          <w:rFonts w:ascii="Arial Narrow" w:hAnsi="Arial Narrow" w:cs="Times New Roman"/>
          <w:sz w:val="24"/>
          <w:szCs w:val="24"/>
          <w:lang w:eastAsia="en-GB"/>
        </w:rPr>
        <w:t xml:space="preserve">σημαντικά </w:t>
      </w:r>
      <w:r w:rsidR="00542968" w:rsidRPr="00BA4492">
        <w:rPr>
          <w:rFonts w:ascii="Arial Narrow" w:hAnsi="Arial Narrow" w:cs="Times New Roman"/>
          <w:sz w:val="24"/>
          <w:szCs w:val="24"/>
          <w:lang w:eastAsia="en-GB"/>
        </w:rPr>
        <w:t xml:space="preserve">εμπόδια </w:t>
      </w:r>
      <w:r w:rsidR="002D4759" w:rsidRPr="00BA4492">
        <w:rPr>
          <w:rFonts w:ascii="Arial Narrow" w:hAnsi="Arial Narrow" w:cs="Times New Roman"/>
          <w:sz w:val="24"/>
          <w:szCs w:val="24"/>
          <w:lang w:eastAsia="en-GB"/>
        </w:rPr>
        <w:t xml:space="preserve">ακόμα </w:t>
      </w:r>
      <w:r w:rsidR="00862F07" w:rsidRPr="00BA4492">
        <w:rPr>
          <w:rFonts w:ascii="Arial Narrow" w:hAnsi="Arial Narrow" w:cs="Times New Roman"/>
          <w:sz w:val="24"/>
          <w:szCs w:val="24"/>
          <w:lang w:eastAsia="en-GB"/>
        </w:rPr>
        <w:t>παραμένουν</w:t>
      </w:r>
      <w:r w:rsidR="00502460" w:rsidRPr="00BA4492">
        <w:rPr>
          <w:rFonts w:ascii="Arial Narrow" w:hAnsi="Arial Narrow" w:cs="Times New Roman"/>
          <w:sz w:val="24"/>
          <w:szCs w:val="24"/>
          <w:lang w:eastAsia="en-GB"/>
        </w:rPr>
        <w:t>.</w:t>
      </w:r>
      <w:r w:rsidRPr="00BA4492">
        <w:rPr>
          <w:rFonts w:ascii="Arial Narrow" w:hAnsi="Arial Narrow" w:cs="Times New Roman"/>
          <w:sz w:val="24"/>
          <w:szCs w:val="24"/>
          <w:lang w:eastAsia="en-GB"/>
        </w:rPr>
        <w:t xml:space="preserve"> </w:t>
      </w:r>
    </w:p>
    <w:p w14:paraId="375B8ED5" w14:textId="5D884E90" w:rsidR="00823DB0" w:rsidRPr="00BA4492" w:rsidRDefault="00E77531" w:rsidP="00C42B9C">
      <w:pPr>
        <w:spacing w:after="120"/>
        <w:ind w:firstLine="567"/>
        <w:jc w:val="both"/>
        <w:rPr>
          <w:rFonts w:ascii="Arial Narrow" w:hAnsi="Arial Narrow" w:cs="Times New Roman"/>
          <w:sz w:val="24"/>
          <w:szCs w:val="24"/>
        </w:rPr>
      </w:pPr>
      <w:r w:rsidRPr="00BA4492">
        <w:rPr>
          <w:rFonts w:ascii="Arial Narrow" w:hAnsi="Arial Narrow" w:cs="Times New Roman"/>
          <w:sz w:val="24"/>
          <w:szCs w:val="24"/>
        </w:rPr>
        <w:t xml:space="preserve">Λόγω του διαφαινόμενου αδιεξόδου σε επίπεδο ΣΣΚ, αλλά και εθνικών στρατηγικών προτεραιοτήτων, τα ΗΑΕ κινούνται </w:t>
      </w:r>
      <w:r w:rsidRPr="00BA4492">
        <w:rPr>
          <w:rFonts w:ascii="Arial Narrow" w:hAnsi="Arial Narrow" w:cs="Times New Roman"/>
          <w:b/>
          <w:sz w:val="24"/>
          <w:szCs w:val="24"/>
        </w:rPr>
        <w:t>επιθετικά στο πεδίο της οικονομικής διπλωματίας</w:t>
      </w:r>
      <w:r w:rsidRPr="00BA4492">
        <w:rPr>
          <w:rFonts w:ascii="Arial Narrow" w:hAnsi="Arial Narrow" w:cs="Times New Roman"/>
          <w:sz w:val="24"/>
          <w:szCs w:val="24"/>
        </w:rPr>
        <w:t xml:space="preserve">, μετά την πανδημία, επιδιώκοντας διαπραγματεύσεις για διμερείς εμπορικές συμφωνίες με πληθώρα κρατών. </w:t>
      </w:r>
      <w:r w:rsidR="00823DB0" w:rsidRPr="00BA4492">
        <w:rPr>
          <w:rFonts w:ascii="Arial Narrow" w:hAnsi="Arial Narrow" w:cs="Times New Roman"/>
          <w:sz w:val="24"/>
          <w:szCs w:val="24"/>
        </w:rPr>
        <w:t>Φιλοδοξία ΗΑΕ είναι να καταστούν εμπορικός κόμβος για όλο τον κόσμο, έχοντας κατά νου την αναλογία Κίνας-Χ</w:t>
      </w:r>
      <w:r w:rsidR="00970372" w:rsidRPr="00BA4492">
        <w:rPr>
          <w:rFonts w:ascii="Arial Narrow" w:hAnsi="Arial Narrow" w:cs="Times New Roman"/>
          <w:sz w:val="24"/>
          <w:szCs w:val="24"/>
        </w:rPr>
        <w:t>ο</w:t>
      </w:r>
      <w:r w:rsidR="00823DB0" w:rsidRPr="00BA4492">
        <w:rPr>
          <w:rFonts w:ascii="Arial Narrow" w:hAnsi="Arial Narrow" w:cs="Times New Roman"/>
          <w:sz w:val="24"/>
          <w:szCs w:val="24"/>
        </w:rPr>
        <w:t>νγκ Κονγκ και Ινδίας-ΗΑΕ. Η στρατηγική έχει αποδώσει άμεσα οφέλη.</w:t>
      </w:r>
    </w:p>
    <w:p w14:paraId="365563C7" w14:textId="7816FDB5" w:rsidR="004A14F1" w:rsidRPr="00BA4492" w:rsidRDefault="004A14F1" w:rsidP="004A14F1">
      <w:pPr>
        <w:spacing w:before="120" w:after="120"/>
        <w:ind w:firstLine="720"/>
        <w:jc w:val="both"/>
        <w:rPr>
          <w:rFonts w:ascii="Arial Narrow" w:eastAsia="Times New Roman" w:hAnsi="Arial Narrow" w:cs="Times New Roman"/>
          <w:sz w:val="24"/>
          <w:szCs w:val="24"/>
          <w:shd w:val="clear" w:color="auto" w:fill="FFFFFF"/>
        </w:rPr>
      </w:pPr>
      <w:r w:rsidRPr="00BA4492">
        <w:rPr>
          <w:rFonts w:ascii="Arial Narrow" w:eastAsia="Times New Roman" w:hAnsi="Arial Narrow" w:cs="Times New Roman"/>
          <w:sz w:val="24"/>
          <w:szCs w:val="24"/>
          <w:shd w:val="clear" w:color="auto" w:fill="FFFFFF"/>
        </w:rPr>
        <w:t>Τ</w:t>
      </w:r>
      <w:r w:rsidR="00970372" w:rsidRPr="00BA4492">
        <w:rPr>
          <w:rFonts w:ascii="Arial Narrow" w:eastAsia="Times New Roman" w:hAnsi="Arial Narrow" w:cs="Times New Roman"/>
          <w:sz w:val="24"/>
          <w:szCs w:val="24"/>
          <w:shd w:val="clear" w:color="auto" w:fill="FFFFFF"/>
          <w:lang w:val="en-US"/>
        </w:rPr>
        <w:t>o</w:t>
      </w:r>
      <w:r w:rsidR="00970372" w:rsidRPr="00BA4492">
        <w:rPr>
          <w:rFonts w:ascii="Arial Narrow" w:eastAsia="Times New Roman" w:hAnsi="Arial Narrow" w:cs="Times New Roman"/>
          <w:sz w:val="24"/>
          <w:szCs w:val="24"/>
          <w:shd w:val="clear" w:color="auto" w:fill="FFFFFF"/>
        </w:rPr>
        <w:t xml:space="preserve"> 2024, τ</w:t>
      </w:r>
      <w:r w:rsidR="00E53FDA" w:rsidRPr="00BA4492">
        <w:rPr>
          <w:rFonts w:ascii="Arial Narrow" w:eastAsia="Times New Roman" w:hAnsi="Arial Narrow" w:cs="Times New Roman"/>
          <w:sz w:val="24"/>
          <w:szCs w:val="24"/>
          <w:shd w:val="clear" w:color="auto" w:fill="FFFFFF"/>
        </w:rPr>
        <w:t xml:space="preserve">α ΗΑΕ πραγματοποίησαν </w:t>
      </w:r>
      <w:r w:rsidRPr="00BA4492">
        <w:rPr>
          <w:rFonts w:ascii="Arial Narrow" w:eastAsia="Times New Roman" w:hAnsi="Arial Narrow" w:cs="Times New Roman"/>
          <w:sz w:val="24"/>
          <w:szCs w:val="24"/>
          <w:shd w:val="clear" w:color="auto" w:fill="FFFFFF"/>
        </w:rPr>
        <w:t>σημαντικές επιτυχίες σ</w:t>
      </w:r>
      <w:r w:rsidR="00E53FDA" w:rsidRPr="00BA4492">
        <w:rPr>
          <w:rFonts w:ascii="Arial Narrow" w:eastAsia="Times New Roman" w:hAnsi="Arial Narrow" w:cs="Times New Roman"/>
          <w:sz w:val="24"/>
          <w:szCs w:val="24"/>
          <w:shd w:val="clear" w:color="auto" w:fill="FFFFFF"/>
        </w:rPr>
        <w:t>ε πολυμερές επίπεδο</w:t>
      </w:r>
      <w:r w:rsidRPr="00BA4492">
        <w:rPr>
          <w:rFonts w:ascii="Arial Narrow" w:eastAsia="Times New Roman" w:hAnsi="Arial Narrow" w:cs="Times New Roman"/>
          <w:sz w:val="24"/>
          <w:szCs w:val="24"/>
          <w:shd w:val="clear" w:color="auto" w:fill="FFFFFF"/>
        </w:rPr>
        <w:t xml:space="preserve">: η εισδοχή στο σχήμα </w:t>
      </w:r>
      <w:r w:rsidRPr="00BA4492">
        <w:rPr>
          <w:rFonts w:ascii="Arial Narrow" w:eastAsia="Times New Roman" w:hAnsi="Arial Narrow" w:cs="Times New Roman"/>
          <w:b/>
          <w:bCs/>
          <w:sz w:val="24"/>
          <w:szCs w:val="24"/>
          <w:shd w:val="clear" w:color="auto" w:fill="FFFFFF"/>
        </w:rPr>
        <w:t>BRICS</w:t>
      </w:r>
      <w:r w:rsidRPr="00BA4492">
        <w:rPr>
          <w:rFonts w:ascii="Arial Narrow" w:eastAsia="Times New Roman" w:hAnsi="Arial Narrow" w:cs="Times New Roman"/>
          <w:sz w:val="24"/>
          <w:szCs w:val="24"/>
          <w:shd w:val="clear" w:color="auto" w:fill="FFFFFF"/>
        </w:rPr>
        <w:t xml:space="preserve"> από 1.1.2024, η συμμετοχή στον προτεινόμενο </w:t>
      </w:r>
      <w:r w:rsidRPr="00BA4492">
        <w:rPr>
          <w:rFonts w:ascii="Arial Narrow" w:eastAsia="Times New Roman" w:hAnsi="Arial Narrow" w:cs="Times New Roman"/>
          <w:b/>
          <w:bCs/>
          <w:sz w:val="24"/>
          <w:szCs w:val="24"/>
          <w:shd w:val="clear" w:color="auto" w:fill="FFFFFF"/>
        </w:rPr>
        <w:t xml:space="preserve">Διάδρομο Ινδίας – Μέσης Ανατολής – </w:t>
      </w:r>
      <w:r w:rsidR="00617A7D" w:rsidRPr="00BA4492">
        <w:rPr>
          <w:rFonts w:ascii="Arial Narrow" w:eastAsia="Times New Roman" w:hAnsi="Arial Narrow" w:cs="Times New Roman"/>
          <w:b/>
          <w:bCs/>
          <w:sz w:val="24"/>
          <w:szCs w:val="24"/>
          <w:shd w:val="clear" w:color="auto" w:fill="FFFFFF"/>
        </w:rPr>
        <w:t>Ευρώ</w:t>
      </w:r>
      <w:r w:rsidRPr="00BA4492">
        <w:rPr>
          <w:rFonts w:ascii="Arial Narrow" w:eastAsia="Times New Roman" w:hAnsi="Arial Narrow" w:cs="Times New Roman"/>
          <w:b/>
          <w:bCs/>
          <w:sz w:val="24"/>
          <w:szCs w:val="24"/>
          <w:shd w:val="clear" w:color="auto" w:fill="FFFFFF"/>
        </w:rPr>
        <w:t>πης (Indi</w:t>
      </w:r>
      <w:r w:rsidR="004D2C30" w:rsidRPr="00BA4492">
        <w:rPr>
          <w:rFonts w:ascii="Arial Narrow" w:eastAsia="Times New Roman" w:hAnsi="Arial Narrow" w:cs="Times New Roman"/>
          <w:b/>
          <w:bCs/>
          <w:sz w:val="24"/>
          <w:szCs w:val="24"/>
          <w:shd w:val="clear" w:color="auto" w:fill="FFFFFF"/>
          <w:lang w:val="en-US"/>
        </w:rPr>
        <w:t>a</w:t>
      </w:r>
      <w:r w:rsidR="004D2C30" w:rsidRPr="00BA4492">
        <w:rPr>
          <w:rFonts w:ascii="Arial Narrow" w:eastAsia="Times New Roman" w:hAnsi="Arial Narrow" w:cs="Times New Roman"/>
          <w:b/>
          <w:bCs/>
          <w:sz w:val="24"/>
          <w:szCs w:val="24"/>
          <w:shd w:val="clear" w:color="auto" w:fill="FFFFFF"/>
        </w:rPr>
        <w:t xml:space="preserve"> - </w:t>
      </w:r>
      <w:r w:rsidRPr="00BA4492">
        <w:rPr>
          <w:rFonts w:ascii="Arial Narrow" w:eastAsia="Times New Roman" w:hAnsi="Arial Narrow" w:cs="Times New Roman"/>
          <w:b/>
          <w:bCs/>
          <w:sz w:val="24"/>
          <w:szCs w:val="24"/>
          <w:shd w:val="clear" w:color="auto" w:fill="FFFFFF"/>
        </w:rPr>
        <w:t>Middle East</w:t>
      </w:r>
      <w:r w:rsidR="004D2C30" w:rsidRPr="00BA4492">
        <w:rPr>
          <w:rFonts w:ascii="Arial Narrow" w:eastAsia="Times New Roman" w:hAnsi="Arial Narrow" w:cs="Times New Roman"/>
          <w:b/>
          <w:bCs/>
          <w:sz w:val="24"/>
          <w:szCs w:val="24"/>
          <w:shd w:val="clear" w:color="auto" w:fill="FFFFFF"/>
        </w:rPr>
        <w:t xml:space="preserve"> - </w:t>
      </w:r>
      <w:r w:rsidRPr="00BA4492">
        <w:rPr>
          <w:rFonts w:ascii="Arial Narrow" w:eastAsia="Times New Roman" w:hAnsi="Arial Narrow" w:cs="Times New Roman"/>
          <w:b/>
          <w:bCs/>
          <w:sz w:val="24"/>
          <w:szCs w:val="24"/>
          <w:shd w:val="clear" w:color="auto" w:fill="FFFFFF"/>
        </w:rPr>
        <w:t>Europe Corridor</w:t>
      </w:r>
      <w:r w:rsidR="004D2C30" w:rsidRPr="00BA4492">
        <w:rPr>
          <w:rFonts w:ascii="Arial Narrow" w:eastAsia="Times New Roman" w:hAnsi="Arial Narrow" w:cs="Times New Roman"/>
          <w:b/>
          <w:bCs/>
          <w:sz w:val="24"/>
          <w:szCs w:val="24"/>
          <w:shd w:val="clear" w:color="auto" w:fill="FFFFFF"/>
        </w:rPr>
        <w:t xml:space="preserve"> – </w:t>
      </w:r>
      <w:r w:rsidRPr="00BA4492">
        <w:rPr>
          <w:rFonts w:ascii="Arial Narrow" w:eastAsia="Times New Roman" w:hAnsi="Arial Narrow" w:cs="Times New Roman"/>
          <w:b/>
          <w:bCs/>
          <w:sz w:val="24"/>
          <w:szCs w:val="24"/>
          <w:shd w:val="clear" w:color="auto" w:fill="FFFFFF"/>
        </w:rPr>
        <w:t>IMEC)</w:t>
      </w:r>
      <w:r w:rsidRPr="00BA4492">
        <w:rPr>
          <w:rFonts w:ascii="Arial Narrow" w:eastAsia="Times New Roman" w:hAnsi="Arial Narrow" w:cs="Times New Roman"/>
          <w:sz w:val="24"/>
          <w:szCs w:val="24"/>
          <w:shd w:val="clear" w:color="auto" w:fill="FFFFFF"/>
        </w:rPr>
        <w:t xml:space="preserve">, αλλά και η </w:t>
      </w:r>
      <w:r w:rsidRPr="00BA4492">
        <w:rPr>
          <w:rFonts w:ascii="Arial Narrow" w:eastAsia="Times New Roman" w:hAnsi="Arial Narrow" w:cs="Times New Roman"/>
          <w:b/>
          <w:bCs/>
          <w:sz w:val="24"/>
          <w:szCs w:val="24"/>
          <w:shd w:val="clear" w:color="auto" w:fill="FFFFFF"/>
        </w:rPr>
        <w:t>σύναψη αλλεπάλληλων συμφωνιών CEPA</w:t>
      </w:r>
      <w:r w:rsidRPr="00BA4492">
        <w:rPr>
          <w:rFonts w:ascii="Arial Narrow" w:eastAsia="Times New Roman" w:hAnsi="Arial Narrow" w:cs="Times New Roman"/>
          <w:sz w:val="24"/>
          <w:szCs w:val="24"/>
          <w:shd w:val="clear" w:color="auto" w:fill="FFFFFF"/>
        </w:rPr>
        <w:t xml:space="preserve"> πιστοποιούν την αποτελεσματικότητα της μεθοδικής και επίμονης επιδίωξης για συμμετοχή και συμπερίληψη σε όλα τα δρώμενα, παρά το μάλλον μικρό μέγεθος της χώρας σε σχέση με τους υπόλοιπους δρώντες.</w:t>
      </w:r>
    </w:p>
    <w:p w14:paraId="04E18A7C" w14:textId="51CCAB2F" w:rsidR="004A14F1" w:rsidRPr="00BA4492" w:rsidRDefault="004A14F1" w:rsidP="004A14F1">
      <w:pPr>
        <w:spacing w:before="120" w:after="120"/>
        <w:ind w:firstLine="720"/>
        <w:jc w:val="both"/>
        <w:rPr>
          <w:rFonts w:ascii="Arial Narrow" w:eastAsia="Times New Roman" w:hAnsi="Arial Narrow" w:cs="Times New Roman"/>
          <w:sz w:val="24"/>
          <w:szCs w:val="24"/>
          <w:shd w:val="clear" w:color="auto" w:fill="FFFFFF"/>
        </w:rPr>
      </w:pPr>
      <w:r w:rsidRPr="00BA4492">
        <w:rPr>
          <w:rFonts w:ascii="Arial Narrow" w:eastAsia="Times New Roman" w:hAnsi="Arial Narrow" w:cs="Times New Roman"/>
          <w:sz w:val="24"/>
          <w:szCs w:val="24"/>
          <w:shd w:val="clear" w:color="auto" w:fill="FFFFFF"/>
        </w:rPr>
        <w:t xml:space="preserve">Ειδικότερα, η εισδοχή στο </w:t>
      </w:r>
      <w:r w:rsidRPr="00BA4492">
        <w:rPr>
          <w:rFonts w:ascii="Arial Narrow" w:eastAsia="Times New Roman" w:hAnsi="Arial Narrow" w:cs="Times New Roman"/>
          <w:b/>
          <w:sz w:val="24"/>
          <w:szCs w:val="24"/>
          <w:shd w:val="clear" w:color="auto" w:fill="FFFFFF"/>
        </w:rPr>
        <w:t>BRICS</w:t>
      </w:r>
      <w:r w:rsidRPr="00BA4492">
        <w:rPr>
          <w:rFonts w:ascii="Arial Narrow" w:eastAsia="Times New Roman" w:hAnsi="Arial Narrow" w:cs="Times New Roman"/>
          <w:sz w:val="24"/>
          <w:szCs w:val="24"/>
          <w:shd w:val="clear" w:color="auto" w:fill="FFFFFF"/>
        </w:rPr>
        <w:t xml:space="preserve"> σηματοδοτεί την αυξανόμενη σημασία που αποδίδουν τα ΗΑΕ στην περαιτέρω διεύρυνση των σχέσεων τους με τις </w:t>
      </w:r>
      <w:r w:rsidRPr="00BA4492">
        <w:rPr>
          <w:rFonts w:ascii="Arial Narrow" w:eastAsia="Times New Roman" w:hAnsi="Arial Narrow" w:cs="Times New Roman"/>
          <w:b/>
          <w:sz w:val="24"/>
          <w:szCs w:val="24"/>
          <w:shd w:val="clear" w:color="auto" w:fill="FFFFFF"/>
        </w:rPr>
        <w:t>εκτός Δύσης ανερχόμενες δυνάμεις</w:t>
      </w:r>
      <w:r w:rsidRPr="00BA4492">
        <w:rPr>
          <w:rFonts w:ascii="Arial Narrow" w:eastAsia="Times New Roman" w:hAnsi="Arial Narrow" w:cs="Times New Roman"/>
          <w:sz w:val="24"/>
          <w:szCs w:val="24"/>
          <w:shd w:val="clear" w:color="auto" w:fill="FFFFFF"/>
        </w:rPr>
        <w:t xml:space="preserve">. Δεν είναι τυχαίο, άλλωστε, ότι τα ΗΑΕ έσπευσαν να είναι εκ των πρώτων μετόχων της «Tράπεζας των BRICS», </w:t>
      </w:r>
      <w:r w:rsidRPr="00BA4492">
        <w:rPr>
          <w:rFonts w:ascii="Arial Narrow" w:eastAsia="Times New Roman" w:hAnsi="Arial Narrow" w:cs="Times New Roman"/>
          <w:b/>
          <w:sz w:val="24"/>
          <w:szCs w:val="24"/>
          <w:shd w:val="clear" w:color="auto" w:fill="FFFFFF"/>
        </w:rPr>
        <w:t>New</w:t>
      </w:r>
      <w:r w:rsidR="00E77084" w:rsidRPr="00BA4492">
        <w:rPr>
          <w:rFonts w:ascii="Arial Narrow" w:eastAsia="Times New Roman" w:hAnsi="Arial Narrow" w:cs="Times New Roman"/>
          <w:b/>
          <w:sz w:val="24"/>
          <w:szCs w:val="24"/>
          <w:shd w:val="clear" w:color="auto" w:fill="FFFFFF"/>
        </w:rPr>
        <w:t xml:space="preserve"> </w:t>
      </w:r>
      <w:r w:rsidRPr="00BA4492">
        <w:rPr>
          <w:rFonts w:ascii="Arial Narrow" w:eastAsia="Times New Roman" w:hAnsi="Arial Narrow" w:cs="Times New Roman"/>
          <w:b/>
          <w:sz w:val="24"/>
          <w:szCs w:val="24"/>
          <w:shd w:val="clear" w:color="auto" w:fill="FFFFFF"/>
        </w:rPr>
        <w:t>Development Bank</w:t>
      </w:r>
      <w:r w:rsidRPr="00BA4492">
        <w:rPr>
          <w:rFonts w:ascii="Arial Narrow" w:eastAsia="Times New Roman" w:hAnsi="Arial Narrow" w:cs="Times New Roman"/>
          <w:sz w:val="24"/>
          <w:szCs w:val="24"/>
          <w:shd w:val="clear" w:color="auto" w:fill="FFFFFF"/>
        </w:rPr>
        <w:t>, προτού καν δεχτούν πρόσκληση για συμμετοχή στο σχήμα. Πέραν της αίγλης που αποκομίζουν από τη συμπερίληψή τους σε μια μικρή ομάδα χωρών που θεωρούνται ως οι ανερχόμενες παγκόσμιες οικονομικές δυνάμεις, τα ΗΑΕ ευελπιστούν να αποκομίσουν απτά οικονομικά οφέλη, όταν και εάν το σχήμα αποκτήσει ουσιαστικότερες λειτουργίες.</w:t>
      </w:r>
    </w:p>
    <w:p w14:paraId="5B8A6B92" w14:textId="654963B2" w:rsidR="004A14F1" w:rsidRPr="00BA4492" w:rsidRDefault="004A14F1" w:rsidP="004A14F1">
      <w:pPr>
        <w:spacing w:before="120" w:after="120"/>
        <w:ind w:firstLine="720"/>
        <w:jc w:val="both"/>
        <w:rPr>
          <w:rFonts w:ascii="Arial Narrow" w:eastAsia="Times New Roman" w:hAnsi="Arial Narrow" w:cs="Times New Roman"/>
          <w:sz w:val="24"/>
          <w:szCs w:val="24"/>
          <w:shd w:val="clear" w:color="auto" w:fill="FFFFFF"/>
        </w:rPr>
      </w:pPr>
      <w:r w:rsidRPr="00BA4492">
        <w:rPr>
          <w:rFonts w:ascii="Arial Narrow" w:eastAsia="Times New Roman" w:hAnsi="Arial Narrow" w:cs="Times New Roman"/>
          <w:sz w:val="24"/>
          <w:szCs w:val="24"/>
          <w:shd w:val="clear" w:color="auto" w:fill="FFFFFF"/>
        </w:rPr>
        <w:t xml:space="preserve">Επιπρόσθετα, ο πρόσφατα ανακοινωθείς, </w:t>
      </w:r>
      <w:r w:rsidRPr="00BA4492">
        <w:rPr>
          <w:rFonts w:ascii="Arial Narrow" w:eastAsia="Times New Roman" w:hAnsi="Arial Narrow" w:cs="Times New Roman"/>
          <w:b/>
          <w:sz w:val="24"/>
          <w:szCs w:val="24"/>
          <w:shd w:val="clear" w:color="auto" w:fill="FFFFFF"/>
        </w:rPr>
        <w:t>Διάδρομος εμπορίου-ενέργειας-δεδομένων</w:t>
      </w:r>
      <w:r w:rsidRPr="00BA4492">
        <w:rPr>
          <w:rFonts w:ascii="Arial Narrow" w:eastAsia="Times New Roman" w:hAnsi="Arial Narrow" w:cs="Times New Roman"/>
          <w:sz w:val="24"/>
          <w:szCs w:val="24"/>
          <w:shd w:val="clear" w:color="auto" w:fill="FFFFFF"/>
        </w:rPr>
        <w:t xml:space="preserve"> </w:t>
      </w:r>
      <w:r w:rsidRPr="00BA4492">
        <w:rPr>
          <w:rFonts w:ascii="Arial Narrow" w:eastAsia="Times New Roman" w:hAnsi="Arial Narrow" w:cs="Times New Roman"/>
          <w:b/>
          <w:sz w:val="24"/>
          <w:szCs w:val="24"/>
          <w:shd w:val="clear" w:color="auto" w:fill="FFFFFF"/>
        </w:rPr>
        <w:t>IMEC</w:t>
      </w:r>
      <w:r w:rsidRPr="00BA4492">
        <w:rPr>
          <w:rFonts w:ascii="Arial Narrow" w:eastAsia="Times New Roman" w:hAnsi="Arial Narrow" w:cs="Times New Roman"/>
          <w:sz w:val="24"/>
          <w:szCs w:val="24"/>
          <w:shd w:val="clear" w:color="auto" w:fill="FFFFFF"/>
        </w:rPr>
        <w:t xml:space="preserve"> συνδυάζει απόλυτα διαφορετικές στοχεύσεις των ΗΑΕ. Πρώτον, ενισχύει ακόμα παραπάνω την ειδική οικονομική και εμπορική σχέση που επιθυμεί να απολαμβάνει με την </w:t>
      </w:r>
      <w:r w:rsidRPr="00BA4492">
        <w:rPr>
          <w:rFonts w:ascii="Arial Narrow" w:eastAsia="Times New Roman" w:hAnsi="Arial Narrow" w:cs="Times New Roman"/>
          <w:b/>
          <w:sz w:val="24"/>
          <w:szCs w:val="24"/>
          <w:shd w:val="clear" w:color="auto" w:fill="FFFFFF"/>
        </w:rPr>
        <w:t>Ινδία</w:t>
      </w:r>
      <w:r w:rsidRPr="00BA4492">
        <w:rPr>
          <w:rFonts w:ascii="Arial Narrow" w:eastAsia="Times New Roman" w:hAnsi="Arial Narrow" w:cs="Times New Roman"/>
          <w:sz w:val="24"/>
          <w:szCs w:val="24"/>
          <w:shd w:val="clear" w:color="auto" w:fill="FFFFFF"/>
        </w:rPr>
        <w:t xml:space="preserve"> («τα ΗΑΕ φιλοδοξούν να γίνουν το Χ</w:t>
      </w:r>
      <w:r w:rsidR="00970372" w:rsidRPr="00BA4492">
        <w:rPr>
          <w:rFonts w:ascii="Arial Narrow" w:eastAsia="Times New Roman" w:hAnsi="Arial Narrow" w:cs="Times New Roman"/>
          <w:sz w:val="24"/>
          <w:szCs w:val="24"/>
          <w:shd w:val="clear" w:color="auto" w:fill="FFFFFF"/>
        </w:rPr>
        <w:t>ονγκ Κο</w:t>
      </w:r>
      <w:r w:rsidRPr="00BA4492">
        <w:rPr>
          <w:rFonts w:ascii="Arial Narrow" w:eastAsia="Times New Roman" w:hAnsi="Arial Narrow" w:cs="Times New Roman"/>
          <w:sz w:val="24"/>
          <w:szCs w:val="24"/>
          <w:shd w:val="clear" w:color="auto" w:fill="FFFFFF"/>
        </w:rPr>
        <w:t>νγκ της Ινδίας», σύμφωνα με τη ρήση του Υπουργού Επικρατείας για το Εξωτερικό Εμπόριο, Δρ. Al Zeyoudi), καθιστώντας τα εμιρατινά λιμάνια που θα ενταχθούν στον Διάδρομο (Jebel Ali, Khalifa, Fujairah), ως τον πρώτο κρίκο στην εφοδιαστική αλυσίδα μεταξύ Ινδίας-</w:t>
      </w:r>
      <w:r w:rsidR="00617A7D" w:rsidRPr="00BA4492">
        <w:rPr>
          <w:rFonts w:ascii="Arial Narrow" w:eastAsia="Times New Roman" w:hAnsi="Arial Narrow" w:cs="Times New Roman"/>
          <w:sz w:val="24"/>
          <w:szCs w:val="24"/>
          <w:shd w:val="clear" w:color="auto" w:fill="FFFFFF"/>
        </w:rPr>
        <w:t>Ευρώ</w:t>
      </w:r>
      <w:r w:rsidRPr="00BA4492">
        <w:rPr>
          <w:rFonts w:ascii="Arial Narrow" w:eastAsia="Times New Roman" w:hAnsi="Arial Narrow" w:cs="Times New Roman"/>
          <w:sz w:val="24"/>
          <w:szCs w:val="24"/>
          <w:shd w:val="clear" w:color="auto" w:fill="FFFFFF"/>
        </w:rPr>
        <w:t xml:space="preserve">πης. Δεύτερον, υποστηρίζει έτι περαιτέρω τον ρόλο των ΗΑΕ ως </w:t>
      </w:r>
      <w:r w:rsidRPr="00BA4492">
        <w:rPr>
          <w:rFonts w:ascii="Arial Narrow" w:eastAsia="Times New Roman" w:hAnsi="Arial Narrow" w:cs="Times New Roman"/>
          <w:b/>
          <w:sz w:val="24"/>
          <w:szCs w:val="24"/>
          <w:shd w:val="clear" w:color="auto" w:fill="FFFFFF"/>
        </w:rPr>
        <w:t>διαμετακομιστικού εμπορικού κόμβου</w:t>
      </w:r>
      <w:r w:rsidRPr="00BA4492">
        <w:rPr>
          <w:rFonts w:ascii="Arial Narrow" w:eastAsia="Times New Roman" w:hAnsi="Arial Narrow" w:cs="Times New Roman"/>
          <w:sz w:val="24"/>
          <w:szCs w:val="24"/>
          <w:shd w:val="clear" w:color="auto" w:fill="FFFFFF"/>
        </w:rPr>
        <w:t xml:space="preserve">. Τρίτον, βελτιώνει την </w:t>
      </w:r>
      <w:r w:rsidRPr="00BA4492">
        <w:rPr>
          <w:rFonts w:ascii="Arial Narrow" w:eastAsia="Times New Roman" w:hAnsi="Arial Narrow" w:cs="Times New Roman"/>
          <w:b/>
          <w:sz w:val="24"/>
          <w:szCs w:val="24"/>
          <w:shd w:val="clear" w:color="auto" w:fill="FFFFFF"/>
        </w:rPr>
        <w:t>περιφερειακή διασυνδεσιμότητά</w:t>
      </w:r>
      <w:r w:rsidRPr="00BA4492">
        <w:rPr>
          <w:rFonts w:ascii="Arial Narrow" w:eastAsia="Times New Roman" w:hAnsi="Arial Narrow" w:cs="Times New Roman"/>
          <w:sz w:val="24"/>
          <w:szCs w:val="24"/>
          <w:shd w:val="clear" w:color="auto" w:fill="FFFFFF"/>
        </w:rPr>
        <w:t xml:space="preserve"> τους, ιδίως με το Ισραήλ. Τέταρτον, αν κατασκευαστεί ο προβλεπόμενος στο Μνημόνιο </w:t>
      </w:r>
      <w:r w:rsidRPr="00BA4492">
        <w:rPr>
          <w:rFonts w:ascii="Arial Narrow" w:eastAsia="Times New Roman" w:hAnsi="Arial Narrow" w:cs="Times New Roman"/>
          <w:b/>
          <w:sz w:val="24"/>
          <w:szCs w:val="24"/>
          <w:shd w:val="clear" w:color="auto" w:fill="FFFFFF"/>
        </w:rPr>
        <w:t>αγωγός καθαρού υδρογόνου</w:t>
      </w:r>
      <w:r w:rsidRPr="00BA4492">
        <w:rPr>
          <w:rFonts w:ascii="Arial Narrow" w:eastAsia="Times New Roman" w:hAnsi="Arial Narrow" w:cs="Times New Roman"/>
          <w:sz w:val="24"/>
          <w:szCs w:val="24"/>
          <w:shd w:val="clear" w:color="auto" w:fill="FFFFFF"/>
        </w:rPr>
        <w:t xml:space="preserve">, προωθεί καταλυτικά την εθνική στρατηγική τους αναφορικά με το υδρογόνο και την ανάδειξή τους ως κύρια πηγή πράσινου υδρογόνου για την </w:t>
      </w:r>
      <w:r w:rsidR="00617A7D" w:rsidRPr="00BA4492">
        <w:rPr>
          <w:rFonts w:ascii="Arial Narrow" w:eastAsia="Times New Roman" w:hAnsi="Arial Narrow" w:cs="Times New Roman"/>
          <w:sz w:val="24"/>
          <w:szCs w:val="24"/>
          <w:shd w:val="clear" w:color="auto" w:fill="FFFFFF"/>
        </w:rPr>
        <w:t>Ευρώ</w:t>
      </w:r>
      <w:r w:rsidRPr="00BA4492">
        <w:rPr>
          <w:rFonts w:ascii="Arial Narrow" w:eastAsia="Times New Roman" w:hAnsi="Arial Narrow" w:cs="Times New Roman"/>
          <w:sz w:val="24"/>
          <w:szCs w:val="24"/>
          <w:shd w:val="clear" w:color="auto" w:fill="FFFFFF"/>
        </w:rPr>
        <w:t>πη.</w:t>
      </w:r>
    </w:p>
    <w:p w14:paraId="684DA68A" w14:textId="66F1464A" w:rsidR="004A14F1" w:rsidRPr="00BA4492" w:rsidRDefault="004A14F1" w:rsidP="004A14F1">
      <w:pPr>
        <w:spacing w:before="120" w:after="120"/>
        <w:ind w:firstLine="720"/>
        <w:jc w:val="both"/>
        <w:rPr>
          <w:rFonts w:ascii="Arial Narrow" w:eastAsia="Times New Roman" w:hAnsi="Arial Narrow" w:cs="Times New Roman"/>
          <w:sz w:val="24"/>
          <w:szCs w:val="24"/>
          <w:shd w:val="clear" w:color="auto" w:fill="FFFFFF"/>
        </w:rPr>
      </w:pPr>
      <w:r w:rsidRPr="00BA4492">
        <w:rPr>
          <w:rFonts w:ascii="Arial Narrow" w:eastAsia="Times New Roman" w:hAnsi="Arial Narrow" w:cs="Times New Roman"/>
          <w:sz w:val="24"/>
          <w:szCs w:val="24"/>
          <w:shd w:val="clear" w:color="auto" w:fill="FFFFFF"/>
        </w:rPr>
        <w:t xml:space="preserve">Στην περίπτωση μάλιστα των ΗΑΕ, η προώθηση του IMEC είναι ακόμα πιο ελκυστική για δύο λόγους: αφενός οι απαιτούμενες </w:t>
      </w:r>
      <w:r w:rsidRPr="00BA4492">
        <w:rPr>
          <w:rFonts w:ascii="Arial Narrow" w:eastAsia="Times New Roman" w:hAnsi="Arial Narrow" w:cs="Times New Roman"/>
          <w:b/>
          <w:sz w:val="24"/>
          <w:szCs w:val="24"/>
          <w:shd w:val="clear" w:color="auto" w:fill="FFFFFF"/>
        </w:rPr>
        <w:t xml:space="preserve">υποδομές </w:t>
      </w:r>
      <w:r w:rsidRPr="00BA4492">
        <w:rPr>
          <w:rFonts w:ascii="Arial Narrow" w:eastAsia="Times New Roman" w:hAnsi="Arial Narrow" w:cs="Times New Roman"/>
          <w:sz w:val="24"/>
          <w:szCs w:val="24"/>
          <w:shd w:val="clear" w:color="auto" w:fill="FFFFFF"/>
        </w:rPr>
        <w:t xml:space="preserve">για τον εμπορικό διάδρομο είναι </w:t>
      </w:r>
      <w:r w:rsidRPr="00BA4492">
        <w:rPr>
          <w:rFonts w:ascii="Arial Narrow" w:eastAsia="Times New Roman" w:hAnsi="Arial Narrow" w:cs="Times New Roman"/>
          <w:b/>
          <w:sz w:val="24"/>
          <w:szCs w:val="24"/>
          <w:shd w:val="clear" w:color="auto" w:fill="FFFFFF"/>
        </w:rPr>
        <w:t>σχεδόν ολοκληρωμένες</w:t>
      </w:r>
      <w:r w:rsidRPr="00BA4492">
        <w:rPr>
          <w:rFonts w:ascii="Arial Narrow" w:eastAsia="Times New Roman" w:hAnsi="Arial Narrow" w:cs="Times New Roman"/>
          <w:sz w:val="24"/>
          <w:szCs w:val="24"/>
          <w:shd w:val="clear" w:color="auto" w:fill="FFFFFF"/>
        </w:rPr>
        <w:t xml:space="preserve">, με τις ήδη υφιστάμενες λιμενικές υποδομές να επαρκούν και το σιδηροδρομικό δίκτυο (Etihad Rail) να βαίνει ταχέως προς την περάτωση της κατασκευής του. Αφετέρου, επειδή ο Διάδρομος IMEC, εάν υλοποιηθεί, προστίθεται και συμπληρώνει τη στρατηγική των ΗΑΕ για </w:t>
      </w:r>
      <w:r w:rsidRPr="00BA4492">
        <w:rPr>
          <w:rFonts w:ascii="Arial Narrow" w:eastAsia="Times New Roman" w:hAnsi="Arial Narrow" w:cs="Times New Roman"/>
          <w:b/>
          <w:sz w:val="24"/>
          <w:szCs w:val="24"/>
          <w:shd w:val="clear" w:color="auto" w:fill="FFFFFF"/>
        </w:rPr>
        <w:t>εκμετάλλευση των σημαντικών εμπορικών διαδρόμων Ανατολής-Δύσης</w:t>
      </w:r>
      <w:r w:rsidRPr="00BA4492">
        <w:rPr>
          <w:rFonts w:ascii="Arial Narrow" w:eastAsia="Times New Roman" w:hAnsi="Arial Narrow" w:cs="Times New Roman"/>
          <w:sz w:val="24"/>
          <w:szCs w:val="24"/>
          <w:shd w:val="clear" w:color="auto" w:fill="FFFFFF"/>
        </w:rPr>
        <w:t xml:space="preserve">, έχοντας ήδη καταστεί σημαντικός κόμβος της </w:t>
      </w:r>
      <w:r w:rsidRPr="00BA4492">
        <w:rPr>
          <w:rFonts w:ascii="Arial Narrow" w:eastAsia="Times New Roman" w:hAnsi="Arial Narrow" w:cs="Times New Roman"/>
          <w:b/>
          <w:sz w:val="24"/>
          <w:szCs w:val="24"/>
          <w:shd w:val="clear" w:color="auto" w:fill="FFFFFF"/>
        </w:rPr>
        <w:t>κινεζικής πρωτοβουλίας BRI</w:t>
      </w:r>
      <w:r w:rsidRPr="00BA4492">
        <w:rPr>
          <w:rFonts w:ascii="Arial Narrow" w:eastAsia="Times New Roman" w:hAnsi="Arial Narrow" w:cs="Times New Roman"/>
          <w:sz w:val="24"/>
          <w:szCs w:val="24"/>
          <w:shd w:val="clear" w:color="auto" w:fill="FFFFFF"/>
        </w:rPr>
        <w:t xml:space="preserve"> και, αντίστοιχα, επενδύσει σε περιφερειακές βιομηχανικές δραστηριότητες στον Κόλπο του Σουέζ. Δεν είναι τυχαίο, άλλωστε, που μετά την υπογραφή του Μνημονίου για τον IMEC, τα ΗΑΕ έσπευσαν να υποβαθμίσουν την ανταγωνιστικότητα του έναντι του BRI, μέσω του Υπουργού Οικονομίας τους, κ. Al Marri, σε ομιλία του σε κινεζικό κοινό στο Χ</w:t>
      </w:r>
      <w:r w:rsidR="00970372" w:rsidRPr="00BA4492">
        <w:rPr>
          <w:rFonts w:ascii="Arial Narrow" w:eastAsia="Times New Roman" w:hAnsi="Arial Narrow" w:cs="Times New Roman"/>
          <w:sz w:val="24"/>
          <w:szCs w:val="24"/>
          <w:shd w:val="clear" w:color="auto" w:fill="FFFFFF"/>
        </w:rPr>
        <w:t>ονγ Κο</w:t>
      </w:r>
      <w:r w:rsidRPr="00BA4492">
        <w:rPr>
          <w:rFonts w:ascii="Arial Narrow" w:eastAsia="Times New Roman" w:hAnsi="Arial Narrow" w:cs="Times New Roman"/>
          <w:sz w:val="24"/>
          <w:szCs w:val="24"/>
          <w:shd w:val="clear" w:color="auto" w:fill="FFFFFF"/>
        </w:rPr>
        <w:t xml:space="preserve">νγκ. Αντίστοιχα, υποβάθμισαν τον βαθμό απειλής για τα αιγυπτιακά συμφέροντα ως εναλλακτική εμπορική όδευση, δια στόματος του Προέδρου της DP World, κορυφαίας εταιρείας διαχείρισης λιμένων παγκοσμίως με έδρα το </w:t>
      </w:r>
      <w:r w:rsidR="00A45B8A" w:rsidRPr="00BA4492">
        <w:rPr>
          <w:rFonts w:ascii="Arial Narrow" w:eastAsia="Times New Roman" w:hAnsi="Arial Narrow" w:cs="Times New Roman"/>
          <w:sz w:val="24"/>
          <w:szCs w:val="24"/>
          <w:shd w:val="clear" w:color="auto" w:fill="FFFFFF"/>
        </w:rPr>
        <w:t>Dubai</w:t>
      </w:r>
      <w:r w:rsidRPr="00BA4492">
        <w:rPr>
          <w:rFonts w:ascii="Arial Narrow" w:eastAsia="Times New Roman" w:hAnsi="Arial Narrow" w:cs="Times New Roman"/>
          <w:sz w:val="24"/>
          <w:szCs w:val="24"/>
          <w:shd w:val="clear" w:color="auto" w:fill="FFFFFF"/>
        </w:rPr>
        <w:t xml:space="preserve">. Ακόμα και για την Τουρκία, η οποία εξέφρασε δυσαρέσκεια για τον IMEC, </w:t>
      </w:r>
      <w:r w:rsidR="00833F00" w:rsidRPr="00BA4492">
        <w:rPr>
          <w:rFonts w:ascii="Arial Narrow" w:eastAsia="Times New Roman" w:hAnsi="Arial Narrow" w:cs="Times New Roman"/>
          <w:sz w:val="24"/>
          <w:szCs w:val="24"/>
          <w:shd w:val="clear" w:color="auto" w:fill="FFFFFF"/>
        </w:rPr>
        <w:t>τα ΗΑΕ διάκεινται</w:t>
      </w:r>
      <w:r w:rsidRPr="00BA4492">
        <w:rPr>
          <w:rFonts w:ascii="Arial Narrow" w:eastAsia="Times New Roman" w:hAnsi="Arial Narrow" w:cs="Times New Roman"/>
          <w:sz w:val="24"/>
          <w:szCs w:val="24"/>
          <w:shd w:val="clear" w:color="auto" w:fill="FFFFFF"/>
        </w:rPr>
        <w:t xml:space="preserve"> ευνοϊκά έναντι προτεινόμενης εμπορικής οδού, </w:t>
      </w:r>
      <w:r w:rsidRPr="00BA4492">
        <w:rPr>
          <w:rFonts w:ascii="Arial Narrow" w:eastAsia="Times New Roman" w:hAnsi="Arial Narrow" w:cs="Times New Roman"/>
          <w:b/>
          <w:bCs/>
          <w:sz w:val="24"/>
          <w:szCs w:val="24"/>
          <w:shd w:val="clear" w:color="auto" w:fill="FFFFFF"/>
        </w:rPr>
        <w:t>Iraq Development Road</w:t>
      </w:r>
      <w:r w:rsidRPr="00BA4492">
        <w:rPr>
          <w:rFonts w:ascii="Arial Narrow" w:eastAsia="Times New Roman" w:hAnsi="Arial Narrow" w:cs="Times New Roman"/>
          <w:sz w:val="24"/>
          <w:szCs w:val="24"/>
          <w:shd w:val="clear" w:color="auto" w:fill="FFFFFF"/>
        </w:rPr>
        <w:t>, δια μέσω της Τουρκίας.</w:t>
      </w:r>
    </w:p>
    <w:p w14:paraId="72D3B3B1" w14:textId="1E80156A" w:rsidR="000D4C4B" w:rsidRPr="00BA4492" w:rsidRDefault="004D2C30" w:rsidP="00B512F9">
      <w:pPr>
        <w:spacing w:before="120" w:after="120"/>
        <w:ind w:firstLine="720"/>
        <w:jc w:val="both"/>
        <w:rPr>
          <w:rFonts w:ascii="Arial Narrow" w:hAnsi="Arial Narrow" w:cs="Times New Roman"/>
          <w:sz w:val="24"/>
          <w:szCs w:val="24"/>
          <w:lang w:eastAsia="en-GB"/>
        </w:rPr>
      </w:pPr>
      <w:r w:rsidRPr="00BA4492">
        <w:rPr>
          <w:rFonts w:ascii="Arial Narrow" w:hAnsi="Arial Narrow" w:cs="Times New Roman"/>
          <w:sz w:val="24"/>
          <w:szCs w:val="24"/>
          <w:lang w:eastAsia="en-GB"/>
        </w:rPr>
        <w:t>Τέλος</w:t>
      </w:r>
      <w:r w:rsidR="00E77084" w:rsidRPr="00BA4492">
        <w:rPr>
          <w:rFonts w:ascii="Arial Narrow" w:hAnsi="Arial Narrow" w:cs="Times New Roman"/>
          <w:sz w:val="24"/>
          <w:szCs w:val="24"/>
          <w:lang w:eastAsia="en-GB"/>
        </w:rPr>
        <w:t>, ιδιαίτερη μνεία θα πρέπει να γίνει στην υπογραφή Συμφωνιών Ολοκληρωμένης Οικονομικής Εταιρικής Σχέσης (</w:t>
      </w:r>
      <w:r w:rsidR="00E77084" w:rsidRPr="00BA4492">
        <w:rPr>
          <w:rFonts w:ascii="Arial Narrow" w:hAnsi="Arial Narrow" w:cs="Times New Roman"/>
          <w:b/>
          <w:sz w:val="24"/>
          <w:szCs w:val="24"/>
          <w:lang w:val="en-US" w:eastAsia="en-GB"/>
        </w:rPr>
        <w:t>Comprehensive</w:t>
      </w:r>
      <w:r w:rsidR="00E77084" w:rsidRPr="00BA4492">
        <w:rPr>
          <w:rFonts w:ascii="Arial Narrow" w:hAnsi="Arial Narrow" w:cs="Times New Roman"/>
          <w:b/>
          <w:sz w:val="24"/>
          <w:szCs w:val="24"/>
          <w:lang w:eastAsia="en-GB"/>
        </w:rPr>
        <w:t xml:space="preserve"> </w:t>
      </w:r>
      <w:r w:rsidR="00E77084" w:rsidRPr="00BA4492">
        <w:rPr>
          <w:rFonts w:ascii="Arial Narrow" w:hAnsi="Arial Narrow" w:cs="Times New Roman"/>
          <w:b/>
          <w:sz w:val="24"/>
          <w:szCs w:val="24"/>
          <w:lang w:val="en-US" w:eastAsia="en-GB"/>
        </w:rPr>
        <w:t>Economic</w:t>
      </w:r>
      <w:r w:rsidR="00E77084" w:rsidRPr="00BA4492">
        <w:rPr>
          <w:rFonts w:ascii="Arial Narrow" w:hAnsi="Arial Narrow" w:cs="Times New Roman"/>
          <w:b/>
          <w:sz w:val="24"/>
          <w:szCs w:val="24"/>
          <w:lang w:eastAsia="en-GB"/>
        </w:rPr>
        <w:t xml:space="preserve"> </w:t>
      </w:r>
      <w:r w:rsidR="00E77084" w:rsidRPr="00BA4492">
        <w:rPr>
          <w:rFonts w:ascii="Arial Narrow" w:hAnsi="Arial Narrow" w:cs="Times New Roman"/>
          <w:b/>
          <w:sz w:val="24"/>
          <w:szCs w:val="24"/>
          <w:lang w:val="en-US" w:eastAsia="en-GB"/>
        </w:rPr>
        <w:t>Patrnership</w:t>
      </w:r>
      <w:r w:rsidR="00E77084" w:rsidRPr="00BA4492">
        <w:rPr>
          <w:rFonts w:ascii="Arial Narrow" w:hAnsi="Arial Narrow" w:cs="Times New Roman"/>
          <w:b/>
          <w:sz w:val="24"/>
          <w:szCs w:val="24"/>
          <w:lang w:eastAsia="en-GB"/>
        </w:rPr>
        <w:t xml:space="preserve"> </w:t>
      </w:r>
      <w:r w:rsidR="00E77084" w:rsidRPr="00BA4492">
        <w:rPr>
          <w:rFonts w:ascii="Arial Narrow" w:hAnsi="Arial Narrow" w:cs="Times New Roman"/>
          <w:b/>
          <w:sz w:val="24"/>
          <w:szCs w:val="24"/>
          <w:lang w:val="en-US" w:eastAsia="en-GB"/>
        </w:rPr>
        <w:t>Agreement</w:t>
      </w:r>
      <w:r w:rsidR="00E77084" w:rsidRPr="00BA4492">
        <w:rPr>
          <w:rFonts w:ascii="Arial Narrow" w:hAnsi="Arial Narrow" w:cs="Times New Roman"/>
          <w:b/>
          <w:sz w:val="24"/>
          <w:szCs w:val="24"/>
          <w:lang w:eastAsia="en-GB"/>
        </w:rPr>
        <w:t xml:space="preserve"> – </w:t>
      </w:r>
      <w:r w:rsidR="00E77084" w:rsidRPr="00BA4492">
        <w:rPr>
          <w:rFonts w:ascii="Arial Narrow" w:hAnsi="Arial Narrow" w:cs="Times New Roman"/>
          <w:b/>
          <w:sz w:val="24"/>
          <w:szCs w:val="24"/>
          <w:lang w:val="en-US" w:eastAsia="en-GB"/>
        </w:rPr>
        <w:t>CEPA</w:t>
      </w:r>
      <w:r w:rsidR="00E77084" w:rsidRPr="00BA4492">
        <w:rPr>
          <w:rFonts w:ascii="Arial Narrow" w:hAnsi="Arial Narrow" w:cs="Times New Roman"/>
          <w:sz w:val="24"/>
          <w:szCs w:val="24"/>
          <w:lang w:eastAsia="en-GB"/>
        </w:rPr>
        <w:t>)</w:t>
      </w:r>
      <w:r w:rsidR="00B512F9" w:rsidRPr="00BA4492">
        <w:rPr>
          <w:rFonts w:ascii="Arial Narrow" w:hAnsi="Arial Narrow" w:cs="Times New Roman"/>
          <w:sz w:val="24"/>
          <w:szCs w:val="24"/>
          <w:lang w:eastAsia="en-GB"/>
        </w:rPr>
        <w:t xml:space="preserve"> με </w:t>
      </w:r>
      <w:r w:rsidR="00B512F9" w:rsidRPr="00BA4492">
        <w:rPr>
          <w:rFonts w:ascii="Arial Narrow" w:hAnsi="Arial Narrow" w:cs="Times New Roman"/>
          <w:b/>
          <w:bCs/>
          <w:sz w:val="24"/>
          <w:szCs w:val="24"/>
          <w:lang w:eastAsia="en-GB"/>
        </w:rPr>
        <w:t>2</w:t>
      </w:r>
      <w:r w:rsidR="00C20A2F" w:rsidRPr="00BA4492">
        <w:rPr>
          <w:rFonts w:ascii="Arial Narrow" w:hAnsi="Arial Narrow" w:cs="Times New Roman"/>
          <w:b/>
          <w:bCs/>
          <w:sz w:val="24"/>
          <w:szCs w:val="24"/>
          <w:lang w:eastAsia="en-GB"/>
        </w:rPr>
        <w:t>2</w:t>
      </w:r>
      <w:r w:rsidR="00B512F9" w:rsidRPr="00BA4492">
        <w:rPr>
          <w:rFonts w:ascii="Arial Narrow" w:hAnsi="Arial Narrow" w:cs="Times New Roman"/>
          <w:b/>
          <w:bCs/>
          <w:sz w:val="24"/>
          <w:szCs w:val="24"/>
          <w:lang w:eastAsia="en-GB"/>
        </w:rPr>
        <w:t xml:space="preserve"> χώρες</w:t>
      </w:r>
      <w:r w:rsidR="00BB16E3" w:rsidRPr="00BA4492">
        <w:rPr>
          <w:rFonts w:ascii="Arial Narrow" w:hAnsi="Arial Narrow" w:cs="Times New Roman"/>
          <w:sz w:val="24"/>
          <w:szCs w:val="24"/>
          <w:lang w:eastAsia="en-GB"/>
        </w:rPr>
        <w:t xml:space="preserve"> μέχρι το </w:t>
      </w:r>
      <w:r w:rsidR="00044759" w:rsidRPr="00BA4492">
        <w:rPr>
          <w:rFonts w:ascii="Arial Narrow" w:hAnsi="Arial Narrow" w:cs="Times New Roman"/>
          <w:sz w:val="24"/>
          <w:szCs w:val="24"/>
          <w:lang w:eastAsia="en-GB"/>
        </w:rPr>
        <w:t>α΄</w:t>
      </w:r>
      <w:r w:rsidR="00BB16E3" w:rsidRPr="00BA4492">
        <w:rPr>
          <w:rFonts w:ascii="Arial Narrow" w:hAnsi="Arial Narrow" w:cs="Times New Roman"/>
          <w:sz w:val="24"/>
          <w:szCs w:val="24"/>
          <w:lang w:eastAsia="en-GB"/>
        </w:rPr>
        <w:t xml:space="preserve"> εξάμηνο 2025.</w:t>
      </w:r>
      <w:r w:rsidR="00B512F9" w:rsidRPr="00BA4492">
        <w:rPr>
          <w:rFonts w:ascii="Arial Narrow" w:hAnsi="Arial Narrow" w:cs="Times New Roman"/>
          <w:sz w:val="24"/>
          <w:szCs w:val="24"/>
          <w:lang w:eastAsia="en-GB"/>
        </w:rPr>
        <w:t xml:space="preserve"> Ειδικότερα, έχουν ήδη τεθεί σε εφαρμογή οι </w:t>
      </w:r>
      <w:r w:rsidR="00B512F9" w:rsidRPr="00BA4492">
        <w:rPr>
          <w:rFonts w:ascii="Arial Narrow" w:hAnsi="Arial Narrow" w:cs="Times New Roman"/>
          <w:sz w:val="24"/>
          <w:szCs w:val="24"/>
          <w:lang w:val="en-US" w:eastAsia="en-GB"/>
        </w:rPr>
        <w:t>CEPA</w:t>
      </w:r>
      <w:r w:rsidR="00B512F9" w:rsidRPr="00BA4492">
        <w:rPr>
          <w:rFonts w:ascii="Arial Narrow" w:hAnsi="Arial Narrow" w:cs="Times New Roman"/>
          <w:sz w:val="24"/>
          <w:szCs w:val="24"/>
          <w:lang w:eastAsia="en-GB"/>
        </w:rPr>
        <w:t xml:space="preserve"> </w:t>
      </w:r>
      <w:r w:rsidR="001E5FE8" w:rsidRPr="00BA4492">
        <w:rPr>
          <w:rFonts w:ascii="Arial Narrow" w:hAnsi="Arial Narrow" w:cs="Times New Roman"/>
          <w:sz w:val="24"/>
          <w:szCs w:val="24"/>
          <w:lang w:eastAsia="en-GB"/>
        </w:rPr>
        <w:t xml:space="preserve">των ΗΑΕ </w:t>
      </w:r>
      <w:r w:rsidR="00B512F9" w:rsidRPr="00BA4492">
        <w:rPr>
          <w:rFonts w:ascii="Arial Narrow" w:hAnsi="Arial Narrow" w:cs="Times New Roman"/>
          <w:sz w:val="24"/>
          <w:szCs w:val="24"/>
          <w:lang w:eastAsia="en-GB"/>
        </w:rPr>
        <w:t>με Ι</w:t>
      </w:r>
      <w:r w:rsidR="00E77084" w:rsidRPr="00BA4492">
        <w:rPr>
          <w:rFonts w:ascii="Arial Narrow" w:hAnsi="Arial Narrow" w:cs="Times New Roman"/>
          <w:sz w:val="24"/>
          <w:szCs w:val="24"/>
          <w:lang w:eastAsia="en-GB"/>
        </w:rPr>
        <w:t>νδία, Ισραήλ και Ινδονησία</w:t>
      </w:r>
      <w:r w:rsidR="001E5FE8" w:rsidRPr="00BA4492">
        <w:rPr>
          <w:rFonts w:ascii="Arial Narrow" w:hAnsi="Arial Narrow" w:cs="Times New Roman"/>
          <w:sz w:val="24"/>
          <w:szCs w:val="24"/>
          <w:lang w:eastAsia="en-GB"/>
        </w:rPr>
        <w:t xml:space="preserve"> (υπεγράφησαν το </w:t>
      </w:r>
      <w:r w:rsidR="00E77084" w:rsidRPr="00BA4492">
        <w:rPr>
          <w:rFonts w:ascii="Arial Narrow" w:hAnsi="Arial Narrow" w:cs="Times New Roman"/>
          <w:sz w:val="24"/>
          <w:szCs w:val="24"/>
          <w:lang w:eastAsia="en-GB"/>
        </w:rPr>
        <w:t>2022</w:t>
      </w:r>
      <w:r w:rsidR="001E5FE8" w:rsidRPr="00BA4492">
        <w:rPr>
          <w:rFonts w:ascii="Arial Narrow" w:hAnsi="Arial Narrow" w:cs="Times New Roman"/>
          <w:sz w:val="24"/>
          <w:szCs w:val="24"/>
          <w:lang w:eastAsia="en-GB"/>
        </w:rPr>
        <w:t>)</w:t>
      </w:r>
      <w:r w:rsidR="00891BE3" w:rsidRPr="00BA4492">
        <w:rPr>
          <w:rFonts w:ascii="Arial Narrow" w:hAnsi="Arial Narrow" w:cs="Times New Roman"/>
          <w:sz w:val="24"/>
          <w:szCs w:val="24"/>
          <w:lang w:eastAsia="en-GB"/>
        </w:rPr>
        <w:t xml:space="preserve">, </w:t>
      </w:r>
      <w:r w:rsidR="001E5FE8" w:rsidRPr="00BA4492">
        <w:rPr>
          <w:rFonts w:ascii="Arial Narrow" w:hAnsi="Arial Narrow" w:cs="Times New Roman"/>
          <w:sz w:val="24"/>
          <w:szCs w:val="24"/>
          <w:lang w:eastAsia="en-GB"/>
        </w:rPr>
        <w:t xml:space="preserve">με </w:t>
      </w:r>
      <w:r w:rsidR="00215988" w:rsidRPr="00BA4492">
        <w:rPr>
          <w:rFonts w:ascii="Arial Narrow" w:hAnsi="Arial Narrow" w:cs="Times New Roman"/>
          <w:sz w:val="24"/>
          <w:szCs w:val="24"/>
          <w:lang w:eastAsia="en-GB"/>
        </w:rPr>
        <w:t>Τουρκία,</w:t>
      </w:r>
      <w:r w:rsidR="00D82D3F" w:rsidRPr="00BA4492">
        <w:rPr>
          <w:rFonts w:ascii="Arial Narrow" w:hAnsi="Arial Narrow" w:cs="Times New Roman"/>
          <w:sz w:val="24"/>
          <w:szCs w:val="24"/>
          <w:lang w:eastAsia="en-GB"/>
        </w:rPr>
        <w:t xml:space="preserve"> </w:t>
      </w:r>
      <w:r w:rsidR="00215988" w:rsidRPr="00BA4492">
        <w:rPr>
          <w:rFonts w:ascii="Arial Narrow" w:hAnsi="Arial Narrow" w:cs="Times New Roman"/>
          <w:sz w:val="24"/>
          <w:szCs w:val="24"/>
          <w:lang w:eastAsia="en-GB"/>
        </w:rPr>
        <w:t>Καμπότζη</w:t>
      </w:r>
      <w:r w:rsidR="00817F7E" w:rsidRPr="00BA4492">
        <w:rPr>
          <w:rFonts w:ascii="Arial Narrow" w:hAnsi="Arial Narrow" w:cs="Times New Roman"/>
          <w:sz w:val="24"/>
          <w:szCs w:val="24"/>
          <w:lang w:eastAsia="en-GB"/>
        </w:rPr>
        <w:t xml:space="preserve"> και </w:t>
      </w:r>
      <w:r w:rsidR="00891BE3" w:rsidRPr="00BA4492">
        <w:rPr>
          <w:rFonts w:ascii="Arial Narrow" w:hAnsi="Arial Narrow" w:cs="Times New Roman"/>
          <w:sz w:val="24"/>
          <w:szCs w:val="24"/>
          <w:lang w:eastAsia="en-GB"/>
        </w:rPr>
        <w:t>Γεωργία</w:t>
      </w:r>
      <w:r w:rsidR="001E5FE8" w:rsidRPr="00BA4492">
        <w:rPr>
          <w:rFonts w:ascii="Arial Narrow" w:hAnsi="Arial Narrow" w:cs="Times New Roman"/>
          <w:sz w:val="24"/>
          <w:szCs w:val="24"/>
          <w:lang w:eastAsia="en-GB"/>
        </w:rPr>
        <w:t xml:space="preserve"> (υπεγράφησαν το 2</w:t>
      </w:r>
      <w:r w:rsidR="00891BE3" w:rsidRPr="00BA4492">
        <w:rPr>
          <w:rFonts w:ascii="Arial Narrow" w:hAnsi="Arial Narrow" w:cs="Times New Roman"/>
          <w:sz w:val="24"/>
          <w:szCs w:val="24"/>
          <w:lang w:eastAsia="en-GB"/>
        </w:rPr>
        <w:t>023</w:t>
      </w:r>
      <w:r w:rsidR="001E5FE8" w:rsidRPr="00BA4492">
        <w:rPr>
          <w:rFonts w:ascii="Arial Narrow" w:hAnsi="Arial Narrow" w:cs="Times New Roman"/>
          <w:sz w:val="24"/>
          <w:szCs w:val="24"/>
          <w:lang w:eastAsia="en-GB"/>
        </w:rPr>
        <w:t>)</w:t>
      </w:r>
      <w:r w:rsidR="00891BE3" w:rsidRPr="00BA4492">
        <w:rPr>
          <w:rFonts w:ascii="Arial Narrow" w:hAnsi="Arial Narrow" w:cs="Times New Roman"/>
          <w:sz w:val="24"/>
          <w:szCs w:val="24"/>
          <w:lang w:eastAsia="en-GB"/>
        </w:rPr>
        <w:t xml:space="preserve"> και</w:t>
      </w:r>
      <w:r w:rsidR="00B512F9" w:rsidRPr="00BA4492">
        <w:rPr>
          <w:rFonts w:ascii="Arial Narrow" w:hAnsi="Arial Narrow" w:cs="Times New Roman"/>
          <w:sz w:val="24"/>
          <w:szCs w:val="24"/>
          <w:lang w:eastAsia="en-GB"/>
        </w:rPr>
        <w:t xml:space="preserve"> Κόστα Ρίκα και Μαυρίκιο</w:t>
      </w:r>
      <w:r w:rsidR="000D4C4B" w:rsidRPr="00BA4492">
        <w:rPr>
          <w:rFonts w:ascii="Arial Narrow" w:hAnsi="Arial Narrow" w:cs="Times New Roman"/>
          <w:sz w:val="24"/>
          <w:szCs w:val="24"/>
          <w:lang w:eastAsia="en-GB"/>
        </w:rPr>
        <w:t xml:space="preserve"> (υπεγράφησαν το 2024).</w:t>
      </w:r>
    </w:p>
    <w:p w14:paraId="22570B50" w14:textId="1D48E560" w:rsidR="00E14919" w:rsidRPr="00BA4492" w:rsidRDefault="000D4C4B" w:rsidP="00044759">
      <w:pPr>
        <w:spacing w:before="120" w:after="120"/>
        <w:ind w:firstLine="720"/>
        <w:jc w:val="both"/>
        <w:rPr>
          <w:rFonts w:ascii="Arial Narrow" w:hAnsi="Arial Narrow" w:cs="Times New Roman"/>
          <w:sz w:val="24"/>
          <w:szCs w:val="24"/>
          <w:lang w:eastAsia="en-GB"/>
        </w:rPr>
      </w:pPr>
      <w:r w:rsidRPr="00BA4492">
        <w:rPr>
          <w:rFonts w:ascii="Arial Narrow" w:hAnsi="Arial Narrow" w:cs="Times New Roman"/>
          <w:sz w:val="24"/>
          <w:szCs w:val="24"/>
          <w:lang w:eastAsia="en-GB"/>
        </w:rPr>
        <w:t>Επίσης,</w:t>
      </w:r>
      <w:r w:rsidR="00BE7EBA" w:rsidRPr="00BA4492">
        <w:rPr>
          <w:rFonts w:ascii="Arial Narrow" w:hAnsi="Arial Narrow" w:cs="Times New Roman"/>
          <w:sz w:val="24"/>
          <w:szCs w:val="24"/>
          <w:lang w:eastAsia="en-GB"/>
        </w:rPr>
        <w:t xml:space="preserve"> αναμένεται η κύρωση των λοιπών συμφωνιών που υπεγράφησαν</w:t>
      </w:r>
      <w:r w:rsidRPr="00BA4492">
        <w:rPr>
          <w:rFonts w:ascii="Arial Narrow" w:hAnsi="Arial Narrow" w:cs="Times New Roman"/>
          <w:sz w:val="24"/>
          <w:szCs w:val="24"/>
          <w:lang w:eastAsia="en-GB"/>
        </w:rPr>
        <w:t xml:space="preserve"> το 2024</w:t>
      </w:r>
      <w:r w:rsidR="00BE7EBA" w:rsidRPr="00BA4492">
        <w:rPr>
          <w:rFonts w:ascii="Arial Narrow" w:hAnsi="Arial Narrow" w:cs="Times New Roman"/>
          <w:sz w:val="24"/>
          <w:szCs w:val="24"/>
          <w:lang w:eastAsia="en-GB"/>
        </w:rPr>
        <w:t xml:space="preserve"> </w:t>
      </w:r>
      <w:r w:rsidRPr="00BA4492">
        <w:rPr>
          <w:rFonts w:ascii="Arial Narrow" w:hAnsi="Arial Narrow" w:cs="Times New Roman"/>
          <w:sz w:val="24"/>
          <w:szCs w:val="24"/>
          <w:lang w:eastAsia="en-GB"/>
        </w:rPr>
        <w:t xml:space="preserve">με </w:t>
      </w:r>
      <w:r w:rsidR="002B031D" w:rsidRPr="00BA4492">
        <w:rPr>
          <w:rFonts w:ascii="Arial Narrow" w:hAnsi="Arial Narrow" w:cs="Times New Roman"/>
          <w:sz w:val="24"/>
          <w:szCs w:val="24"/>
          <w:lang w:eastAsia="en-GB"/>
        </w:rPr>
        <w:t>Κολομβία, Ν. Κορέα, Χιλή, Μαρόκο, Βιετνάμ, Ιορδανία, Σερβία και Αυστραλία</w:t>
      </w:r>
      <w:r w:rsidR="00BE7EBA" w:rsidRPr="00BA4492">
        <w:rPr>
          <w:rFonts w:ascii="Arial Narrow" w:hAnsi="Arial Narrow" w:cs="Times New Roman"/>
          <w:sz w:val="24"/>
          <w:szCs w:val="24"/>
          <w:lang w:eastAsia="en-GB"/>
        </w:rPr>
        <w:t>, καθώς και αυτών του α΄ εξαμήνου του 2025 με Κένυα, Μαλαισία, Ν</w:t>
      </w:r>
      <w:r w:rsidR="00044759" w:rsidRPr="00BA4492">
        <w:rPr>
          <w:rFonts w:ascii="Arial Narrow" w:hAnsi="Arial Narrow" w:cs="Times New Roman"/>
          <w:sz w:val="24"/>
          <w:szCs w:val="24"/>
          <w:lang w:eastAsia="en-GB"/>
        </w:rPr>
        <w:t>.</w:t>
      </w:r>
      <w:r w:rsidR="00BE7EBA" w:rsidRPr="00BA4492">
        <w:rPr>
          <w:rFonts w:ascii="Arial Narrow" w:hAnsi="Arial Narrow" w:cs="Times New Roman"/>
          <w:sz w:val="24"/>
          <w:szCs w:val="24"/>
          <w:lang w:eastAsia="en-GB"/>
        </w:rPr>
        <w:t xml:space="preserve"> Ζηλανδία, Ουκρανία, Κεντροαφρικανική Δημοκρατία και Δημοκρατία του Κονγκό</w:t>
      </w:r>
      <w:r w:rsidR="00044759" w:rsidRPr="00BA4492">
        <w:rPr>
          <w:rFonts w:ascii="Arial Narrow" w:hAnsi="Arial Narrow" w:cs="Times New Roman"/>
          <w:sz w:val="24"/>
          <w:szCs w:val="24"/>
          <w:lang w:eastAsia="en-GB"/>
        </w:rPr>
        <w:t>.</w:t>
      </w:r>
      <w:r w:rsidR="00E14919" w:rsidRPr="00BA4492">
        <w:rPr>
          <w:rFonts w:ascii="Arial Narrow" w:hAnsi="Arial Narrow" w:cs="Times New Roman"/>
          <w:sz w:val="24"/>
          <w:szCs w:val="24"/>
          <w:lang w:eastAsia="en-GB"/>
        </w:rPr>
        <w:t xml:space="preserve"> </w:t>
      </w:r>
      <w:r w:rsidR="00763082" w:rsidRPr="00BA4492">
        <w:rPr>
          <w:rFonts w:ascii="Arial Narrow" w:hAnsi="Arial Narrow" w:cs="Times New Roman"/>
          <w:sz w:val="24"/>
          <w:szCs w:val="24"/>
          <w:lang w:eastAsia="en-GB"/>
        </w:rPr>
        <w:t>Σ</w:t>
      </w:r>
      <w:r w:rsidR="00E14919" w:rsidRPr="00BA4492">
        <w:rPr>
          <w:rFonts w:ascii="Arial Narrow" w:hAnsi="Arial Narrow" w:cs="Times New Roman"/>
          <w:sz w:val="24"/>
          <w:szCs w:val="24"/>
          <w:lang w:eastAsia="en-GB"/>
        </w:rPr>
        <w:t xml:space="preserve">ημειώνεται ότι τα ΗΑΕ έχουν ολοκληρώσει τις διαπραγματεύσεις για υπογραφή </w:t>
      </w:r>
      <w:r w:rsidR="00E14919" w:rsidRPr="00BA4492">
        <w:rPr>
          <w:rFonts w:ascii="Arial Narrow" w:hAnsi="Arial Narrow" w:cs="Times New Roman"/>
          <w:sz w:val="24"/>
          <w:szCs w:val="24"/>
          <w:lang w:val="en-US" w:eastAsia="en-GB"/>
        </w:rPr>
        <w:t>CEPA</w:t>
      </w:r>
      <w:r w:rsidR="00E14919" w:rsidRPr="00BA4492">
        <w:rPr>
          <w:rFonts w:ascii="Arial Narrow" w:hAnsi="Arial Narrow" w:cs="Times New Roman"/>
          <w:sz w:val="24"/>
          <w:szCs w:val="24"/>
          <w:lang w:eastAsia="en-GB"/>
        </w:rPr>
        <w:t xml:space="preserve"> με </w:t>
      </w:r>
      <w:r w:rsidR="00764762" w:rsidRPr="00BA4492">
        <w:rPr>
          <w:rFonts w:ascii="Arial Narrow" w:hAnsi="Arial Narrow" w:cs="Times New Roman"/>
          <w:sz w:val="24"/>
          <w:szCs w:val="24"/>
          <w:lang w:eastAsia="en-GB"/>
        </w:rPr>
        <w:t>το μπλοκ των χωρών Ευρασιατικής Οικονομικής Ένωσης (</w:t>
      </w:r>
      <w:r w:rsidR="00764762" w:rsidRPr="00BA4492">
        <w:rPr>
          <w:rFonts w:ascii="Arial Narrow" w:hAnsi="Arial Narrow" w:cs="Times New Roman"/>
          <w:sz w:val="24"/>
          <w:szCs w:val="24"/>
          <w:lang w:val="fr-FR" w:eastAsia="en-GB"/>
        </w:rPr>
        <w:t>Eurasian </w:t>
      </w:r>
      <w:r w:rsidR="00764762" w:rsidRPr="00BA4492">
        <w:rPr>
          <w:rFonts w:ascii="Arial Narrow" w:hAnsi="Arial Narrow" w:cs="Times New Roman"/>
          <w:sz w:val="24"/>
          <w:szCs w:val="24"/>
          <w:lang w:val="en-US" w:eastAsia="en-GB"/>
        </w:rPr>
        <w:t>Economic Union </w:t>
      </w:r>
      <w:r w:rsidR="00764762" w:rsidRPr="00BA4492">
        <w:rPr>
          <w:rFonts w:ascii="Arial Narrow" w:hAnsi="Arial Narrow" w:cs="Times New Roman"/>
          <w:sz w:val="24"/>
          <w:szCs w:val="24"/>
          <w:lang w:eastAsia="en-GB"/>
        </w:rPr>
        <w:t>– </w:t>
      </w:r>
      <w:r w:rsidR="00764762" w:rsidRPr="00BA4492">
        <w:rPr>
          <w:rFonts w:ascii="Arial Narrow" w:hAnsi="Arial Narrow" w:cs="Times New Roman"/>
          <w:sz w:val="24"/>
          <w:szCs w:val="24"/>
          <w:lang w:val="en-US" w:eastAsia="en-GB"/>
        </w:rPr>
        <w:t>EAEU</w:t>
      </w:r>
      <w:r w:rsidR="00764762" w:rsidRPr="00BA4492">
        <w:rPr>
          <w:rFonts w:ascii="Arial Narrow" w:hAnsi="Arial Narrow" w:cs="Times New Roman"/>
          <w:sz w:val="24"/>
          <w:szCs w:val="24"/>
          <w:lang w:eastAsia="en-GB"/>
        </w:rPr>
        <w:t>), στο οποίο περιλαμβάνονται οι Αρμενία, Λευκορωσία, Καζακστάν, Κιργιζία και Ρωσία</w:t>
      </w:r>
      <w:r w:rsidR="00044759" w:rsidRPr="00BA4492">
        <w:rPr>
          <w:rFonts w:ascii="Arial Narrow" w:hAnsi="Arial Narrow" w:cs="Times New Roman"/>
          <w:sz w:val="24"/>
          <w:szCs w:val="24"/>
          <w:lang w:eastAsia="en-GB"/>
        </w:rPr>
        <w:t>.</w:t>
      </w:r>
    </w:p>
    <w:p w14:paraId="4C262EFC" w14:textId="10984451" w:rsidR="00E77084" w:rsidRPr="00BA4492" w:rsidRDefault="00891BE3" w:rsidP="00E77084">
      <w:pPr>
        <w:spacing w:before="120" w:after="120"/>
        <w:ind w:firstLine="720"/>
        <w:jc w:val="both"/>
        <w:rPr>
          <w:rFonts w:ascii="Arial Narrow" w:hAnsi="Arial Narrow" w:cs="Times New Roman"/>
          <w:sz w:val="24"/>
          <w:szCs w:val="24"/>
          <w:shd w:val="clear" w:color="auto" w:fill="FFFFFF"/>
        </w:rPr>
      </w:pPr>
      <w:r w:rsidRPr="00BA4492">
        <w:rPr>
          <w:rFonts w:ascii="Arial Narrow" w:hAnsi="Arial Narrow" w:cs="Times New Roman"/>
          <w:sz w:val="24"/>
          <w:szCs w:val="24"/>
          <w:lang w:eastAsia="en-GB"/>
        </w:rPr>
        <w:t xml:space="preserve">Η εφαρμογή των </w:t>
      </w:r>
      <w:r w:rsidRPr="00BA4492">
        <w:rPr>
          <w:rFonts w:ascii="Arial Narrow" w:hAnsi="Arial Narrow" w:cs="Times New Roman"/>
          <w:sz w:val="24"/>
          <w:szCs w:val="24"/>
          <w:lang w:val="en-US" w:eastAsia="en-GB"/>
        </w:rPr>
        <w:t>CEPA</w:t>
      </w:r>
      <w:r w:rsidRPr="00BA4492">
        <w:rPr>
          <w:rFonts w:ascii="Arial Narrow" w:hAnsi="Arial Narrow" w:cs="Times New Roman"/>
          <w:sz w:val="24"/>
          <w:szCs w:val="24"/>
          <w:lang w:eastAsia="en-GB"/>
        </w:rPr>
        <w:t xml:space="preserve"> εντάσσεται </w:t>
      </w:r>
      <w:r w:rsidR="00E77084" w:rsidRPr="00BA4492">
        <w:rPr>
          <w:rFonts w:ascii="Arial Narrow" w:hAnsi="Arial Narrow" w:cs="Times New Roman"/>
          <w:sz w:val="24"/>
          <w:szCs w:val="24"/>
          <w:lang w:eastAsia="en-GB"/>
        </w:rPr>
        <w:t>στο πλαίσιο μιας σειράς πρωτοβουλιών αναπτυξιακού και οικονομικού χαρακτήρα “</w:t>
      </w:r>
      <w:r w:rsidR="00E77084" w:rsidRPr="00BA4492">
        <w:rPr>
          <w:rFonts w:ascii="Arial Narrow" w:hAnsi="Arial Narrow" w:cs="Times New Roman"/>
          <w:b/>
          <w:sz w:val="24"/>
          <w:szCs w:val="24"/>
          <w:lang w:val="en-US" w:eastAsia="en-GB"/>
        </w:rPr>
        <w:t>Projects</w:t>
      </w:r>
      <w:r w:rsidR="00E77084" w:rsidRPr="00BA4492">
        <w:rPr>
          <w:rFonts w:ascii="Arial Narrow" w:hAnsi="Arial Narrow" w:cs="Times New Roman"/>
          <w:b/>
          <w:sz w:val="24"/>
          <w:szCs w:val="24"/>
          <w:lang w:eastAsia="en-GB"/>
        </w:rPr>
        <w:t xml:space="preserve"> </w:t>
      </w:r>
      <w:r w:rsidR="00E77084" w:rsidRPr="00BA4492">
        <w:rPr>
          <w:rFonts w:ascii="Arial Narrow" w:hAnsi="Arial Narrow" w:cs="Times New Roman"/>
          <w:b/>
          <w:sz w:val="24"/>
          <w:szCs w:val="24"/>
          <w:lang w:val="en-US" w:eastAsia="en-GB"/>
        </w:rPr>
        <w:t>of</w:t>
      </w:r>
      <w:r w:rsidR="00E77084" w:rsidRPr="00BA4492">
        <w:rPr>
          <w:rFonts w:ascii="Arial Narrow" w:hAnsi="Arial Narrow" w:cs="Times New Roman"/>
          <w:b/>
          <w:sz w:val="24"/>
          <w:szCs w:val="24"/>
          <w:lang w:eastAsia="en-GB"/>
        </w:rPr>
        <w:t xml:space="preserve"> </w:t>
      </w:r>
      <w:r w:rsidR="00E77084" w:rsidRPr="00BA4492">
        <w:rPr>
          <w:rFonts w:ascii="Arial Narrow" w:hAnsi="Arial Narrow" w:cs="Times New Roman"/>
          <w:b/>
          <w:sz w:val="24"/>
          <w:szCs w:val="24"/>
          <w:lang w:val="en-US" w:eastAsia="en-GB"/>
        </w:rPr>
        <w:t>the</w:t>
      </w:r>
      <w:r w:rsidR="00E77084" w:rsidRPr="00BA4492">
        <w:rPr>
          <w:rFonts w:ascii="Arial Narrow" w:hAnsi="Arial Narrow" w:cs="Times New Roman"/>
          <w:b/>
          <w:sz w:val="24"/>
          <w:szCs w:val="24"/>
          <w:lang w:eastAsia="en-GB"/>
        </w:rPr>
        <w:t xml:space="preserve"> 50”</w:t>
      </w:r>
      <w:r w:rsidR="00E77084" w:rsidRPr="00BA4492">
        <w:rPr>
          <w:rFonts w:ascii="Arial Narrow" w:hAnsi="Arial Narrow" w:cs="Times New Roman"/>
          <w:sz w:val="24"/>
          <w:szCs w:val="24"/>
          <w:lang w:eastAsia="en-GB"/>
        </w:rPr>
        <w:t>, στοχεύοντας να καταστήσουν τα ΗΑΕ παγκόσμιο επιχειρηματικό κόμβο</w:t>
      </w:r>
      <w:r w:rsidR="0016139F" w:rsidRPr="00BA4492">
        <w:rPr>
          <w:rFonts w:ascii="Arial Narrow" w:hAnsi="Arial Narrow" w:cs="Times New Roman"/>
          <w:sz w:val="24"/>
          <w:szCs w:val="24"/>
          <w:lang w:eastAsia="en-GB"/>
        </w:rPr>
        <w:t xml:space="preserve"> (</w:t>
      </w:r>
      <w:hyperlink w:anchor="_Επισκόπηση_της_Οικονομίας" w:history="1">
        <w:r w:rsidR="0016139F" w:rsidRPr="00BA4492">
          <w:rPr>
            <w:rStyle w:val="Hyperlink"/>
            <w:rFonts w:ascii="Arial Narrow" w:hAnsi="Arial Narrow" w:cs="Times New Roman"/>
            <w:sz w:val="24"/>
            <w:szCs w:val="24"/>
            <w:lang w:eastAsia="en-GB"/>
          </w:rPr>
          <w:t>βλ. Ενότητα 2.1</w:t>
        </w:r>
      </w:hyperlink>
      <w:r w:rsidR="0016139F" w:rsidRPr="00BA4492">
        <w:rPr>
          <w:rFonts w:ascii="Arial Narrow" w:hAnsi="Arial Narrow" w:cs="Times New Roman"/>
          <w:sz w:val="24"/>
          <w:szCs w:val="24"/>
          <w:lang w:eastAsia="en-GB"/>
        </w:rPr>
        <w:t>).</w:t>
      </w:r>
      <w:r w:rsidR="009D1D27" w:rsidRPr="00BA4492">
        <w:rPr>
          <w:rFonts w:ascii="Arial Narrow" w:hAnsi="Arial Narrow" w:cs="Times New Roman"/>
          <w:sz w:val="24"/>
          <w:szCs w:val="24"/>
          <w:lang w:eastAsia="en-GB"/>
        </w:rPr>
        <w:t xml:space="preserve"> </w:t>
      </w:r>
      <w:r w:rsidR="00E77084" w:rsidRPr="00BA4492">
        <w:rPr>
          <w:rFonts w:ascii="Arial Narrow" w:hAnsi="Arial Narrow" w:cs="Times New Roman"/>
          <w:sz w:val="24"/>
          <w:szCs w:val="24"/>
          <w:shd w:val="clear" w:color="auto" w:fill="FFFFFF"/>
        </w:rPr>
        <w:t xml:space="preserve">Η υπογραφή των </w:t>
      </w:r>
      <w:r w:rsidR="00E77084" w:rsidRPr="00BA4492">
        <w:rPr>
          <w:rFonts w:ascii="Arial Narrow" w:hAnsi="Arial Narrow" w:cs="Times New Roman"/>
          <w:sz w:val="24"/>
          <w:szCs w:val="24"/>
          <w:shd w:val="clear" w:color="auto" w:fill="FFFFFF"/>
          <w:lang w:val="en-US"/>
        </w:rPr>
        <w:t>CEPA</w:t>
      </w:r>
      <w:r w:rsidR="00E77084" w:rsidRPr="00BA4492">
        <w:rPr>
          <w:rFonts w:ascii="Arial Narrow" w:hAnsi="Arial Narrow" w:cs="Times New Roman"/>
          <w:sz w:val="24"/>
          <w:szCs w:val="24"/>
          <w:shd w:val="clear" w:color="auto" w:fill="FFFFFF"/>
        </w:rPr>
        <w:t xml:space="preserve"> συνεπάγεται την εξάλειψη ή τη μείωση των τελωνειακών δασμών, την άρση των εμπορικών φραγμών, τη διευκόλυνση των επενδύσεων και γενικότερα την αύξηση του όγκου του διμερούς εμπορίο</w:t>
      </w:r>
      <w:r w:rsidR="006A3404" w:rsidRPr="00BA4492">
        <w:rPr>
          <w:rFonts w:ascii="Arial Narrow" w:hAnsi="Arial Narrow" w:cs="Times New Roman"/>
          <w:sz w:val="24"/>
          <w:szCs w:val="24"/>
          <w:shd w:val="clear" w:color="auto" w:fill="FFFFFF"/>
        </w:rPr>
        <w:t>υ, καθώς και</w:t>
      </w:r>
      <w:r w:rsidR="00E77084" w:rsidRPr="00BA4492">
        <w:rPr>
          <w:rFonts w:ascii="Arial Narrow" w:hAnsi="Arial Narrow" w:cs="Times New Roman"/>
          <w:sz w:val="24"/>
          <w:szCs w:val="24"/>
          <w:shd w:val="clear" w:color="auto" w:fill="FFFFFF"/>
        </w:rPr>
        <w:t xml:space="preserve"> τη σύσφιξη των οικονομικών σχέσεων μεταξύ των επιχειρηματικών κοινοτήτων των ΗΑΕ με την εκάστοτε χώρα. </w:t>
      </w:r>
    </w:p>
    <w:p w14:paraId="4E940F5F" w14:textId="274DA85D" w:rsidR="002A2B29" w:rsidRPr="00817F84" w:rsidRDefault="002A2B29" w:rsidP="00817F84">
      <w:pPr>
        <w:spacing w:before="120" w:after="120"/>
        <w:ind w:firstLine="720"/>
        <w:jc w:val="both"/>
        <w:rPr>
          <w:rFonts w:ascii="Arial Narrow" w:eastAsia="Times New Roman" w:hAnsi="Arial Narrow" w:cs="Times New Roman"/>
          <w:sz w:val="24"/>
          <w:szCs w:val="24"/>
          <w:highlight w:val="yellow"/>
          <w:shd w:val="clear" w:color="auto" w:fill="FFFFFF"/>
        </w:rPr>
      </w:pPr>
      <w:bookmarkStart w:id="45" w:name="_Toc200448529"/>
      <w:r w:rsidRPr="00BA4492">
        <w:rPr>
          <w:rFonts w:ascii="Arial Narrow" w:hAnsi="Arial Narrow"/>
          <w:color w:val="1F497D" w:themeColor="text2"/>
          <w:sz w:val="28"/>
          <w:szCs w:val="28"/>
        </w:rPr>
        <w:t xml:space="preserve">Συμμετοχή </w:t>
      </w:r>
      <w:r w:rsidR="00F91646" w:rsidRPr="00BA4492">
        <w:rPr>
          <w:rFonts w:ascii="Arial Narrow" w:hAnsi="Arial Narrow"/>
          <w:color w:val="1F497D" w:themeColor="text2"/>
          <w:sz w:val="28"/>
          <w:szCs w:val="28"/>
        </w:rPr>
        <w:t xml:space="preserve">των ΗΑΕ </w:t>
      </w:r>
      <w:r w:rsidRPr="00BA4492">
        <w:rPr>
          <w:rFonts w:ascii="Arial Narrow" w:hAnsi="Arial Narrow"/>
          <w:color w:val="1F497D" w:themeColor="text2"/>
          <w:sz w:val="28"/>
          <w:szCs w:val="28"/>
        </w:rPr>
        <w:t xml:space="preserve">σε </w:t>
      </w:r>
      <w:r w:rsidR="00275B05" w:rsidRPr="00BA4492">
        <w:rPr>
          <w:rFonts w:ascii="Arial Narrow" w:hAnsi="Arial Narrow"/>
          <w:color w:val="1F497D" w:themeColor="text2"/>
          <w:sz w:val="28"/>
          <w:szCs w:val="28"/>
        </w:rPr>
        <w:t>Δ</w:t>
      </w:r>
      <w:r w:rsidRPr="00BA4492">
        <w:rPr>
          <w:rFonts w:ascii="Arial Narrow" w:hAnsi="Arial Narrow"/>
          <w:color w:val="1F497D" w:themeColor="text2"/>
          <w:sz w:val="28"/>
          <w:szCs w:val="28"/>
        </w:rPr>
        <w:t xml:space="preserve">ιεθνή </w:t>
      </w:r>
      <w:r w:rsidR="00275B05" w:rsidRPr="00BA4492">
        <w:rPr>
          <w:rFonts w:ascii="Arial Narrow" w:hAnsi="Arial Narrow"/>
          <w:color w:val="1F497D" w:themeColor="text2"/>
          <w:sz w:val="28"/>
          <w:szCs w:val="28"/>
        </w:rPr>
        <w:t>Φ</w:t>
      </w:r>
      <w:r w:rsidRPr="00BA4492">
        <w:rPr>
          <w:rFonts w:ascii="Arial Narrow" w:hAnsi="Arial Narrow"/>
          <w:color w:val="1F497D" w:themeColor="text2"/>
          <w:sz w:val="28"/>
          <w:szCs w:val="28"/>
        </w:rPr>
        <w:t xml:space="preserve">όρα και </w:t>
      </w:r>
      <w:r w:rsidR="00275B05" w:rsidRPr="00BA4492">
        <w:rPr>
          <w:rFonts w:ascii="Arial Narrow" w:hAnsi="Arial Narrow"/>
          <w:color w:val="1F497D" w:themeColor="text2"/>
          <w:sz w:val="28"/>
          <w:szCs w:val="28"/>
        </w:rPr>
        <w:t>Ο</w:t>
      </w:r>
      <w:r w:rsidRPr="00BA4492">
        <w:rPr>
          <w:rFonts w:ascii="Arial Narrow" w:hAnsi="Arial Narrow"/>
          <w:color w:val="1F497D" w:themeColor="text2"/>
          <w:sz w:val="28"/>
          <w:szCs w:val="28"/>
        </w:rPr>
        <w:t xml:space="preserve">μάδες </w:t>
      </w:r>
      <w:r w:rsidR="00275B05" w:rsidRPr="00BA4492">
        <w:rPr>
          <w:rFonts w:ascii="Arial Narrow" w:hAnsi="Arial Narrow"/>
          <w:color w:val="1F497D" w:themeColor="text2"/>
          <w:sz w:val="28"/>
          <w:szCs w:val="28"/>
        </w:rPr>
        <w:t>Χ</w:t>
      </w:r>
      <w:r w:rsidRPr="00BA4492">
        <w:rPr>
          <w:rFonts w:ascii="Arial Narrow" w:hAnsi="Arial Narrow"/>
          <w:color w:val="1F497D" w:themeColor="text2"/>
          <w:sz w:val="28"/>
          <w:szCs w:val="28"/>
        </w:rPr>
        <w:t>ωρών</w:t>
      </w:r>
      <w:bookmarkEnd w:id="45"/>
    </w:p>
    <w:p w14:paraId="1FD866B8" w14:textId="77777777" w:rsidR="002C17A4" w:rsidRPr="00BA4492" w:rsidRDefault="002C17A4" w:rsidP="002C17A4">
      <w:pPr>
        <w:rPr>
          <w:rFonts w:ascii="Arial Narrow" w:hAnsi="Arial Narrow"/>
          <w:sz w:val="24"/>
          <w:szCs w:val="24"/>
        </w:rPr>
      </w:pPr>
    </w:p>
    <w:p w14:paraId="211E915F" w14:textId="3232F4B4" w:rsidR="00E77DDB" w:rsidRPr="00BA4492" w:rsidRDefault="00E77DDB" w:rsidP="0020391B">
      <w:pPr>
        <w:spacing w:after="0"/>
        <w:ind w:left="360" w:firstLine="851"/>
        <w:jc w:val="both"/>
        <w:rPr>
          <w:rFonts w:ascii="Arial Narrow" w:eastAsia="Times New Roman" w:hAnsi="Arial Narrow" w:cs="Times New Roman"/>
          <w:noProof/>
          <w:sz w:val="24"/>
          <w:szCs w:val="24"/>
        </w:rPr>
      </w:pPr>
      <w:r w:rsidRPr="00BA4492">
        <w:rPr>
          <w:rFonts w:ascii="Arial Narrow" w:eastAsia="Times New Roman" w:hAnsi="Arial Narrow" w:cs="Times New Roman"/>
          <w:noProof/>
          <w:sz w:val="24"/>
          <w:szCs w:val="24"/>
        </w:rPr>
        <w:t xml:space="preserve">Τα ΗΑΕ είναι μέλη στους εξής </w:t>
      </w:r>
      <w:r w:rsidR="00836B0E" w:rsidRPr="00BA4492">
        <w:rPr>
          <w:rFonts w:ascii="Arial Narrow" w:eastAsia="Times New Roman" w:hAnsi="Arial Narrow" w:cs="Times New Roman"/>
          <w:noProof/>
          <w:sz w:val="24"/>
          <w:szCs w:val="24"/>
        </w:rPr>
        <w:t>Δ</w:t>
      </w:r>
      <w:r w:rsidRPr="00BA4492">
        <w:rPr>
          <w:rFonts w:ascii="Arial Narrow" w:eastAsia="Times New Roman" w:hAnsi="Arial Narrow" w:cs="Times New Roman"/>
          <w:noProof/>
          <w:sz w:val="24"/>
          <w:szCs w:val="24"/>
        </w:rPr>
        <w:t xml:space="preserve">ιεθνείς </w:t>
      </w:r>
      <w:r w:rsidR="00836B0E" w:rsidRPr="00BA4492">
        <w:rPr>
          <w:rFonts w:ascii="Arial Narrow" w:eastAsia="Times New Roman" w:hAnsi="Arial Narrow" w:cs="Times New Roman"/>
          <w:noProof/>
          <w:sz w:val="24"/>
          <w:szCs w:val="24"/>
        </w:rPr>
        <w:t>Ο</w:t>
      </w:r>
      <w:r w:rsidRPr="00BA4492">
        <w:rPr>
          <w:rFonts w:ascii="Arial Narrow" w:eastAsia="Times New Roman" w:hAnsi="Arial Narrow" w:cs="Times New Roman"/>
          <w:noProof/>
          <w:sz w:val="24"/>
          <w:szCs w:val="24"/>
        </w:rPr>
        <w:t>ργανισμούς:</w:t>
      </w:r>
    </w:p>
    <w:p w14:paraId="67E26A91" w14:textId="77777777" w:rsidR="00A80B5E" w:rsidRPr="00BA4492" w:rsidRDefault="00A80B5E" w:rsidP="0020391B">
      <w:pPr>
        <w:spacing w:after="0"/>
        <w:ind w:left="360" w:firstLine="851"/>
        <w:jc w:val="both"/>
        <w:rPr>
          <w:rFonts w:ascii="Arial Narrow" w:eastAsia="Times New Roman" w:hAnsi="Arial Narrow" w:cs="Times New Roman"/>
          <w:noProof/>
          <w:sz w:val="24"/>
          <w:szCs w:val="24"/>
        </w:rPr>
      </w:pPr>
    </w:p>
    <w:p w14:paraId="2CBBA588" w14:textId="77777777" w:rsidR="00E77DDB" w:rsidRPr="00BA4492" w:rsidRDefault="00022BD6" w:rsidP="00FF0D1C">
      <w:pPr>
        <w:numPr>
          <w:ilvl w:val="0"/>
          <w:numId w:val="2"/>
        </w:numPr>
        <w:tabs>
          <w:tab w:val="clear" w:pos="360"/>
          <w:tab w:val="num" w:pos="720"/>
        </w:tabs>
        <w:spacing w:after="0" w:line="240" w:lineRule="auto"/>
        <w:ind w:left="720" w:firstLine="851"/>
        <w:rPr>
          <w:rFonts w:ascii="Arial Narrow" w:eastAsia="Times New Roman" w:hAnsi="Arial Narrow" w:cs="Times New Roman"/>
          <w:sz w:val="24"/>
          <w:szCs w:val="24"/>
          <w:lang w:val="en-US"/>
        </w:rPr>
      </w:pPr>
      <w:hyperlink r:id="rId26" w:tooltip="Arab Bank for Economic Development in Africa" w:history="1">
        <w:r w:rsidR="00E77DDB" w:rsidRPr="00BA4492">
          <w:rPr>
            <w:rFonts w:ascii="Arial Narrow" w:eastAsia="Times New Roman" w:hAnsi="Arial Narrow" w:cs="Times New Roman"/>
            <w:color w:val="0000FF"/>
            <w:sz w:val="24"/>
            <w:szCs w:val="24"/>
            <w:u w:val="single"/>
            <w:lang w:val="en-US"/>
          </w:rPr>
          <w:t>Arab Bank for Economic Development in Africa</w:t>
        </w:r>
      </w:hyperlink>
      <w:r w:rsidR="00E77DDB" w:rsidRPr="00BA4492">
        <w:rPr>
          <w:rFonts w:ascii="Arial Narrow" w:eastAsia="Times New Roman" w:hAnsi="Arial Narrow" w:cs="Times New Roman"/>
          <w:sz w:val="24"/>
          <w:szCs w:val="24"/>
          <w:lang w:val="en-US"/>
        </w:rPr>
        <w:t xml:space="preserve"> (ABEDA)</w:t>
      </w:r>
    </w:p>
    <w:p w14:paraId="35CA18D7" w14:textId="77777777" w:rsidR="00E77DDB" w:rsidRPr="00BA4492" w:rsidRDefault="00022BD6" w:rsidP="00FF0D1C">
      <w:pPr>
        <w:numPr>
          <w:ilvl w:val="0"/>
          <w:numId w:val="2"/>
        </w:numPr>
        <w:tabs>
          <w:tab w:val="clear" w:pos="360"/>
          <w:tab w:val="num" w:pos="720"/>
        </w:tabs>
        <w:spacing w:after="0" w:line="240" w:lineRule="auto"/>
        <w:ind w:left="720" w:firstLine="851"/>
        <w:rPr>
          <w:rFonts w:ascii="Arial Narrow" w:eastAsia="Times New Roman" w:hAnsi="Arial Narrow" w:cs="Times New Roman"/>
          <w:sz w:val="24"/>
          <w:szCs w:val="24"/>
          <w:lang w:val="en-US"/>
        </w:rPr>
      </w:pPr>
      <w:hyperlink r:id="rId27" w:tooltip="Arab Fund for Economic and Social Development" w:history="1">
        <w:r w:rsidR="00E77DDB" w:rsidRPr="00BA4492">
          <w:rPr>
            <w:rFonts w:ascii="Arial Narrow" w:eastAsia="Times New Roman" w:hAnsi="Arial Narrow" w:cs="Times New Roman"/>
            <w:color w:val="0000FF"/>
            <w:sz w:val="24"/>
            <w:szCs w:val="24"/>
            <w:u w:val="single"/>
            <w:lang w:val="en-US"/>
          </w:rPr>
          <w:t>Arab Fund for Economic and Social Development</w:t>
        </w:r>
      </w:hyperlink>
      <w:r w:rsidR="00E77DDB" w:rsidRPr="00BA4492">
        <w:rPr>
          <w:rFonts w:ascii="Arial Narrow" w:eastAsia="Times New Roman" w:hAnsi="Arial Narrow" w:cs="Times New Roman"/>
          <w:sz w:val="24"/>
          <w:szCs w:val="24"/>
          <w:lang w:val="en-US"/>
        </w:rPr>
        <w:t xml:space="preserve"> (AFESD)</w:t>
      </w:r>
    </w:p>
    <w:p w14:paraId="2527C00E" w14:textId="77777777" w:rsidR="00E77DDB" w:rsidRPr="007E3861" w:rsidRDefault="00022BD6" w:rsidP="00FF0D1C">
      <w:pPr>
        <w:numPr>
          <w:ilvl w:val="0"/>
          <w:numId w:val="2"/>
        </w:numPr>
        <w:tabs>
          <w:tab w:val="clear" w:pos="360"/>
          <w:tab w:val="num" w:pos="720"/>
        </w:tabs>
        <w:spacing w:after="0" w:line="240" w:lineRule="auto"/>
        <w:ind w:left="720" w:firstLine="851"/>
        <w:rPr>
          <w:rFonts w:ascii="Arial Narrow" w:eastAsia="Times New Roman" w:hAnsi="Arial Narrow" w:cs="Times New Roman"/>
          <w:sz w:val="24"/>
          <w:szCs w:val="24"/>
        </w:rPr>
      </w:pPr>
      <w:hyperlink r:id="rId28" w:tooltip="Arab Monetary Fund" w:history="1">
        <w:r w:rsidR="00E77DDB" w:rsidRPr="007E3861">
          <w:rPr>
            <w:rFonts w:ascii="Arial Narrow" w:eastAsia="Times New Roman" w:hAnsi="Arial Narrow" w:cs="Times New Roman"/>
            <w:color w:val="0000FF"/>
            <w:sz w:val="24"/>
            <w:szCs w:val="24"/>
            <w:u w:val="single"/>
          </w:rPr>
          <w:t>Arab Monetary Fund</w:t>
        </w:r>
      </w:hyperlink>
      <w:r w:rsidR="00E77DDB" w:rsidRPr="007E3861">
        <w:rPr>
          <w:rFonts w:ascii="Arial Narrow" w:eastAsia="Times New Roman" w:hAnsi="Arial Narrow" w:cs="Times New Roman"/>
          <w:sz w:val="24"/>
          <w:szCs w:val="24"/>
        </w:rPr>
        <w:t xml:space="preserve"> (AMF)</w:t>
      </w:r>
    </w:p>
    <w:p w14:paraId="00FFABA9" w14:textId="77777777" w:rsidR="00E77DDB" w:rsidRPr="007E3861" w:rsidRDefault="00022BD6" w:rsidP="00FF0D1C">
      <w:pPr>
        <w:numPr>
          <w:ilvl w:val="0"/>
          <w:numId w:val="2"/>
        </w:numPr>
        <w:tabs>
          <w:tab w:val="clear" w:pos="360"/>
          <w:tab w:val="num" w:pos="720"/>
        </w:tabs>
        <w:spacing w:after="0" w:line="240" w:lineRule="auto"/>
        <w:ind w:left="720" w:firstLine="851"/>
        <w:rPr>
          <w:rFonts w:ascii="Arial Narrow" w:eastAsia="Times New Roman" w:hAnsi="Arial Narrow" w:cs="Times New Roman"/>
          <w:sz w:val="24"/>
          <w:szCs w:val="24"/>
          <w:lang w:val="en-US"/>
        </w:rPr>
      </w:pPr>
      <w:hyperlink r:id="rId29" w:tooltip="Cooperation Council for the Arab States of the Gulf" w:history="1">
        <w:r w:rsidR="00E77DDB" w:rsidRPr="007E3861">
          <w:rPr>
            <w:rFonts w:ascii="Arial Narrow" w:eastAsia="Times New Roman" w:hAnsi="Arial Narrow" w:cs="Times New Roman"/>
            <w:color w:val="0000FF"/>
            <w:sz w:val="24"/>
            <w:szCs w:val="24"/>
            <w:u w:val="single"/>
            <w:lang w:val="en-US"/>
          </w:rPr>
          <w:t>Cooperation Council for the Arab States of the Gulf</w:t>
        </w:r>
      </w:hyperlink>
      <w:r w:rsidR="00E77DDB" w:rsidRPr="007E3861">
        <w:rPr>
          <w:rFonts w:ascii="Arial Narrow" w:eastAsia="Times New Roman" w:hAnsi="Arial Narrow" w:cs="Times New Roman"/>
          <w:sz w:val="24"/>
          <w:szCs w:val="24"/>
          <w:lang w:val="en-US"/>
        </w:rPr>
        <w:t xml:space="preserve"> (GCC)</w:t>
      </w:r>
    </w:p>
    <w:p w14:paraId="6B692C50" w14:textId="77777777" w:rsidR="00E77DDB" w:rsidRPr="007E3861" w:rsidRDefault="00022BD6" w:rsidP="00FF0D1C">
      <w:pPr>
        <w:numPr>
          <w:ilvl w:val="0"/>
          <w:numId w:val="2"/>
        </w:numPr>
        <w:tabs>
          <w:tab w:val="clear" w:pos="360"/>
          <w:tab w:val="num" w:pos="720"/>
        </w:tabs>
        <w:spacing w:after="0" w:line="240" w:lineRule="auto"/>
        <w:ind w:left="720" w:firstLine="851"/>
        <w:rPr>
          <w:rFonts w:ascii="Arial Narrow" w:eastAsia="Times New Roman" w:hAnsi="Arial Narrow" w:cs="Times New Roman"/>
          <w:sz w:val="24"/>
          <w:szCs w:val="24"/>
          <w:lang w:val="en-US"/>
        </w:rPr>
      </w:pPr>
      <w:hyperlink r:id="rId30" w:tooltip="Food and Agriculture Organization" w:history="1">
        <w:r w:rsidR="00E77DDB" w:rsidRPr="007E3861">
          <w:rPr>
            <w:rFonts w:ascii="Arial Narrow" w:eastAsia="Times New Roman" w:hAnsi="Arial Narrow" w:cs="Times New Roman"/>
            <w:color w:val="0000FF"/>
            <w:sz w:val="24"/>
            <w:szCs w:val="24"/>
            <w:u w:val="single"/>
            <w:lang w:val="en-US"/>
          </w:rPr>
          <w:t>Food and Agriculture Organization</w:t>
        </w:r>
      </w:hyperlink>
      <w:r w:rsidR="00E77DDB" w:rsidRPr="007E3861">
        <w:rPr>
          <w:rFonts w:ascii="Arial Narrow" w:eastAsia="Times New Roman" w:hAnsi="Arial Narrow" w:cs="Times New Roman"/>
          <w:sz w:val="24"/>
          <w:szCs w:val="24"/>
          <w:lang w:val="en-US"/>
        </w:rPr>
        <w:t xml:space="preserve"> (FAO)</w:t>
      </w:r>
    </w:p>
    <w:p w14:paraId="3CD5E290" w14:textId="77777777" w:rsidR="00E77DDB" w:rsidRPr="00A80B5E" w:rsidRDefault="00022BD6" w:rsidP="00FF0D1C">
      <w:pPr>
        <w:numPr>
          <w:ilvl w:val="0"/>
          <w:numId w:val="2"/>
        </w:numPr>
        <w:tabs>
          <w:tab w:val="clear" w:pos="360"/>
          <w:tab w:val="num" w:pos="720"/>
        </w:tabs>
        <w:spacing w:after="0" w:line="240" w:lineRule="auto"/>
        <w:ind w:left="720" w:firstLine="851"/>
        <w:rPr>
          <w:rFonts w:ascii="Times New Roman" w:eastAsia="Times New Roman" w:hAnsi="Times New Roman" w:cs="Times New Roman"/>
        </w:rPr>
      </w:pPr>
      <w:hyperlink r:id="rId31" w:tooltip="Group of 77" w:history="1">
        <w:r w:rsidR="00E77DDB" w:rsidRPr="00A80B5E">
          <w:rPr>
            <w:rFonts w:ascii="Times New Roman" w:eastAsia="Times New Roman" w:hAnsi="Times New Roman" w:cs="Times New Roman"/>
            <w:color w:val="0000FF"/>
            <w:u w:val="single"/>
          </w:rPr>
          <w:t>Group of 77</w:t>
        </w:r>
      </w:hyperlink>
      <w:r w:rsidR="00E77DDB" w:rsidRPr="00A80B5E">
        <w:rPr>
          <w:rFonts w:ascii="Times New Roman" w:eastAsia="Times New Roman" w:hAnsi="Times New Roman" w:cs="Times New Roman"/>
        </w:rPr>
        <w:t xml:space="preserve"> (G77)</w:t>
      </w:r>
    </w:p>
    <w:p w14:paraId="74618A19" w14:textId="77777777" w:rsidR="00E77DDB" w:rsidRPr="00A80B5E" w:rsidRDefault="00022BD6" w:rsidP="00FF0D1C">
      <w:pPr>
        <w:numPr>
          <w:ilvl w:val="0"/>
          <w:numId w:val="2"/>
        </w:numPr>
        <w:tabs>
          <w:tab w:val="clear" w:pos="360"/>
          <w:tab w:val="num" w:pos="720"/>
        </w:tabs>
        <w:spacing w:after="0" w:line="240" w:lineRule="auto"/>
        <w:ind w:left="720" w:firstLine="851"/>
        <w:rPr>
          <w:rFonts w:ascii="Times New Roman" w:eastAsia="Times New Roman" w:hAnsi="Times New Roman" w:cs="Times New Roman"/>
          <w:lang w:val="en-US"/>
        </w:rPr>
      </w:pPr>
      <w:hyperlink r:id="rId32" w:tooltip="International Atomic Energy Agency" w:history="1">
        <w:r w:rsidR="00E77DDB" w:rsidRPr="00A80B5E">
          <w:rPr>
            <w:rFonts w:ascii="Times New Roman" w:eastAsia="Times New Roman" w:hAnsi="Times New Roman" w:cs="Times New Roman"/>
            <w:color w:val="0000FF"/>
            <w:u w:val="single"/>
            <w:lang w:val="en-US"/>
          </w:rPr>
          <w:t>International Atomic Energy Agency</w:t>
        </w:r>
      </w:hyperlink>
      <w:r w:rsidR="00E77DDB" w:rsidRPr="00A80B5E">
        <w:rPr>
          <w:rFonts w:ascii="Times New Roman" w:eastAsia="Times New Roman" w:hAnsi="Times New Roman" w:cs="Times New Roman"/>
          <w:lang w:val="en-US"/>
        </w:rPr>
        <w:t xml:space="preserve"> (IAEA)</w:t>
      </w:r>
    </w:p>
    <w:p w14:paraId="5CFBCE7A" w14:textId="77777777" w:rsidR="00E77DDB" w:rsidRPr="00A80B5E" w:rsidRDefault="00022BD6" w:rsidP="00FF0D1C">
      <w:pPr>
        <w:numPr>
          <w:ilvl w:val="0"/>
          <w:numId w:val="2"/>
        </w:numPr>
        <w:tabs>
          <w:tab w:val="clear" w:pos="360"/>
          <w:tab w:val="num" w:pos="720"/>
        </w:tabs>
        <w:spacing w:after="0" w:line="240" w:lineRule="auto"/>
        <w:ind w:left="720" w:firstLine="851"/>
        <w:rPr>
          <w:rFonts w:ascii="Times New Roman" w:eastAsia="Times New Roman" w:hAnsi="Times New Roman" w:cs="Times New Roman"/>
          <w:lang w:val="en-US"/>
        </w:rPr>
      </w:pPr>
      <w:hyperlink r:id="rId33" w:tooltip="International Bank for Reconstruction and Development" w:history="1">
        <w:r w:rsidR="00E77DDB" w:rsidRPr="00A80B5E">
          <w:rPr>
            <w:rFonts w:ascii="Times New Roman" w:eastAsia="Times New Roman" w:hAnsi="Times New Roman" w:cs="Times New Roman"/>
            <w:color w:val="0000FF"/>
            <w:u w:val="single"/>
            <w:lang w:val="en-US"/>
          </w:rPr>
          <w:t>International Bank for Reconstruction and Development</w:t>
        </w:r>
      </w:hyperlink>
      <w:r w:rsidR="00E77DDB" w:rsidRPr="00A80B5E">
        <w:rPr>
          <w:rFonts w:ascii="Times New Roman" w:eastAsia="Times New Roman" w:hAnsi="Times New Roman" w:cs="Times New Roman"/>
          <w:lang w:val="en-US"/>
        </w:rPr>
        <w:t xml:space="preserve"> (IBRD)</w:t>
      </w:r>
    </w:p>
    <w:p w14:paraId="432CFFA7" w14:textId="77777777" w:rsidR="00E77DDB" w:rsidRPr="00A80B5E" w:rsidRDefault="00022BD6" w:rsidP="00FF0D1C">
      <w:pPr>
        <w:numPr>
          <w:ilvl w:val="0"/>
          <w:numId w:val="2"/>
        </w:numPr>
        <w:tabs>
          <w:tab w:val="clear" w:pos="360"/>
          <w:tab w:val="num" w:pos="720"/>
        </w:tabs>
        <w:spacing w:after="0" w:line="240" w:lineRule="auto"/>
        <w:ind w:left="720" w:firstLine="851"/>
        <w:rPr>
          <w:rFonts w:ascii="Times New Roman" w:eastAsia="Times New Roman" w:hAnsi="Times New Roman" w:cs="Times New Roman"/>
          <w:lang w:val="en-US"/>
        </w:rPr>
      </w:pPr>
      <w:hyperlink r:id="rId34" w:tooltip="International Chamber of Commerce" w:history="1">
        <w:r w:rsidR="00E77DDB" w:rsidRPr="00A80B5E">
          <w:rPr>
            <w:rFonts w:ascii="Times New Roman" w:eastAsia="Times New Roman" w:hAnsi="Times New Roman" w:cs="Times New Roman"/>
            <w:color w:val="0000FF"/>
            <w:u w:val="single"/>
            <w:lang w:val="en-US"/>
          </w:rPr>
          <w:t>International Chamber of Commerce</w:t>
        </w:r>
      </w:hyperlink>
      <w:r w:rsidR="00E77DDB" w:rsidRPr="00A80B5E">
        <w:rPr>
          <w:rFonts w:ascii="Times New Roman" w:eastAsia="Times New Roman" w:hAnsi="Times New Roman" w:cs="Times New Roman"/>
          <w:lang w:val="en-US"/>
        </w:rPr>
        <w:t xml:space="preserve"> (ICC)</w:t>
      </w:r>
    </w:p>
    <w:p w14:paraId="305881A3" w14:textId="77777777" w:rsidR="00E77DDB" w:rsidRPr="00A80B5E" w:rsidRDefault="00022BD6" w:rsidP="00FF0D1C">
      <w:pPr>
        <w:numPr>
          <w:ilvl w:val="0"/>
          <w:numId w:val="2"/>
        </w:numPr>
        <w:tabs>
          <w:tab w:val="clear" w:pos="360"/>
          <w:tab w:val="num" w:pos="720"/>
        </w:tabs>
        <w:spacing w:after="0" w:line="240" w:lineRule="auto"/>
        <w:ind w:left="720" w:firstLine="851"/>
        <w:rPr>
          <w:rFonts w:ascii="Times New Roman" w:eastAsia="Times New Roman" w:hAnsi="Times New Roman" w:cs="Times New Roman"/>
          <w:lang w:val="en-US"/>
        </w:rPr>
      </w:pPr>
      <w:hyperlink r:id="rId35" w:tooltip="International Civil Aviation Organization" w:history="1">
        <w:r w:rsidR="00E77DDB" w:rsidRPr="00A80B5E">
          <w:rPr>
            <w:rFonts w:ascii="Times New Roman" w:eastAsia="Times New Roman" w:hAnsi="Times New Roman" w:cs="Times New Roman"/>
            <w:color w:val="0000FF"/>
            <w:u w:val="single"/>
            <w:lang w:val="en-US"/>
          </w:rPr>
          <w:t>International Civil Aviation Organization</w:t>
        </w:r>
      </w:hyperlink>
      <w:r w:rsidR="00E77DDB" w:rsidRPr="00A80B5E">
        <w:rPr>
          <w:rFonts w:ascii="Times New Roman" w:eastAsia="Times New Roman" w:hAnsi="Times New Roman" w:cs="Times New Roman"/>
          <w:lang w:val="en-US"/>
        </w:rPr>
        <w:t xml:space="preserve"> (ICAO)</w:t>
      </w:r>
    </w:p>
    <w:p w14:paraId="4E720722" w14:textId="77777777" w:rsidR="00E77DDB" w:rsidRPr="00A80B5E" w:rsidRDefault="00022BD6" w:rsidP="00FF0D1C">
      <w:pPr>
        <w:numPr>
          <w:ilvl w:val="0"/>
          <w:numId w:val="2"/>
        </w:numPr>
        <w:tabs>
          <w:tab w:val="clear" w:pos="360"/>
          <w:tab w:val="num" w:pos="720"/>
        </w:tabs>
        <w:spacing w:after="0" w:line="240" w:lineRule="auto"/>
        <w:ind w:left="720" w:firstLine="851"/>
        <w:rPr>
          <w:rFonts w:ascii="Times New Roman" w:eastAsia="Times New Roman" w:hAnsi="Times New Roman" w:cs="Times New Roman"/>
          <w:lang w:val="en-US"/>
        </w:rPr>
      </w:pPr>
      <w:hyperlink r:id="rId36" w:tooltip="International Criminal Court" w:history="1">
        <w:r w:rsidR="00E77DDB" w:rsidRPr="00A80B5E">
          <w:rPr>
            <w:rFonts w:ascii="Times New Roman" w:eastAsia="Times New Roman" w:hAnsi="Times New Roman" w:cs="Times New Roman"/>
            <w:color w:val="0000FF"/>
            <w:u w:val="single"/>
            <w:lang w:val="en-US"/>
          </w:rPr>
          <w:t>International Criminal Court</w:t>
        </w:r>
      </w:hyperlink>
      <w:r w:rsidR="00E77DDB" w:rsidRPr="00A80B5E">
        <w:rPr>
          <w:rFonts w:ascii="Times New Roman" w:eastAsia="Times New Roman" w:hAnsi="Times New Roman" w:cs="Times New Roman"/>
          <w:lang w:val="en-US"/>
        </w:rPr>
        <w:t xml:space="preserve"> (ICCt) (signatory)</w:t>
      </w:r>
    </w:p>
    <w:p w14:paraId="078870AE" w14:textId="77777777" w:rsidR="00E77DDB" w:rsidRPr="00A80B5E" w:rsidRDefault="00022BD6" w:rsidP="00FF0D1C">
      <w:pPr>
        <w:numPr>
          <w:ilvl w:val="0"/>
          <w:numId w:val="2"/>
        </w:numPr>
        <w:tabs>
          <w:tab w:val="clear" w:pos="360"/>
          <w:tab w:val="num" w:pos="720"/>
        </w:tabs>
        <w:spacing w:after="0" w:line="240" w:lineRule="auto"/>
        <w:ind w:left="720" w:firstLine="851"/>
        <w:rPr>
          <w:rFonts w:ascii="Times New Roman" w:eastAsia="Times New Roman" w:hAnsi="Times New Roman" w:cs="Times New Roman"/>
          <w:lang w:val="en-US"/>
        </w:rPr>
      </w:pPr>
      <w:hyperlink r:id="rId37" w:tooltip="International Criminal Police Organization" w:history="1">
        <w:r w:rsidR="00E77DDB" w:rsidRPr="00A80B5E">
          <w:rPr>
            <w:rFonts w:ascii="Times New Roman" w:eastAsia="Times New Roman" w:hAnsi="Times New Roman" w:cs="Times New Roman"/>
            <w:color w:val="0000FF"/>
            <w:u w:val="single"/>
            <w:lang w:val="en-US"/>
          </w:rPr>
          <w:t>International Criminal Police Organization</w:t>
        </w:r>
      </w:hyperlink>
      <w:r w:rsidR="00E77DDB" w:rsidRPr="00A80B5E">
        <w:rPr>
          <w:rFonts w:ascii="Times New Roman" w:eastAsia="Times New Roman" w:hAnsi="Times New Roman" w:cs="Times New Roman"/>
          <w:lang w:val="en-US"/>
        </w:rPr>
        <w:t xml:space="preserve"> (Interpol)</w:t>
      </w:r>
    </w:p>
    <w:p w14:paraId="18578813" w14:textId="77777777" w:rsidR="00E77DDB" w:rsidRPr="00A80B5E" w:rsidRDefault="00022BD6" w:rsidP="00FF0D1C">
      <w:pPr>
        <w:numPr>
          <w:ilvl w:val="0"/>
          <w:numId w:val="2"/>
        </w:numPr>
        <w:tabs>
          <w:tab w:val="clear" w:pos="360"/>
          <w:tab w:val="num" w:pos="720"/>
        </w:tabs>
        <w:spacing w:after="0" w:line="240" w:lineRule="auto"/>
        <w:ind w:left="720" w:firstLine="851"/>
        <w:rPr>
          <w:rFonts w:ascii="Times New Roman" w:eastAsia="Times New Roman" w:hAnsi="Times New Roman" w:cs="Times New Roman"/>
        </w:rPr>
      </w:pPr>
      <w:hyperlink r:id="rId38" w:tooltip="International Development Association" w:history="1">
        <w:r w:rsidR="00E77DDB" w:rsidRPr="00A80B5E">
          <w:rPr>
            <w:rFonts w:ascii="Times New Roman" w:eastAsia="Times New Roman" w:hAnsi="Times New Roman" w:cs="Times New Roman"/>
            <w:color w:val="0000FF"/>
            <w:u w:val="single"/>
          </w:rPr>
          <w:t>International Development Association</w:t>
        </w:r>
      </w:hyperlink>
      <w:r w:rsidR="00E77DDB" w:rsidRPr="00A80B5E">
        <w:rPr>
          <w:rFonts w:ascii="Times New Roman" w:eastAsia="Times New Roman" w:hAnsi="Times New Roman" w:cs="Times New Roman"/>
        </w:rPr>
        <w:t xml:space="preserve"> (IDA)</w:t>
      </w:r>
    </w:p>
    <w:p w14:paraId="710BF19A" w14:textId="77777777" w:rsidR="00E77DDB" w:rsidRPr="00A80B5E" w:rsidRDefault="00022BD6" w:rsidP="00FF0D1C">
      <w:pPr>
        <w:numPr>
          <w:ilvl w:val="0"/>
          <w:numId w:val="2"/>
        </w:numPr>
        <w:tabs>
          <w:tab w:val="clear" w:pos="360"/>
          <w:tab w:val="num" w:pos="720"/>
        </w:tabs>
        <w:spacing w:after="0" w:line="240" w:lineRule="auto"/>
        <w:ind w:left="720" w:firstLine="851"/>
        <w:rPr>
          <w:rFonts w:ascii="Times New Roman" w:eastAsia="Times New Roman" w:hAnsi="Times New Roman" w:cs="Times New Roman"/>
          <w:lang w:val="en-US"/>
        </w:rPr>
      </w:pPr>
      <w:hyperlink r:id="rId39" w:tooltip="International Federation of Red Cross and Red Crescent Societies" w:history="1">
        <w:r w:rsidR="00E77DDB" w:rsidRPr="00A80B5E">
          <w:rPr>
            <w:rFonts w:ascii="Times New Roman" w:eastAsia="Times New Roman" w:hAnsi="Times New Roman" w:cs="Times New Roman"/>
            <w:color w:val="0000FF"/>
            <w:u w:val="single"/>
            <w:lang w:val="en-US"/>
          </w:rPr>
          <w:t>International Federation of Red Cross and Red Crescent Societies</w:t>
        </w:r>
      </w:hyperlink>
      <w:r w:rsidR="00E77DDB" w:rsidRPr="00A80B5E">
        <w:rPr>
          <w:rFonts w:ascii="Times New Roman" w:eastAsia="Times New Roman" w:hAnsi="Times New Roman" w:cs="Times New Roman"/>
          <w:lang w:val="en-US"/>
        </w:rPr>
        <w:t xml:space="preserve"> (IFRCS)</w:t>
      </w:r>
    </w:p>
    <w:p w14:paraId="7240A3B1" w14:textId="77777777" w:rsidR="00E77DDB" w:rsidRPr="00A80B5E" w:rsidRDefault="00022BD6" w:rsidP="00FF0D1C">
      <w:pPr>
        <w:numPr>
          <w:ilvl w:val="0"/>
          <w:numId w:val="2"/>
        </w:numPr>
        <w:tabs>
          <w:tab w:val="clear" w:pos="360"/>
          <w:tab w:val="num" w:pos="720"/>
        </w:tabs>
        <w:spacing w:after="0" w:line="240" w:lineRule="auto"/>
        <w:ind w:left="720" w:firstLine="851"/>
        <w:rPr>
          <w:rFonts w:ascii="Times New Roman" w:eastAsia="Times New Roman" w:hAnsi="Times New Roman" w:cs="Times New Roman"/>
        </w:rPr>
      </w:pPr>
      <w:hyperlink r:id="rId40" w:tooltip="International Finance Corporation" w:history="1">
        <w:r w:rsidR="00E77DDB" w:rsidRPr="00A80B5E">
          <w:rPr>
            <w:rFonts w:ascii="Times New Roman" w:eastAsia="Times New Roman" w:hAnsi="Times New Roman" w:cs="Times New Roman"/>
            <w:color w:val="0000FF"/>
            <w:u w:val="single"/>
          </w:rPr>
          <w:t>International Finance Corporation</w:t>
        </w:r>
      </w:hyperlink>
      <w:r w:rsidR="00E77DDB" w:rsidRPr="00A80B5E">
        <w:rPr>
          <w:rFonts w:ascii="Times New Roman" w:eastAsia="Times New Roman" w:hAnsi="Times New Roman" w:cs="Times New Roman"/>
        </w:rPr>
        <w:t xml:space="preserve"> (IFC)</w:t>
      </w:r>
    </w:p>
    <w:p w14:paraId="34D4BC28" w14:textId="77777777" w:rsidR="00E77DDB" w:rsidRPr="00A80B5E" w:rsidRDefault="00022BD6" w:rsidP="00FF0D1C">
      <w:pPr>
        <w:numPr>
          <w:ilvl w:val="0"/>
          <w:numId w:val="2"/>
        </w:numPr>
        <w:tabs>
          <w:tab w:val="clear" w:pos="360"/>
          <w:tab w:val="num" w:pos="720"/>
        </w:tabs>
        <w:spacing w:after="0" w:line="240" w:lineRule="auto"/>
        <w:ind w:left="720" w:firstLine="851"/>
        <w:rPr>
          <w:rFonts w:ascii="Times New Roman" w:eastAsia="Times New Roman" w:hAnsi="Times New Roman" w:cs="Times New Roman"/>
          <w:lang w:val="en-US"/>
        </w:rPr>
      </w:pPr>
      <w:hyperlink r:id="rId41" w:tooltip="International Fund for Agricultural Development" w:history="1">
        <w:r w:rsidR="00E77DDB" w:rsidRPr="00A80B5E">
          <w:rPr>
            <w:rFonts w:ascii="Times New Roman" w:eastAsia="Times New Roman" w:hAnsi="Times New Roman" w:cs="Times New Roman"/>
            <w:color w:val="0000FF"/>
            <w:u w:val="single"/>
            <w:lang w:val="en-US"/>
          </w:rPr>
          <w:t>International Fund for Agricultural Development</w:t>
        </w:r>
      </w:hyperlink>
      <w:r w:rsidR="00E77DDB" w:rsidRPr="00A80B5E">
        <w:rPr>
          <w:rFonts w:ascii="Times New Roman" w:eastAsia="Times New Roman" w:hAnsi="Times New Roman" w:cs="Times New Roman"/>
          <w:lang w:val="en-US"/>
        </w:rPr>
        <w:t xml:space="preserve"> (IFAD)</w:t>
      </w:r>
    </w:p>
    <w:p w14:paraId="604311F0" w14:textId="77777777" w:rsidR="00E77DDB" w:rsidRPr="00A80B5E" w:rsidRDefault="00022BD6" w:rsidP="00FF0D1C">
      <w:pPr>
        <w:numPr>
          <w:ilvl w:val="0"/>
          <w:numId w:val="2"/>
        </w:numPr>
        <w:tabs>
          <w:tab w:val="clear" w:pos="360"/>
          <w:tab w:val="num" w:pos="720"/>
        </w:tabs>
        <w:spacing w:after="0" w:line="240" w:lineRule="auto"/>
        <w:ind w:left="720" w:firstLine="851"/>
        <w:rPr>
          <w:rFonts w:ascii="Times New Roman" w:eastAsia="Times New Roman" w:hAnsi="Times New Roman" w:cs="Times New Roman"/>
        </w:rPr>
      </w:pPr>
      <w:hyperlink r:id="rId42" w:tooltip="International Hydrographic Organization" w:history="1">
        <w:r w:rsidR="00E77DDB" w:rsidRPr="00A80B5E">
          <w:rPr>
            <w:rFonts w:ascii="Times New Roman" w:eastAsia="Times New Roman" w:hAnsi="Times New Roman" w:cs="Times New Roman"/>
            <w:color w:val="0000FF"/>
            <w:u w:val="single"/>
          </w:rPr>
          <w:t>International Hydrographic Organization</w:t>
        </w:r>
      </w:hyperlink>
      <w:r w:rsidR="00E77DDB" w:rsidRPr="00A80B5E">
        <w:rPr>
          <w:rFonts w:ascii="Times New Roman" w:eastAsia="Times New Roman" w:hAnsi="Times New Roman" w:cs="Times New Roman"/>
        </w:rPr>
        <w:t xml:space="preserve"> (IHO)</w:t>
      </w:r>
    </w:p>
    <w:p w14:paraId="08140200" w14:textId="77777777" w:rsidR="00E77DDB" w:rsidRPr="00A80B5E" w:rsidRDefault="00022BD6" w:rsidP="00FF0D1C">
      <w:pPr>
        <w:numPr>
          <w:ilvl w:val="0"/>
          <w:numId w:val="2"/>
        </w:numPr>
        <w:tabs>
          <w:tab w:val="clear" w:pos="360"/>
          <w:tab w:val="num" w:pos="720"/>
        </w:tabs>
        <w:spacing w:after="0" w:line="240" w:lineRule="auto"/>
        <w:ind w:left="720" w:firstLine="851"/>
        <w:rPr>
          <w:rFonts w:ascii="Times New Roman" w:eastAsia="Times New Roman" w:hAnsi="Times New Roman" w:cs="Times New Roman"/>
        </w:rPr>
      </w:pPr>
      <w:hyperlink r:id="rId43" w:tooltip="International Labour Organization" w:history="1">
        <w:r w:rsidR="00E77DDB" w:rsidRPr="00A80B5E">
          <w:rPr>
            <w:rFonts w:ascii="Times New Roman" w:eastAsia="Times New Roman" w:hAnsi="Times New Roman" w:cs="Times New Roman"/>
            <w:color w:val="0000FF"/>
            <w:u w:val="single"/>
          </w:rPr>
          <w:t>International Labour Organization</w:t>
        </w:r>
      </w:hyperlink>
      <w:r w:rsidR="00E77DDB" w:rsidRPr="00A80B5E">
        <w:rPr>
          <w:rFonts w:ascii="Times New Roman" w:eastAsia="Times New Roman" w:hAnsi="Times New Roman" w:cs="Times New Roman"/>
        </w:rPr>
        <w:t xml:space="preserve"> (ILO)</w:t>
      </w:r>
    </w:p>
    <w:p w14:paraId="029D7D5D" w14:textId="77777777" w:rsidR="00E77DDB" w:rsidRPr="00A80B5E" w:rsidRDefault="00022BD6" w:rsidP="00FF0D1C">
      <w:pPr>
        <w:numPr>
          <w:ilvl w:val="0"/>
          <w:numId w:val="2"/>
        </w:numPr>
        <w:tabs>
          <w:tab w:val="clear" w:pos="360"/>
          <w:tab w:val="num" w:pos="720"/>
        </w:tabs>
        <w:spacing w:after="0" w:line="240" w:lineRule="auto"/>
        <w:ind w:left="720" w:firstLine="851"/>
        <w:rPr>
          <w:rFonts w:ascii="Times New Roman" w:eastAsia="Times New Roman" w:hAnsi="Times New Roman" w:cs="Times New Roman"/>
        </w:rPr>
      </w:pPr>
      <w:hyperlink r:id="rId44" w:tooltip="International Maritime Organization" w:history="1">
        <w:r w:rsidR="00E77DDB" w:rsidRPr="00A80B5E">
          <w:rPr>
            <w:rFonts w:ascii="Times New Roman" w:eastAsia="Times New Roman" w:hAnsi="Times New Roman" w:cs="Times New Roman"/>
            <w:color w:val="0000FF"/>
            <w:u w:val="single"/>
          </w:rPr>
          <w:t>International Maritime Organization</w:t>
        </w:r>
      </w:hyperlink>
      <w:r w:rsidR="00E77DDB" w:rsidRPr="00A80B5E">
        <w:rPr>
          <w:rFonts w:ascii="Times New Roman" w:eastAsia="Times New Roman" w:hAnsi="Times New Roman" w:cs="Times New Roman"/>
        </w:rPr>
        <w:t xml:space="preserve"> (IMO)</w:t>
      </w:r>
    </w:p>
    <w:p w14:paraId="6EDF1793" w14:textId="77777777" w:rsidR="00E77DDB" w:rsidRPr="00A80B5E" w:rsidRDefault="00022BD6" w:rsidP="00FF0D1C">
      <w:pPr>
        <w:numPr>
          <w:ilvl w:val="0"/>
          <w:numId w:val="2"/>
        </w:numPr>
        <w:tabs>
          <w:tab w:val="clear" w:pos="360"/>
          <w:tab w:val="num" w:pos="720"/>
        </w:tabs>
        <w:spacing w:after="0" w:line="240" w:lineRule="auto"/>
        <w:ind w:left="720" w:firstLine="851"/>
        <w:rPr>
          <w:rFonts w:ascii="Times New Roman" w:eastAsia="Times New Roman" w:hAnsi="Times New Roman" w:cs="Times New Roman"/>
          <w:lang w:val="en-US"/>
        </w:rPr>
      </w:pPr>
      <w:hyperlink r:id="rId45" w:tooltip="International Mobile Satellite Organization" w:history="1">
        <w:r w:rsidR="00E77DDB" w:rsidRPr="00A80B5E">
          <w:rPr>
            <w:rFonts w:ascii="Times New Roman" w:eastAsia="Times New Roman" w:hAnsi="Times New Roman" w:cs="Times New Roman"/>
            <w:color w:val="0000FF"/>
            <w:u w:val="single"/>
            <w:lang w:val="en-US"/>
          </w:rPr>
          <w:t>International Mobile Satellite Organization</w:t>
        </w:r>
      </w:hyperlink>
      <w:r w:rsidR="00E77DDB" w:rsidRPr="00A80B5E">
        <w:rPr>
          <w:rFonts w:ascii="Times New Roman" w:eastAsia="Times New Roman" w:hAnsi="Times New Roman" w:cs="Times New Roman"/>
          <w:lang w:val="en-US"/>
        </w:rPr>
        <w:t xml:space="preserve"> (IMSO)</w:t>
      </w:r>
    </w:p>
    <w:p w14:paraId="7F98447B" w14:textId="77777777" w:rsidR="00E77DDB" w:rsidRPr="00A80B5E" w:rsidRDefault="00022BD6" w:rsidP="00FF0D1C">
      <w:pPr>
        <w:numPr>
          <w:ilvl w:val="0"/>
          <w:numId w:val="2"/>
        </w:numPr>
        <w:tabs>
          <w:tab w:val="clear" w:pos="360"/>
          <w:tab w:val="num" w:pos="720"/>
        </w:tabs>
        <w:spacing w:after="0" w:line="240" w:lineRule="auto"/>
        <w:ind w:left="720" w:firstLine="851"/>
        <w:rPr>
          <w:rFonts w:ascii="Times New Roman" w:eastAsia="Times New Roman" w:hAnsi="Times New Roman" w:cs="Times New Roman"/>
        </w:rPr>
      </w:pPr>
      <w:hyperlink r:id="rId46" w:tooltip="International Monetary Fund" w:history="1">
        <w:r w:rsidR="00E77DDB" w:rsidRPr="00A80B5E">
          <w:rPr>
            <w:rFonts w:ascii="Times New Roman" w:eastAsia="Times New Roman" w:hAnsi="Times New Roman" w:cs="Times New Roman"/>
            <w:color w:val="0000FF"/>
            <w:u w:val="single"/>
          </w:rPr>
          <w:t>International Monetary Fund</w:t>
        </w:r>
      </w:hyperlink>
      <w:r w:rsidR="00E77DDB" w:rsidRPr="00A80B5E">
        <w:rPr>
          <w:rFonts w:ascii="Times New Roman" w:eastAsia="Times New Roman" w:hAnsi="Times New Roman" w:cs="Times New Roman"/>
        </w:rPr>
        <w:t xml:space="preserve"> (IMF)</w:t>
      </w:r>
    </w:p>
    <w:p w14:paraId="0F8830FA" w14:textId="77777777" w:rsidR="00E77DDB" w:rsidRPr="00A80B5E" w:rsidRDefault="00022BD6" w:rsidP="00FF0D1C">
      <w:pPr>
        <w:numPr>
          <w:ilvl w:val="0"/>
          <w:numId w:val="3"/>
        </w:numPr>
        <w:tabs>
          <w:tab w:val="clear" w:pos="360"/>
          <w:tab w:val="num" w:pos="720"/>
        </w:tabs>
        <w:spacing w:after="0" w:line="240" w:lineRule="auto"/>
        <w:ind w:left="720" w:firstLine="851"/>
        <w:rPr>
          <w:rFonts w:ascii="Times New Roman" w:eastAsia="Times New Roman" w:hAnsi="Times New Roman" w:cs="Times New Roman"/>
          <w:lang w:val="en-US"/>
        </w:rPr>
      </w:pPr>
      <w:hyperlink r:id="rId47" w:tooltip="International Olympic Committee" w:history="1">
        <w:r w:rsidR="00E77DDB" w:rsidRPr="00A80B5E">
          <w:rPr>
            <w:rFonts w:ascii="Times New Roman" w:eastAsia="Times New Roman" w:hAnsi="Times New Roman" w:cs="Times New Roman"/>
            <w:color w:val="0000FF"/>
            <w:u w:val="single"/>
          </w:rPr>
          <w:t>International Olympic Committee</w:t>
        </w:r>
      </w:hyperlink>
      <w:r w:rsidR="00E77DDB" w:rsidRPr="00A80B5E">
        <w:rPr>
          <w:rFonts w:ascii="Times New Roman" w:eastAsia="Times New Roman" w:hAnsi="Times New Roman" w:cs="Times New Roman"/>
        </w:rPr>
        <w:t xml:space="preserve"> (IO</w:t>
      </w:r>
      <w:r w:rsidR="00E77DDB" w:rsidRPr="00A80B5E">
        <w:rPr>
          <w:rFonts w:ascii="Times New Roman" w:eastAsia="Times New Roman" w:hAnsi="Times New Roman" w:cs="Times New Roman"/>
          <w:lang w:val="en-US"/>
        </w:rPr>
        <w:t>C)</w:t>
      </w:r>
    </w:p>
    <w:p w14:paraId="76CB97E5" w14:textId="77777777" w:rsidR="00E77DDB" w:rsidRPr="00A80B5E" w:rsidRDefault="00022BD6" w:rsidP="00FF0D1C">
      <w:pPr>
        <w:numPr>
          <w:ilvl w:val="0"/>
          <w:numId w:val="3"/>
        </w:numPr>
        <w:tabs>
          <w:tab w:val="clear" w:pos="360"/>
          <w:tab w:val="num" w:pos="720"/>
        </w:tabs>
        <w:spacing w:after="0" w:line="240" w:lineRule="auto"/>
        <w:ind w:left="720" w:firstLine="851"/>
        <w:rPr>
          <w:rFonts w:ascii="Times New Roman" w:eastAsia="Times New Roman" w:hAnsi="Times New Roman" w:cs="Times New Roman"/>
          <w:lang w:val="en-US"/>
        </w:rPr>
      </w:pPr>
      <w:hyperlink r:id="rId48" w:tooltip="International Red Cross and Red Crescent Movement" w:history="1">
        <w:r w:rsidR="00E77DDB" w:rsidRPr="00A80B5E">
          <w:rPr>
            <w:rFonts w:ascii="Times New Roman" w:eastAsia="Times New Roman" w:hAnsi="Times New Roman" w:cs="Times New Roman"/>
            <w:color w:val="0000FF"/>
            <w:u w:val="single"/>
            <w:lang w:val="en-US"/>
          </w:rPr>
          <w:t>International Red Cross and Red Crescent Movement</w:t>
        </w:r>
      </w:hyperlink>
      <w:r w:rsidR="00E77DDB" w:rsidRPr="00A80B5E">
        <w:rPr>
          <w:rFonts w:ascii="Times New Roman" w:eastAsia="Times New Roman" w:hAnsi="Times New Roman" w:cs="Times New Roman"/>
          <w:lang w:val="en-US"/>
        </w:rPr>
        <w:t xml:space="preserve"> (ICRM)</w:t>
      </w:r>
    </w:p>
    <w:p w14:paraId="7B8F2B6B" w14:textId="77777777" w:rsidR="00E77DDB" w:rsidRPr="00A80B5E" w:rsidRDefault="00022BD6" w:rsidP="00FF0D1C">
      <w:pPr>
        <w:numPr>
          <w:ilvl w:val="0"/>
          <w:numId w:val="3"/>
        </w:numPr>
        <w:tabs>
          <w:tab w:val="clear" w:pos="360"/>
          <w:tab w:val="num" w:pos="720"/>
        </w:tabs>
        <w:spacing w:after="0" w:line="240" w:lineRule="auto"/>
        <w:ind w:left="720" w:firstLine="851"/>
        <w:rPr>
          <w:rFonts w:ascii="Times New Roman" w:eastAsia="Times New Roman" w:hAnsi="Times New Roman" w:cs="Times New Roman"/>
        </w:rPr>
      </w:pPr>
      <w:hyperlink r:id="rId49" w:tooltip="International Telecommunication Union" w:history="1">
        <w:r w:rsidR="00E77DDB" w:rsidRPr="00A80B5E">
          <w:rPr>
            <w:rFonts w:ascii="Times New Roman" w:eastAsia="Times New Roman" w:hAnsi="Times New Roman" w:cs="Times New Roman"/>
            <w:color w:val="0000FF"/>
            <w:u w:val="single"/>
          </w:rPr>
          <w:t>International Telecommunication Union</w:t>
        </w:r>
      </w:hyperlink>
      <w:r w:rsidR="00E77DDB" w:rsidRPr="00A80B5E">
        <w:rPr>
          <w:rFonts w:ascii="Times New Roman" w:eastAsia="Times New Roman" w:hAnsi="Times New Roman" w:cs="Times New Roman"/>
        </w:rPr>
        <w:t xml:space="preserve"> (ITU)</w:t>
      </w:r>
    </w:p>
    <w:p w14:paraId="3E819232" w14:textId="77777777" w:rsidR="00E77DDB" w:rsidRPr="00A80B5E" w:rsidRDefault="00022BD6" w:rsidP="00FF0D1C">
      <w:pPr>
        <w:numPr>
          <w:ilvl w:val="0"/>
          <w:numId w:val="3"/>
        </w:numPr>
        <w:tabs>
          <w:tab w:val="clear" w:pos="360"/>
          <w:tab w:val="num" w:pos="720"/>
        </w:tabs>
        <w:spacing w:after="0" w:line="240" w:lineRule="auto"/>
        <w:ind w:left="720" w:firstLine="851"/>
        <w:rPr>
          <w:rFonts w:ascii="Times New Roman" w:eastAsia="Times New Roman" w:hAnsi="Times New Roman" w:cs="Times New Roman"/>
          <w:lang w:val="en-US"/>
        </w:rPr>
      </w:pPr>
      <w:hyperlink r:id="rId50" w:tooltip="International Telecommunications Satellite Organization" w:history="1">
        <w:r w:rsidR="00E77DDB" w:rsidRPr="00A80B5E">
          <w:rPr>
            <w:rFonts w:ascii="Times New Roman" w:eastAsia="Times New Roman" w:hAnsi="Times New Roman" w:cs="Times New Roman"/>
            <w:color w:val="0000FF"/>
            <w:u w:val="single"/>
            <w:lang w:val="en-US"/>
          </w:rPr>
          <w:t>International Telecommunications Satellite Organization</w:t>
        </w:r>
      </w:hyperlink>
      <w:r w:rsidR="00E77DDB" w:rsidRPr="00A80B5E">
        <w:rPr>
          <w:rFonts w:ascii="Times New Roman" w:eastAsia="Times New Roman" w:hAnsi="Times New Roman" w:cs="Times New Roman"/>
          <w:lang w:val="en-US"/>
        </w:rPr>
        <w:t xml:space="preserve"> (ITSO)</w:t>
      </w:r>
    </w:p>
    <w:p w14:paraId="0BD2586A" w14:textId="77777777" w:rsidR="00E77DDB" w:rsidRPr="00A80B5E" w:rsidRDefault="00022BD6" w:rsidP="00FF0D1C">
      <w:pPr>
        <w:numPr>
          <w:ilvl w:val="0"/>
          <w:numId w:val="3"/>
        </w:numPr>
        <w:tabs>
          <w:tab w:val="clear" w:pos="360"/>
          <w:tab w:val="num" w:pos="720"/>
        </w:tabs>
        <w:spacing w:after="0" w:line="240" w:lineRule="auto"/>
        <w:ind w:left="720" w:firstLine="851"/>
        <w:rPr>
          <w:rFonts w:ascii="Times New Roman" w:eastAsia="Times New Roman" w:hAnsi="Times New Roman" w:cs="Times New Roman"/>
        </w:rPr>
      </w:pPr>
      <w:hyperlink r:id="rId51" w:tooltip="Inter-Parliamentary Union" w:history="1">
        <w:r w:rsidR="00E77DDB" w:rsidRPr="00A80B5E">
          <w:rPr>
            <w:rFonts w:ascii="Times New Roman" w:eastAsia="Times New Roman" w:hAnsi="Times New Roman" w:cs="Times New Roman"/>
            <w:color w:val="0000FF"/>
            <w:u w:val="single"/>
          </w:rPr>
          <w:t>Inter-Parliamentary Union</w:t>
        </w:r>
      </w:hyperlink>
      <w:r w:rsidR="00E77DDB" w:rsidRPr="00A80B5E">
        <w:rPr>
          <w:rFonts w:ascii="Times New Roman" w:eastAsia="Times New Roman" w:hAnsi="Times New Roman" w:cs="Times New Roman"/>
        </w:rPr>
        <w:t xml:space="preserve"> (IPU)</w:t>
      </w:r>
    </w:p>
    <w:p w14:paraId="1F96A297" w14:textId="77777777" w:rsidR="00E77DDB" w:rsidRPr="00A80B5E" w:rsidRDefault="00022BD6" w:rsidP="00FF0D1C">
      <w:pPr>
        <w:numPr>
          <w:ilvl w:val="0"/>
          <w:numId w:val="3"/>
        </w:numPr>
        <w:tabs>
          <w:tab w:val="clear" w:pos="360"/>
          <w:tab w:val="num" w:pos="720"/>
        </w:tabs>
        <w:spacing w:after="0" w:line="240" w:lineRule="auto"/>
        <w:ind w:left="720" w:firstLine="851"/>
        <w:rPr>
          <w:rFonts w:ascii="Times New Roman" w:eastAsia="Times New Roman" w:hAnsi="Times New Roman" w:cs="Times New Roman"/>
        </w:rPr>
      </w:pPr>
      <w:hyperlink r:id="rId52" w:tooltip="Islamic Development Bank" w:history="1">
        <w:r w:rsidR="00E77DDB" w:rsidRPr="00A80B5E">
          <w:rPr>
            <w:rFonts w:ascii="Times New Roman" w:eastAsia="Times New Roman" w:hAnsi="Times New Roman" w:cs="Times New Roman"/>
            <w:color w:val="0000FF"/>
            <w:u w:val="single"/>
          </w:rPr>
          <w:t>Islamic Development Bank</w:t>
        </w:r>
      </w:hyperlink>
      <w:r w:rsidR="00E77DDB" w:rsidRPr="00A80B5E">
        <w:rPr>
          <w:rFonts w:ascii="Times New Roman" w:eastAsia="Times New Roman" w:hAnsi="Times New Roman" w:cs="Times New Roman"/>
        </w:rPr>
        <w:t xml:space="preserve"> (IDB)</w:t>
      </w:r>
    </w:p>
    <w:p w14:paraId="70E84AA7" w14:textId="77777777" w:rsidR="00E77DDB" w:rsidRPr="00A80B5E" w:rsidRDefault="00022BD6" w:rsidP="00FF0D1C">
      <w:pPr>
        <w:numPr>
          <w:ilvl w:val="0"/>
          <w:numId w:val="3"/>
        </w:numPr>
        <w:tabs>
          <w:tab w:val="clear" w:pos="360"/>
          <w:tab w:val="num" w:pos="720"/>
        </w:tabs>
        <w:spacing w:after="0" w:line="240" w:lineRule="auto"/>
        <w:ind w:left="720" w:firstLine="851"/>
        <w:rPr>
          <w:rFonts w:ascii="Times New Roman" w:eastAsia="Times New Roman" w:hAnsi="Times New Roman" w:cs="Times New Roman"/>
          <w:lang w:val="en-US"/>
        </w:rPr>
      </w:pPr>
      <w:hyperlink r:id="rId53" w:tooltip="League of Arab States" w:history="1">
        <w:r w:rsidR="00E77DDB" w:rsidRPr="00A80B5E">
          <w:rPr>
            <w:rFonts w:ascii="Times New Roman" w:eastAsia="Times New Roman" w:hAnsi="Times New Roman" w:cs="Times New Roman"/>
            <w:color w:val="0000FF"/>
            <w:u w:val="single"/>
            <w:lang w:val="en-US"/>
          </w:rPr>
          <w:t>League of Arab States</w:t>
        </w:r>
      </w:hyperlink>
      <w:r w:rsidR="00E77DDB" w:rsidRPr="00A80B5E">
        <w:rPr>
          <w:rFonts w:ascii="Times New Roman" w:eastAsia="Times New Roman" w:hAnsi="Times New Roman" w:cs="Times New Roman"/>
          <w:lang w:val="en-US"/>
        </w:rPr>
        <w:t xml:space="preserve"> (LAS)</w:t>
      </w:r>
    </w:p>
    <w:p w14:paraId="1A84D3AB" w14:textId="77777777" w:rsidR="00E77DDB" w:rsidRPr="00A80B5E" w:rsidRDefault="00022BD6" w:rsidP="00FF0D1C">
      <w:pPr>
        <w:numPr>
          <w:ilvl w:val="0"/>
          <w:numId w:val="3"/>
        </w:numPr>
        <w:tabs>
          <w:tab w:val="clear" w:pos="360"/>
          <w:tab w:val="num" w:pos="720"/>
        </w:tabs>
        <w:spacing w:after="0" w:line="240" w:lineRule="auto"/>
        <w:ind w:left="720" w:firstLine="851"/>
        <w:rPr>
          <w:rFonts w:ascii="Times New Roman" w:eastAsia="Times New Roman" w:hAnsi="Times New Roman" w:cs="Times New Roman"/>
          <w:lang w:val="en-US"/>
        </w:rPr>
      </w:pPr>
      <w:hyperlink r:id="rId54" w:tooltip="Multilateral Investment Guarantee Agency" w:history="1">
        <w:r w:rsidR="00E77DDB" w:rsidRPr="00A80B5E">
          <w:rPr>
            <w:rFonts w:ascii="Times New Roman" w:eastAsia="Times New Roman" w:hAnsi="Times New Roman" w:cs="Times New Roman"/>
            <w:color w:val="0000FF"/>
            <w:u w:val="single"/>
            <w:lang w:val="en-US"/>
          </w:rPr>
          <w:t>Multilateral Investment Guarante Agency</w:t>
        </w:r>
      </w:hyperlink>
      <w:r w:rsidR="00E77DDB" w:rsidRPr="00A80B5E">
        <w:rPr>
          <w:rFonts w:ascii="Times New Roman" w:eastAsia="Times New Roman" w:hAnsi="Times New Roman" w:cs="Times New Roman"/>
          <w:lang w:val="en-US"/>
        </w:rPr>
        <w:t xml:space="preserve"> (MIGA)</w:t>
      </w:r>
    </w:p>
    <w:p w14:paraId="74B90948" w14:textId="77777777" w:rsidR="00E77DDB" w:rsidRPr="00A80B5E" w:rsidRDefault="00022BD6" w:rsidP="00FF0D1C">
      <w:pPr>
        <w:numPr>
          <w:ilvl w:val="0"/>
          <w:numId w:val="3"/>
        </w:numPr>
        <w:tabs>
          <w:tab w:val="clear" w:pos="360"/>
          <w:tab w:val="num" w:pos="720"/>
        </w:tabs>
        <w:spacing w:after="0" w:line="240" w:lineRule="auto"/>
        <w:ind w:left="720" w:firstLine="851"/>
        <w:rPr>
          <w:rFonts w:ascii="Times New Roman" w:eastAsia="Times New Roman" w:hAnsi="Times New Roman" w:cs="Times New Roman"/>
        </w:rPr>
      </w:pPr>
      <w:hyperlink r:id="rId55" w:tooltip="Nonaligned Movement" w:history="1">
        <w:r w:rsidR="00E77DDB" w:rsidRPr="00A80B5E">
          <w:rPr>
            <w:rFonts w:ascii="Times New Roman" w:eastAsia="Times New Roman" w:hAnsi="Times New Roman" w:cs="Times New Roman"/>
            <w:color w:val="0000FF"/>
            <w:u w:val="single"/>
          </w:rPr>
          <w:t>Nonaligned Movement</w:t>
        </w:r>
      </w:hyperlink>
      <w:r w:rsidR="00E77DDB" w:rsidRPr="00A80B5E">
        <w:rPr>
          <w:rFonts w:ascii="Times New Roman" w:eastAsia="Times New Roman" w:hAnsi="Times New Roman" w:cs="Times New Roman"/>
        </w:rPr>
        <w:t xml:space="preserve"> (NAM)</w:t>
      </w:r>
    </w:p>
    <w:p w14:paraId="79A5F7E7" w14:textId="77777777" w:rsidR="00E77DDB" w:rsidRPr="00A80B5E" w:rsidRDefault="00022BD6" w:rsidP="00FF0D1C">
      <w:pPr>
        <w:numPr>
          <w:ilvl w:val="0"/>
          <w:numId w:val="3"/>
        </w:numPr>
        <w:tabs>
          <w:tab w:val="clear" w:pos="360"/>
          <w:tab w:val="num" w:pos="720"/>
        </w:tabs>
        <w:spacing w:after="0" w:line="240" w:lineRule="auto"/>
        <w:ind w:left="720" w:firstLine="851"/>
        <w:rPr>
          <w:rFonts w:ascii="Times New Roman" w:eastAsia="Times New Roman" w:hAnsi="Times New Roman" w:cs="Times New Roman"/>
          <w:lang w:val="en-US"/>
        </w:rPr>
      </w:pPr>
      <w:hyperlink r:id="rId56" w:tooltip="Organisation of Islamic Cooperation" w:history="1">
        <w:r w:rsidR="00E77DDB" w:rsidRPr="00A80B5E">
          <w:rPr>
            <w:rFonts w:ascii="Times New Roman" w:eastAsia="Times New Roman" w:hAnsi="Times New Roman" w:cs="Times New Roman"/>
            <w:color w:val="0000FF"/>
            <w:u w:val="single"/>
            <w:lang w:val="en-US"/>
          </w:rPr>
          <w:t>Organisation of Islamic Cooperation</w:t>
        </w:r>
      </w:hyperlink>
      <w:r w:rsidR="00E77DDB" w:rsidRPr="00A80B5E">
        <w:rPr>
          <w:rFonts w:ascii="Times New Roman" w:eastAsia="Times New Roman" w:hAnsi="Times New Roman" w:cs="Times New Roman"/>
          <w:lang w:val="en-US"/>
        </w:rPr>
        <w:t xml:space="preserve"> (OIC)</w:t>
      </w:r>
    </w:p>
    <w:p w14:paraId="6F2456B8" w14:textId="77777777" w:rsidR="00E77DDB" w:rsidRPr="00A80B5E" w:rsidRDefault="00022BD6" w:rsidP="00FF0D1C">
      <w:pPr>
        <w:numPr>
          <w:ilvl w:val="0"/>
          <w:numId w:val="3"/>
        </w:numPr>
        <w:tabs>
          <w:tab w:val="clear" w:pos="360"/>
          <w:tab w:val="num" w:pos="720"/>
        </w:tabs>
        <w:spacing w:after="0" w:line="240" w:lineRule="auto"/>
        <w:ind w:left="720" w:firstLine="851"/>
        <w:rPr>
          <w:rFonts w:ascii="Times New Roman" w:eastAsia="Times New Roman" w:hAnsi="Times New Roman" w:cs="Times New Roman"/>
          <w:lang w:val="en-US"/>
        </w:rPr>
      </w:pPr>
      <w:hyperlink r:id="rId57" w:tooltip="Organization for the Prohibition of Chemical Weapons" w:history="1">
        <w:r w:rsidR="00E77DDB" w:rsidRPr="00A80B5E">
          <w:rPr>
            <w:rFonts w:ascii="Times New Roman" w:eastAsia="Times New Roman" w:hAnsi="Times New Roman" w:cs="Times New Roman"/>
            <w:color w:val="0000FF"/>
            <w:u w:val="single"/>
            <w:lang w:val="en-US"/>
          </w:rPr>
          <w:t>Organization for the Prohibition of Chemical Weapons</w:t>
        </w:r>
      </w:hyperlink>
      <w:r w:rsidR="00E77DDB" w:rsidRPr="00A80B5E">
        <w:rPr>
          <w:rFonts w:ascii="Times New Roman" w:eastAsia="Times New Roman" w:hAnsi="Times New Roman" w:cs="Times New Roman"/>
          <w:lang w:val="en-US"/>
        </w:rPr>
        <w:t xml:space="preserve"> (OPCW)</w:t>
      </w:r>
    </w:p>
    <w:p w14:paraId="601FD025" w14:textId="77777777" w:rsidR="00E77DDB" w:rsidRPr="00A80B5E" w:rsidRDefault="00022BD6" w:rsidP="00FF0D1C">
      <w:pPr>
        <w:numPr>
          <w:ilvl w:val="0"/>
          <w:numId w:val="3"/>
        </w:numPr>
        <w:tabs>
          <w:tab w:val="clear" w:pos="360"/>
          <w:tab w:val="num" w:pos="720"/>
        </w:tabs>
        <w:spacing w:after="0" w:line="240" w:lineRule="auto"/>
        <w:ind w:left="720" w:firstLine="851"/>
        <w:rPr>
          <w:rFonts w:ascii="Times New Roman" w:eastAsia="Times New Roman" w:hAnsi="Times New Roman" w:cs="Times New Roman"/>
          <w:lang w:val="en-US"/>
        </w:rPr>
      </w:pPr>
      <w:hyperlink r:id="rId58" w:tooltip="Organization of Arab Petroleum Exporting Countries" w:history="1">
        <w:r w:rsidR="00E77DDB" w:rsidRPr="00A80B5E">
          <w:rPr>
            <w:rFonts w:ascii="Times New Roman" w:eastAsia="Times New Roman" w:hAnsi="Times New Roman" w:cs="Times New Roman"/>
            <w:color w:val="0000FF"/>
            <w:u w:val="single"/>
            <w:lang w:val="en-US"/>
          </w:rPr>
          <w:t>Organization of Arab Petroleum Exporting Countries</w:t>
        </w:r>
      </w:hyperlink>
      <w:r w:rsidR="00E77DDB" w:rsidRPr="00A80B5E">
        <w:rPr>
          <w:rFonts w:ascii="Times New Roman" w:eastAsia="Times New Roman" w:hAnsi="Times New Roman" w:cs="Times New Roman"/>
          <w:lang w:val="en-US"/>
        </w:rPr>
        <w:t xml:space="preserve"> (OAPEC)</w:t>
      </w:r>
    </w:p>
    <w:p w14:paraId="3F810CA9" w14:textId="77777777" w:rsidR="00E77DDB" w:rsidRPr="00A80B5E" w:rsidRDefault="00022BD6" w:rsidP="00FF0D1C">
      <w:pPr>
        <w:numPr>
          <w:ilvl w:val="0"/>
          <w:numId w:val="3"/>
        </w:numPr>
        <w:tabs>
          <w:tab w:val="clear" w:pos="360"/>
          <w:tab w:val="num" w:pos="720"/>
        </w:tabs>
        <w:spacing w:after="0" w:line="240" w:lineRule="auto"/>
        <w:ind w:left="720" w:firstLine="851"/>
        <w:rPr>
          <w:rFonts w:ascii="Times New Roman" w:eastAsia="Times New Roman" w:hAnsi="Times New Roman" w:cs="Times New Roman"/>
          <w:lang w:val="en-US"/>
        </w:rPr>
      </w:pPr>
      <w:hyperlink r:id="rId59" w:tooltip="Organization of Petroleum Exporting Countries" w:history="1">
        <w:r w:rsidR="00E77DDB" w:rsidRPr="00A80B5E">
          <w:rPr>
            <w:rFonts w:ascii="Times New Roman" w:eastAsia="Times New Roman" w:hAnsi="Times New Roman" w:cs="Times New Roman"/>
            <w:color w:val="0000FF"/>
            <w:u w:val="single"/>
            <w:lang w:val="en-US"/>
          </w:rPr>
          <w:t>Organization of Petroleum Exporting Countries</w:t>
        </w:r>
      </w:hyperlink>
      <w:r w:rsidR="00E77DDB" w:rsidRPr="00A80B5E">
        <w:rPr>
          <w:rFonts w:ascii="Times New Roman" w:eastAsia="Times New Roman" w:hAnsi="Times New Roman" w:cs="Times New Roman"/>
          <w:lang w:val="en-US"/>
        </w:rPr>
        <w:t xml:space="preserve"> (OPEC)</w:t>
      </w:r>
    </w:p>
    <w:p w14:paraId="54CF747A" w14:textId="77777777" w:rsidR="00E77DDB" w:rsidRPr="00A80B5E" w:rsidRDefault="00022BD6" w:rsidP="00FF0D1C">
      <w:pPr>
        <w:numPr>
          <w:ilvl w:val="0"/>
          <w:numId w:val="3"/>
        </w:numPr>
        <w:tabs>
          <w:tab w:val="clear" w:pos="360"/>
          <w:tab w:val="num" w:pos="720"/>
        </w:tabs>
        <w:spacing w:after="0" w:line="240" w:lineRule="auto"/>
        <w:ind w:left="720" w:firstLine="851"/>
        <w:rPr>
          <w:rFonts w:ascii="Times New Roman" w:eastAsia="Times New Roman" w:hAnsi="Times New Roman" w:cs="Times New Roman"/>
        </w:rPr>
      </w:pPr>
      <w:hyperlink r:id="rId60" w:tooltip="United Nations" w:history="1">
        <w:r w:rsidR="00E77DDB" w:rsidRPr="00A80B5E">
          <w:rPr>
            <w:rFonts w:ascii="Times New Roman" w:eastAsia="Times New Roman" w:hAnsi="Times New Roman" w:cs="Times New Roman"/>
            <w:color w:val="0000FF"/>
            <w:u w:val="single"/>
          </w:rPr>
          <w:t>United Nations</w:t>
        </w:r>
      </w:hyperlink>
      <w:r w:rsidR="00E77DDB" w:rsidRPr="00A80B5E">
        <w:rPr>
          <w:rFonts w:ascii="Times New Roman" w:eastAsia="Times New Roman" w:hAnsi="Times New Roman" w:cs="Times New Roman"/>
        </w:rPr>
        <w:t xml:space="preserve"> (UN)</w:t>
      </w:r>
    </w:p>
    <w:p w14:paraId="35B4584B" w14:textId="77777777" w:rsidR="00E77DDB" w:rsidRPr="00A80B5E" w:rsidRDefault="00022BD6" w:rsidP="00FF0D1C">
      <w:pPr>
        <w:numPr>
          <w:ilvl w:val="0"/>
          <w:numId w:val="3"/>
        </w:numPr>
        <w:tabs>
          <w:tab w:val="clear" w:pos="360"/>
          <w:tab w:val="num" w:pos="720"/>
        </w:tabs>
        <w:spacing w:after="0" w:line="240" w:lineRule="auto"/>
        <w:ind w:left="720" w:firstLine="851"/>
        <w:rPr>
          <w:rFonts w:ascii="Times New Roman" w:eastAsia="Times New Roman" w:hAnsi="Times New Roman" w:cs="Times New Roman"/>
          <w:lang w:val="en-US"/>
        </w:rPr>
      </w:pPr>
      <w:hyperlink r:id="rId61" w:tooltip="United Nations Conference on Trade and Development" w:history="1">
        <w:r w:rsidR="00E77DDB" w:rsidRPr="00A80B5E">
          <w:rPr>
            <w:rFonts w:ascii="Times New Roman" w:eastAsia="Times New Roman" w:hAnsi="Times New Roman" w:cs="Times New Roman"/>
            <w:color w:val="0000FF"/>
            <w:u w:val="single"/>
            <w:lang w:val="en-US"/>
          </w:rPr>
          <w:t>United Nations Conference on Trade and Development</w:t>
        </w:r>
      </w:hyperlink>
      <w:r w:rsidR="00E77DDB" w:rsidRPr="00A80B5E">
        <w:rPr>
          <w:rFonts w:ascii="Times New Roman" w:eastAsia="Times New Roman" w:hAnsi="Times New Roman" w:cs="Times New Roman"/>
          <w:lang w:val="en-US"/>
        </w:rPr>
        <w:t xml:space="preserve"> (UNCTAD)</w:t>
      </w:r>
    </w:p>
    <w:p w14:paraId="62AC0545" w14:textId="77777777" w:rsidR="00E77DDB" w:rsidRPr="00A80B5E" w:rsidRDefault="00022BD6" w:rsidP="00FF0D1C">
      <w:pPr>
        <w:numPr>
          <w:ilvl w:val="0"/>
          <w:numId w:val="3"/>
        </w:numPr>
        <w:tabs>
          <w:tab w:val="clear" w:pos="360"/>
          <w:tab w:val="num" w:pos="720"/>
        </w:tabs>
        <w:spacing w:after="0" w:line="240" w:lineRule="auto"/>
        <w:ind w:left="720" w:firstLine="851"/>
        <w:rPr>
          <w:rFonts w:ascii="Times New Roman" w:eastAsia="Times New Roman" w:hAnsi="Times New Roman" w:cs="Times New Roman"/>
          <w:lang w:val="en-US"/>
        </w:rPr>
      </w:pPr>
      <w:hyperlink r:id="rId62" w:tooltip="United Nations Educational, Scientific, and Cultural Organization" w:history="1">
        <w:r w:rsidR="00E77DDB" w:rsidRPr="00A80B5E">
          <w:rPr>
            <w:rFonts w:ascii="Times New Roman" w:eastAsia="Times New Roman" w:hAnsi="Times New Roman" w:cs="Times New Roman"/>
            <w:color w:val="0000FF"/>
            <w:u w:val="single"/>
            <w:lang w:val="en-US"/>
          </w:rPr>
          <w:t>United Nations Educational, Scientific, and Cultural Organization</w:t>
        </w:r>
      </w:hyperlink>
      <w:r w:rsidR="00E77DDB" w:rsidRPr="00A80B5E">
        <w:rPr>
          <w:rFonts w:ascii="Times New Roman" w:eastAsia="Times New Roman" w:hAnsi="Times New Roman" w:cs="Times New Roman"/>
          <w:lang w:val="en-US"/>
        </w:rPr>
        <w:t xml:space="preserve"> (UNESCO)</w:t>
      </w:r>
    </w:p>
    <w:p w14:paraId="7C53019A" w14:textId="77777777" w:rsidR="00E77DDB" w:rsidRPr="00A80B5E" w:rsidRDefault="00022BD6" w:rsidP="00FF0D1C">
      <w:pPr>
        <w:numPr>
          <w:ilvl w:val="0"/>
          <w:numId w:val="3"/>
        </w:numPr>
        <w:tabs>
          <w:tab w:val="clear" w:pos="360"/>
          <w:tab w:val="num" w:pos="720"/>
        </w:tabs>
        <w:spacing w:after="0" w:line="240" w:lineRule="auto"/>
        <w:ind w:left="720" w:firstLine="851"/>
        <w:rPr>
          <w:rFonts w:ascii="Times New Roman" w:eastAsia="Times New Roman" w:hAnsi="Times New Roman" w:cs="Times New Roman"/>
          <w:lang w:val="en-US"/>
        </w:rPr>
      </w:pPr>
      <w:hyperlink r:id="rId63" w:tooltip="United Nations Industrial Development Organization" w:history="1">
        <w:r w:rsidR="00E77DDB" w:rsidRPr="00A80B5E">
          <w:rPr>
            <w:rFonts w:ascii="Times New Roman" w:eastAsia="Times New Roman" w:hAnsi="Times New Roman" w:cs="Times New Roman"/>
            <w:color w:val="0000FF"/>
            <w:u w:val="single"/>
            <w:lang w:val="en-US"/>
          </w:rPr>
          <w:t>United Nations Industrial Development Organization</w:t>
        </w:r>
      </w:hyperlink>
      <w:r w:rsidR="00E77DDB" w:rsidRPr="00A80B5E">
        <w:rPr>
          <w:rFonts w:ascii="Times New Roman" w:eastAsia="Times New Roman" w:hAnsi="Times New Roman" w:cs="Times New Roman"/>
          <w:lang w:val="en-US"/>
        </w:rPr>
        <w:t xml:space="preserve"> (UNIDO)</w:t>
      </w:r>
    </w:p>
    <w:p w14:paraId="17717379" w14:textId="77777777" w:rsidR="00E77DDB" w:rsidRPr="00A80B5E" w:rsidRDefault="00022BD6" w:rsidP="00FF0D1C">
      <w:pPr>
        <w:numPr>
          <w:ilvl w:val="0"/>
          <w:numId w:val="3"/>
        </w:numPr>
        <w:tabs>
          <w:tab w:val="clear" w:pos="360"/>
          <w:tab w:val="num" w:pos="720"/>
        </w:tabs>
        <w:spacing w:after="0" w:line="240" w:lineRule="auto"/>
        <w:ind w:left="720" w:firstLine="851"/>
        <w:rPr>
          <w:rFonts w:ascii="Times New Roman" w:eastAsia="Times New Roman" w:hAnsi="Times New Roman" w:cs="Times New Roman"/>
        </w:rPr>
      </w:pPr>
      <w:hyperlink r:id="rId64" w:tooltip="Universal Postal Union" w:history="1">
        <w:r w:rsidR="00E77DDB" w:rsidRPr="00A80B5E">
          <w:rPr>
            <w:rFonts w:ascii="Times New Roman" w:eastAsia="Times New Roman" w:hAnsi="Times New Roman" w:cs="Times New Roman"/>
            <w:color w:val="0000FF"/>
            <w:u w:val="single"/>
          </w:rPr>
          <w:t>Universal Postal Union</w:t>
        </w:r>
      </w:hyperlink>
      <w:r w:rsidR="00E77DDB" w:rsidRPr="00A80B5E">
        <w:rPr>
          <w:rFonts w:ascii="Times New Roman" w:eastAsia="Times New Roman" w:hAnsi="Times New Roman" w:cs="Times New Roman"/>
        </w:rPr>
        <w:t xml:space="preserve"> (UPU)</w:t>
      </w:r>
    </w:p>
    <w:p w14:paraId="7667AC9D" w14:textId="77777777" w:rsidR="00E77DDB" w:rsidRPr="00A80B5E" w:rsidRDefault="00022BD6" w:rsidP="00FF0D1C">
      <w:pPr>
        <w:numPr>
          <w:ilvl w:val="0"/>
          <w:numId w:val="3"/>
        </w:numPr>
        <w:tabs>
          <w:tab w:val="clear" w:pos="360"/>
          <w:tab w:val="num" w:pos="720"/>
        </w:tabs>
        <w:spacing w:after="0" w:line="240" w:lineRule="auto"/>
        <w:ind w:left="720" w:firstLine="851"/>
        <w:rPr>
          <w:rFonts w:ascii="Times New Roman" w:eastAsia="Times New Roman" w:hAnsi="Times New Roman" w:cs="Times New Roman"/>
        </w:rPr>
      </w:pPr>
      <w:hyperlink r:id="rId65" w:tooltip="World Customs Organization" w:history="1">
        <w:r w:rsidR="00E77DDB" w:rsidRPr="00A80B5E">
          <w:rPr>
            <w:rFonts w:ascii="Times New Roman" w:eastAsia="Times New Roman" w:hAnsi="Times New Roman" w:cs="Times New Roman"/>
            <w:color w:val="0000FF"/>
            <w:u w:val="single"/>
          </w:rPr>
          <w:t>World Customs Organization</w:t>
        </w:r>
      </w:hyperlink>
      <w:r w:rsidR="00E77DDB" w:rsidRPr="00A80B5E">
        <w:rPr>
          <w:rFonts w:ascii="Times New Roman" w:eastAsia="Times New Roman" w:hAnsi="Times New Roman" w:cs="Times New Roman"/>
        </w:rPr>
        <w:t xml:space="preserve"> (WCO)</w:t>
      </w:r>
    </w:p>
    <w:p w14:paraId="02560411" w14:textId="77777777" w:rsidR="00E77DDB" w:rsidRPr="00A80B5E" w:rsidRDefault="00022BD6" w:rsidP="00FF0D1C">
      <w:pPr>
        <w:numPr>
          <w:ilvl w:val="0"/>
          <w:numId w:val="3"/>
        </w:numPr>
        <w:tabs>
          <w:tab w:val="clear" w:pos="360"/>
          <w:tab w:val="num" w:pos="720"/>
        </w:tabs>
        <w:spacing w:after="0" w:line="240" w:lineRule="auto"/>
        <w:ind w:left="720" w:firstLine="851"/>
        <w:rPr>
          <w:rFonts w:ascii="Times New Roman" w:eastAsia="Times New Roman" w:hAnsi="Times New Roman" w:cs="Times New Roman"/>
          <w:lang w:val="en-US"/>
        </w:rPr>
      </w:pPr>
      <w:hyperlink r:id="rId66" w:tooltip="World Federation of Trade Unions" w:history="1">
        <w:r w:rsidR="00E77DDB" w:rsidRPr="00A80B5E">
          <w:rPr>
            <w:rFonts w:ascii="Times New Roman" w:eastAsia="Times New Roman" w:hAnsi="Times New Roman" w:cs="Times New Roman"/>
            <w:color w:val="0000FF"/>
            <w:u w:val="single"/>
            <w:lang w:val="en-US"/>
          </w:rPr>
          <w:t>World Federation of Trade Unions</w:t>
        </w:r>
      </w:hyperlink>
      <w:r w:rsidR="00E77DDB" w:rsidRPr="00A80B5E">
        <w:rPr>
          <w:rFonts w:ascii="Times New Roman" w:eastAsia="Times New Roman" w:hAnsi="Times New Roman" w:cs="Times New Roman"/>
          <w:lang w:val="en-US"/>
        </w:rPr>
        <w:t xml:space="preserve"> (WFTU)</w:t>
      </w:r>
    </w:p>
    <w:p w14:paraId="38E6AB8F" w14:textId="77777777" w:rsidR="00E77DDB" w:rsidRPr="00A80B5E" w:rsidRDefault="00022BD6" w:rsidP="00FF0D1C">
      <w:pPr>
        <w:numPr>
          <w:ilvl w:val="0"/>
          <w:numId w:val="3"/>
        </w:numPr>
        <w:tabs>
          <w:tab w:val="clear" w:pos="360"/>
          <w:tab w:val="num" w:pos="720"/>
        </w:tabs>
        <w:spacing w:after="0" w:line="240" w:lineRule="auto"/>
        <w:ind w:left="720" w:firstLine="851"/>
        <w:rPr>
          <w:rFonts w:ascii="Times New Roman" w:eastAsia="Times New Roman" w:hAnsi="Times New Roman" w:cs="Times New Roman"/>
        </w:rPr>
      </w:pPr>
      <w:hyperlink r:id="rId67" w:tooltip="World Health Organization" w:history="1">
        <w:r w:rsidR="00E77DDB" w:rsidRPr="00A80B5E">
          <w:rPr>
            <w:rFonts w:ascii="Times New Roman" w:eastAsia="Times New Roman" w:hAnsi="Times New Roman" w:cs="Times New Roman"/>
            <w:color w:val="0000FF"/>
            <w:u w:val="single"/>
          </w:rPr>
          <w:t>World Health Organization</w:t>
        </w:r>
      </w:hyperlink>
      <w:r w:rsidR="00E77DDB" w:rsidRPr="00A80B5E">
        <w:rPr>
          <w:rFonts w:ascii="Times New Roman" w:eastAsia="Times New Roman" w:hAnsi="Times New Roman" w:cs="Times New Roman"/>
        </w:rPr>
        <w:t xml:space="preserve"> (WHO)</w:t>
      </w:r>
    </w:p>
    <w:p w14:paraId="04506D50" w14:textId="77777777" w:rsidR="00E77DDB" w:rsidRPr="00A80B5E" w:rsidRDefault="00022BD6" w:rsidP="00FF0D1C">
      <w:pPr>
        <w:numPr>
          <w:ilvl w:val="0"/>
          <w:numId w:val="3"/>
        </w:numPr>
        <w:tabs>
          <w:tab w:val="clear" w:pos="360"/>
          <w:tab w:val="num" w:pos="720"/>
        </w:tabs>
        <w:spacing w:before="100" w:beforeAutospacing="1" w:after="100" w:afterAutospacing="1" w:line="240" w:lineRule="auto"/>
        <w:ind w:left="720" w:firstLine="851"/>
        <w:rPr>
          <w:rFonts w:ascii="Times New Roman" w:eastAsia="Times New Roman" w:hAnsi="Times New Roman" w:cs="Times New Roman"/>
          <w:lang w:val="en-US"/>
        </w:rPr>
      </w:pPr>
      <w:hyperlink r:id="rId68" w:tooltip="World Intellectual Property Organization" w:history="1">
        <w:r w:rsidR="00E77DDB" w:rsidRPr="00A80B5E">
          <w:rPr>
            <w:rFonts w:ascii="Times New Roman" w:eastAsia="Times New Roman" w:hAnsi="Times New Roman" w:cs="Times New Roman"/>
            <w:color w:val="0000FF"/>
            <w:u w:val="single"/>
            <w:lang w:val="en-US"/>
          </w:rPr>
          <w:t>World Intellectual Property Organization</w:t>
        </w:r>
      </w:hyperlink>
      <w:r w:rsidR="00E77DDB" w:rsidRPr="00A80B5E">
        <w:rPr>
          <w:rFonts w:ascii="Times New Roman" w:eastAsia="Times New Roman" w:hAnsi="Times New Roman" w:cs="Times New Roman"/>
          <w:lang w:val="en-US"/>
        </w:rPr>
        <w:t xml:space="preserve"> (WIPO)</w:t>
      </w:r>
    </w:p>
    <w:p w14:paraId="1C7E50CF" w14:textId="77777777" w:rsidR="00E77DDB" w:rsidRPr="00A80B5E" w:rsidRDefault="00022BD6" w:rsidP="00FF0D1C">
      <w:pPr>
        <w:numPr>
          <w:ilvl w:val="0"/>
          <w:numId w:val="3"/>
        </w:numPr>
        <w:tabs>
          <w:tab w:val="clear" w:pos="360"/>
          <w:tab w:val="num" w:pos="720"/>
        </w:tabs>
        <w:spacing w:before="100" w:beforeAutospacing="1" w:after="100" w:afterAutospacing="1" w:line="240" w:lineRule="auto"/>
        <w:ind w:left="720" w:firstLine="851"/>
        <w:rPr>
          <w:rFonts w:ascii="Times New Roman" w:eastAsia="Times New Roman" w:hAnsi="Times New Roman" w:cs="Times New Roman"/>
        </w:rPr>
      </w:pPr>
      <w:hyperlink r:id="rId69" w:tooltip="World Meteorological Organization" w:history="1">
        <w:r w:rsidR="00E77DDB" w:rsidRPr="00A80B5E">
          <w:rPr>
            <w:rFonts w:ascii="Times New Roman" w:eastAsia="Times New Roman" w:hAnsi="Times New Roman" w:cs="Times New Roman"/>
            <w:color w:val="0000FF"/>
            <w:u w:val="single"/>
          </w:rPr>
          <w:t>World Meteorological Organization</w:t>
        </w:r>
      </w:hyperlink>
      <w:r w:rsidR="00E77DDB" w:rsidRPr="00A80B5E">
        <w:rPr>
          <w:rFonts w:ascii="Times New Roman" w:eastAsia="Times New Roman" w:hAnsi="Times New Roman" w:cs="Times New Roman"/>
        </w:rPr>
        <w:t xml:space="preserve"> (WMO)</w:t>
      </w:r>
    </w:p>
    <w:p w14:paraId="34EED843" w14:textId="77777777" w:rsidR="00E77DDB" w:rsidRPr="00A80B5E" w:rsidRDefault="00022BD6" w:rsidP="00FF0D1C">
      <w:pPr>
        <w:numPr>
          <w:ilvl w:val="0"/>
          <w:numId w:val="3"/>
        </w:numPr>
        <w:tabs>
          <w:tab w:val="clear" w:pos="360"/>
          <w:tab w:val="num" w:pos="720"/>
        </w:tabs>
        <w:spacing w:before="100" w:beforeAutospacing="1" w:after="100" w:afterAutospacing="1" w:line="240" w:lineRule="auto"/>
        <w:ind w:left="720" w:firstLine="851"/>
        <w:rPr>
          <w:rFonts w:ascii="Times New Roman" w:eastAsia="Times New Roman" w:hAnsi="Times New Roman" w:cs="Times New Roman"/>
        </w:rPr>
      </w:pPr>
      <w:hyperlink r:id="rId70" w:tooltip="World Trade Organization" w:history="1">
        <w:r w:rsidR="00E77DDB" w:rsidRPr="00A80B5E">
          <w:rPr>
            <w:rFonts w:ascii="Times New Roman" w:eastAsia="Times New Roman" w:hAnsi="Times New Roman" w:cs="Times New Roman"/>
            <w:color w:val="0000FF"/>
            <w:u w:val="single"/>
          </w:rPr>
          <w:t>World Trade Organization</w:t>
        </w:r>
      </w:hyperlink>
      <w:r w:rsidR="00E77DDB" w:rsidRPr="00A80B5E">
        <w:rPr>
          <w:rFonts w:ascii="Times New Roman" w:eastAsia="Times New Roman" w:hAnsi="Times New Roman" w:cs="Times New Roman"/>
        </w:rPr>
        <w:t xml:space="preserve"> (WTO) </w:t>
      </w:r>
    </w:p>
    <w:p w14:paraId="140DF411" w14:textId="727920CD" w:rsidR="00154966" w:rsidRPr="00451B2E" w:rsidRDefault="00022BD6" w:rsidP="00154966">
      <w:pPr>
        <w:numPr>
          <w:ilvl w:val="0"/>
          <w:numId w:val="3"/>
        </w:numPr>
        <w:tabs>
          <w:tab w:val="clear" w:pos="360"/>
          <w:tab w:val="num" w:pos="720"/>
        </w:tabs>
        <w:spacing w:before="100" w:beforeAutospacing="1" w:after="100" w:afterAutospacing="1" w:line="240" w:lineRule="auto"/>
        <w:ind w:left="720" w:firstLine="851"/>
        <w:rPr>
          <w:rFonts w:ascii="Times New Roman" w:eastAsia="Times New Roman" w:hAnsi="Times New Roman" w:cs="Times New Roman"/>
          <w:lang w:val="en-US"/>
        </w:rPr>
      </w:pPr>
      <w:hyperlink r:id="rId71" w:tooltip="International Organization for Standardization" w:history="1">
        <w:r w:rsidR="00E77DDB" w:rsidRPr="00A80B5E">
          <w:rPr>
            <w:rFonts w:ascii="Times New Roman" w:eastAsia="Times New Roman" w:hAnsi="Times New Roman" w:cs="Times New Roman"/>
            <w:color w:val="0000FF"/>
            <w:u w:val="single"/>
            <w:lang w:val="en-US"/>
          </w:rPr>
          <w:t>International Organization for Standardization</w:t>
        </w:r>
      </w:hyperlink>
      <w:r w:rsidR="00E77DDB" w:rsidRPr="00A80B5E">
        <w:rPr>
          <w:rFonts w:ascii="Times New Roman" w:eastAsia="Times New Roman" w:hAnsi="Times New Roman" w:cs="Times New Roman"/>
          <w:lang w:val="en-US"/>
        </w:rPr>
        <w:t xml:space="preserve"> (ISO</w:t>
      </w:r>
      <w:bookmarkStart w:id="46" w:name="_Toc200448530"/>
      <w:r w:rsidR="00BA4492" w:rsidRPr="00BA4492">
        <w:rPr>
          <w:rFonts w:ascii="Times New Roman" w:eastAsia="Times New Roman" w:hAnsi="Times New Roman" w:cs="Times New Roman"/>
          <w:lang w:val="en-AE"/>
        </w:rPr>
        <w:t>)</w:t>
      </w:r>
    </w:p>
    <w:p w14:paraId="64B48593" w14:textId="55F92820" w:rsidR="00BA4492" w:rsidRPr="00864EE2" w:rsidRDefault="00D671D2" w:rsidP="00BA4492">
      <w:pPr>
        <w:spacing w:before="100" w:beforeAutospacing="1" w:after="100" w:afterAutospacing="1" w:line="240" w:lineRule="auto"/>
        <w:rPr>
          <w:rFonts w:ascii="Arial Narrow" w:eastAsia="Times New Roman" w:hAnsi="Arial Narrow" w:cs="Times New Roman"/>
          <w:b/>
          <w:color w:val="4F81BD" w:themeColor="accent1"/>
          <w:sz w:val="28"/>
          <w:szCs w:val="28"/>
        </w:rPr>
      </w:pPr>
      <w:r w:rsidRPr="00864EE2">
        <w:rPr>
          <w:rFonts w:ascii="Arial Narrow" w:eastAsia="Times New Roman" w:hAnsi="Arial Narrow" w:cs="Times New Roman"/>
          <w:b/>
          <w:color w:val="4F81BD" w:themeColor="accent1"/>
          <w:sz w:val="28"/>
          <w:szCs w:val="28"/>
        </w:rPr>
        <w:t>3. Συνολικό Εξωτερικό Εμπόριο Ηνωμένων Αραβικών Εμιράτων (2023-2024</w:t>
      </w:r>
    </w:p>
    <w:p w14:paraId="5285334F" w14:textId="24270133" w:rsidR="00D671D2" w:rsidRPr="00864EE2" w:rsidRDefault="00D671D2" w:rsidP="00D671D2">
      <w:pPr>
        <w:spacing w:before="100" w:beforeAutospacing="1" w:after="100" w:afterAutospacing="1" w:line="240" w:lineRule="auto"/>
        <w:jc w:val="center"/>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ΠΙΝΑΚΑΣ </w:t>
      </w:r>
      <w:r w:rsidR="00864EE2" w:rsidRPr="00864EE2">
        <w:rPr>
          <w:rFonts w:ascii="Arial Narrow" w:eastAsia="Times New Roman" w:hAnsi="Arial Narrow" w:cs="Times New Roman"/>
          <w:b/>
          <w:color w:val="4F81BD" w:themeColor="accent1"/>
          <w:sz w:val="24"/>
          <w:szCs w:val="24"/>
        </w:rPr>
        <w:t>1</w:t>
      </w:r>
      <w:r w:rsidR="00451B2E">
        <w:rPr>
          <w:rFonts w:ascii="Arial Narrow" w:eastAsia="Times New Roman" w:hAnsi="Arial Narrow" w:cs="Times New Roman"/>
          <w:b/>
          <w:color w:val="4F81BD" w:themeColor="accent1"/>
          <w:sz w:val="24"/>
          <w:szCs w:val="24"/>
        </w:rPr>
        <w:t>0</w:t>
      </w:r>
      <w:r w:rsidR="00864EE2" w:rsidRPr="00864EE2">
        <w:rPr>
          <w:rFonts w:ascii="Arial Narrow" w:eastAsia="Times New Roman" w:hAnsi="Arial Narrow" w:cs="Times New Roman"/>
          <w:b/>
          <w:color w:val="4F81BD" w:themeColor="accent1"/>
          <w:sz w:val="24"/>
          <w:szCs w:val="24"/>
        </w:rPr>
        <w:t xml:space="preserve"> - </w:t>
      </w:r>
      <w:r w:rsidRPr="00864EE2">
        <w:rPr>
          <w:rFonts w:ascii="Arial Narrow" w:eastAsia="Times New Roman" w:hAnsi="Arial Narrow" w:cs="Times New Roman"/>
          <w:b/>
          <w:color w:val="4F81BD" w:themeColor="accent1"/>
          <w:sz w:val="24"/>
          <w:szCs w:val="24"/>
        </w:rPr>
        <w:t xml:space="preserve">ΕΜΠΟΡΙΚΟ ΙΣΟΖΥΓΙΟ ΑΓΑΘΩΝ (μη πετρελαϊκό) – ΗΑΕ </w:t>
      </w:r>
    </w:p>
    <w:p w14:paraId="475F1355" w14:textId="15A3C237" w:rsidR="00D671D2" w:rsidRPr="00864EE2" w:rsidRDefault="00D671D2" w:rsidP="00D671D2">
      <w:pPr>
        <w:spacing w:before="100" w:beforeAutospacing="1" w:after="100" w:afterAutospacing="1" w:line="240" w:lineRule="auto"/>
        <w:jc w:val="center"/>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Αξία σε δις </w:t>
      </w:r>
      <w:r w:rsidRPr="00864EE2">
        <w:rPr>
          <w:rFonts w:ascii="Arial Narrow" w:eastAsia="Times New Roman" w:hAnsi="Arial Narrow" w:cs="Times New Roman"/>
          <w:b/>
          <w:color w:val="4F81BD" w:themeColor="accent1"/>
          <w:sz w:val="24"/>
          <w:szCs w:val="24"/>
          <w:lang w:val="en-US"/>
        </w:rPr>
        <w:t>AED</w:t>
      </w:r>
      <w:r w:rsidRPr="00864EE2">
        <w:rPr>
          <w:rFonts w:ascii="Arial Narrow" w:eastAsia="Times New Roman" w:hAnsi="Arial Narrow" w:cs="Times New Roman"/>
          <w:b/>
          <w:color w:val="4F81BD" w:themeColor="accent1"/>
          <w:sz w:val="24"/>
          <w:szCs w:val="24"/>
        </w:rPr>
        <w:t xml:space="preserve"> (</w:t>
      </w:r>
      <w:r w:rsidR="002319E7" w:rsidRPr="00864EE2">
        <w:rPr>
          <w:rFonts w:ascii="Arial Narrow" w:eastAsia="Times New Roman" w:hAnsi="Arial Narrow" w:cs="Times New Roman"/>
          <w:b/>
          <w:color w:val="4F81BD" w:themeColor="accent1"/>
          <w:sz w:val="24"/>
          <w:szCs w:val="24"/>
        </w:rPr>
        <w:t>Ντίρχαμ)</w:t>
      </w:r>
    </w:p>
    <w:tbl>
      <w:tblPr>
        <w:tblStyle w:val="TableGrid"/>
        <w:tblW w:w="0" w:type="auto"/>
        <w:tblLook w:val="04A0" w:firstRow="1" w:lastRow="0" w:firstColumn="1" w:lastColumn="0" w:noHBand="0" w:noVBand="1"/>
      </w:tblPr>
      <w:tblGrid>
        <w:gridCol w:w="2442"/>
        <w:gridCol w:w="2443"/>
        <w:gridCol w:w="2443"/>
        <w:gridCol w:w="2443"/>
      </w:tblGrid>
      <w:tr w:rsidR="00D671D2" w:rsidRPr="00864EE2" w14:paraId="59D41CEC" w14:textId="77777777" w:rsidTr="00D671D2">
        <w:tc>
          <w:tcPr>
            <w:tcW w:w="2442" w:type="dxa"/>
          </w:tcPr>
          <w:p w14:paraId="23368795" w14:textId="77777777" w:rsidR="00D671D2" w:rsidRPr="00864EE2" w:rsidRDefault="00D671D2" w:rsidP="00D671D2">
            <w:pPr>
              <w:spacing w:before="100" w:beforeAutospacing="1" w:after="100" w:afterAutospacing="1"/>
              <w:rPr>
                <w:rFonts w:ascii="Arial Narrow" w:eastAsia="Times New Roman" w:hAnsi="Arial Narrow" w:cs="Times New Roman"/>
                <w:b/>
                <w:color w:val="4F81BD" w:themeColor="accent1"/>
                <w:sz w:val="24"/>
                <w:szCs w:val="24"/>
              </w:rPr>
            </w:pPr>
          </w:p>
          <w:p w14:paraId="620FBC75" w14:textId="3825F50B" w:rsidR="00D671D2" w:rsidRPr="00864EE2" w:rsidRDefault="00D671D2" w:rsidP="00D671D2">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Έτος </w:t>
            </w:r>
          </w:p>
        </w:tc>
        <w:tc>
          <w:tcPr>
            <w:tcW w:w="2443" w:type="dxa"/>
          </w:tcPr>
          <w:p w14:paraId="10BDC98C" w14:textId="35D30D49" w:rsidR="00D671D2" w:rsidRPr="00864EE2" w:rsidRDefault="00D671D2" w:rsidP="00D671D2">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Εξαγωγές + Επανεξαγωγές </w:t>
            </w:r>
          </w:p>
        </w:tc>
        <w:tc>
          <w:tcPr>
            <w:tcW w:w="2443" w:type="dxa"/>
          </w:tcPr>
          <w:p w14:paraId="45C0546D" w14:textId="77777777" w:rsidR="00D671D2" w:rsidRPr="00864EE2" w:rsidRDefault="00D671D2" w:rsidP="00D671D2">
            <w:pPr>
              <w:spacing w:before="100" w:beforeAutospacing="1" w:after="100" w:afterAutospacing="1"/>
              <w:rPr>
                <w:rFonts w:ascii="Arial Narrow" w:eastAsia="Times New Roman" w:hAnsi="Arial Narrow" w:cs="Times New Roman"/>
                <w:b/>
                <w:color w:val="4F81BD" w:themeColor="accent1"/>
                <w:sz w:val="24"/>
                <w:szCs w:val="24"/>
              </w:rPr>
            </w:pPr>
          </w:p>
          <w:p w14:paraId="5BE9A8B2" w14:textId="2B430916" w:rsidR="00D671D2" w:rsidRPr="00864EE2" w:rsidRDefault="00D671D2" w:rsidP="00D671D2">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Εισαγωγές </w:t>
            </w:r>
          </w:p>
        </w:tc>
        <w:tc>
          <w:tcPr>
            <w:tcW w:w="2443" w:type="dxa"/>
          </w:tcPr>
          <w:p w14:paraId="4B28ED0E" w14:textId="77777777" w:rsidR="00D671D2" w:rsidRPr="00864EE2" w:rsidRDefault="00D671D2" w:rsidP="00D671D2">
            <w:pPr>
              <w:spacing w:before="100" w:beforeAutospacing="1" w:after="100" w:afterAutospacing="1"/>
              <w:rPr>
                <w:rFonts w:ascii="Arial Narrow" w:eastAsia="Times New Roman" w:hAnsi="Arial Narrow" w:cs="Times New Roman"/>
                <w:b/>
                <w:color w:val="4F81BD" w:themeColor="accent1"/>
                <w:sz w:val="24"/>
                <w:szCs w:val="24"/>
              </w:rPr>
            </w:pPr>
          </w:p>
          <w:p w14:paraId="2DF98E48" w14:textId="405509DD" w:rsidR="00D671D2" w:rsidRPr="00864EE2" w:rsidRDefault="00D671D2" w:rsidP="00D671D2">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Εμπορικό Ισοζύγιο </w:t>
            </w:r>
          </w:p>
        </w:tc>
      </w:tr>
      <w:tr w:rsidR="00D671D2" w:rsidRPr="00864EE2" w14:paraId="50C18261" w14:textId="77777777" w:rsidTr="00D671D2">
        <w:tc>
          <w:tcPr>
            <w:tcW w:w="2442" w:type="dxa"/>
          </w:tcPr>
          <w:p w14:paraId="39666F7D" w14:textId="2E307D73" w:rsidR="00D671D2" w:rsidRPr="00864EE2" w:rsidRDefault="00D671D2" w:rsidP="00D671D2">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2023</w:t>
            </w:r>
          </w:p>
        </w:tc>
        <w:tc>
          <w:tcPr>
            <w:tcW w:w="2443" w:type="dxa"/>
          </w:tcPr>
          <w:p w14:paraId="29CFDB83" w14:textId="5E3FF0D4" w:rsidR="00D671D2" w:rsidRPr="00864EE2" w:rsidRDefault="002319E7" w:rsidP="00D671D2">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1.940</w:t>
            </w:r>
          </w:p>
        </w:tc>
        <w:tc>
          <w:tcPr>
            <w:tcW w:w="2443" w:type="dxa"/>
          </w:tcPr>
          <w:p w14:paraId="262506E9" w14:textId="496DD838" w:rsidR="00D671D2" w:rsidRPr="00864EE2" w:rsidRDefault="002319E7" w:rsidP="00D671D2">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1.620</w:t>
            </w:r>
          </w:p>
        </w:tc>
        <w:tc>
          <w:tcPr>
            <w:tcW w:w="2443" w:type="dxa"/>
          </w:tcPr>
          <w:p w14:paraId="7586D5B5" w14:textId="369D45B5" w:rsidR="00D671D2" w:rsidRPr="00864EE2" w:rsidRDefault="002319E7" w:rsidP="00D671D2">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+320</w:t>
            </w:r>
          </w:p>
        </w:tc>
      </w:tr>
      <w:tr w:rsidR="00D671D2" w:rsidRPr="00864EE2" w14:paraId="0392E9C9" w14:textId="77777777" w:rsidTr="00D671D2">
        <w:tc>
          <w:tcPr>
            <w:tcW w:w="2442" w:type="dxa"/>
          </w:tcPr>
          <w:p w14:paraId="2AB3A65F" w14:textId="3F401AE1" w:rsidR="00D671D2" w:rsidRPr="00864EE2" w:rsidRDefault="00D671D2" w:rsidP="00D671D2">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2024</w:t>
            </w:r>
          </w:p>
        </w:tc>
        <w:tc>
          <w:tcPr>
            <w:tcW w:w="2443" w:type="dxa"/>
          </w:tcPr>
          <w:p w14:paraId="490249E7" w14:textId="3F1FAF34" w:rsidR="00D671D2" w:rsidRPr="00864EE2" w:rsidRDefault="002319E7" w:rsidP="00D671D2">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2.060</w:t>
            </w:r>
          </w:p>
        </w:tc>
        <w:tc>
          <w:tcPr>
            <w:tcW w:w="2443" w:type="dxa"/>
          </w:tcPr>
          <w:p w14:paraId="77D9F004" w14:textId="6E437C0C" w:rsidR="00D671D2" w:rsidRPr="00864EE2" w:rsidRDefault="002319E7" w:rsidP="00D671D2">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1.710</w:t>
            </w:r>
          </w:p>
        </w:tc>
        <w:tc>
          <w:tcPr>
            <w:tcW w:w="2443" w:type="dxa"/>
          </w:tcPr>
          <w:p w14:paraId="7ED9C621" w14:textId="7E318DB4" w:rsidR="00D671D2" w:rsidRPr="00864EE2" w:rsidRDefault="002319E7" w:rsidP="00D671D2">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+350</w:t>
            </w:r>
          </w:p>
        </w:tc>
      </w:tr>
    </w:tbl>
    <w:p w14:paraId="7EC8A04D" w14:textId="6A7AB1FC" w:rsidR="00D342B6" w:rsidRPr="00154966" w:rsidRDefault="002319E7" w:rsidP="00D671D2">
      <w:pPr>
        <w:spacing w:before="100" w:beforeAutospacing="1" w:after="100" w:afterAutospacing="1" w:line="240" w:lineRule="auto"/>
        <w:rPr>
          <w:rFonts w:ascii="Arial Narrow" w:eastAsia="Times New Roman" w:hAnsi="Arial Narrow" w:cs="Times New Roman"/>
          <w:sz w:val="24"/>
          <w:szCs w:val="24"/>
        </w:rPr>
      </w:pPr>
      <w:r>
        <w:rPr>
          <w:rFonts w:ascii="Arial Narrow" w:eastAsia="Times New Roman" w:hAnsi="Arial Narrow" w:cs="Times New Roman"/>
          <w:color w:val="1F497D" w:themeColor="text2"/>
          <w:sz w:val="24"/>
          <w:szCs w:val="24"/>
        </w:rPr>
        <w:t>Κ</w:t>
      </w:r>
      <w:r>
        <w:rPr>
          <w:rFonts w:ascii="Arial Narrow" w:eastAsia="Times New Roman" w:hAnsi="Arial Narrow" w:cs="Times New Roman"/>
          <w:sz w:val="24"/>
          <w:szCs w:val="24"/>
        </w:rPr>
        <w:t>ύριες Παρατηρήσεις: Το Εμπορικό Ισοζύγιο εξακολουθεί να είναι πλεονασματικό. Αύξηση εμπορίου κατά 6% έως 7% σε ετήσια βάση. Ενίσχυση επανεξαγωγών και εξαγωγών υψηλής αξία</w:t>
      </w:r>
      <w:r w:rsidR="00154966">
        <w:rPr>
          <w:rFonts w:ascii="Arial Narrow" w:eastAsia="Times New Roman" w:hAnsi="Arial Narrow" w:cs="Times New Roman"/>
          <w:sz w:val="24"/>
          <w:szCs w:val="24"/>
        </w:rPr>
        <w:t>ς</w:t>
      </w:r>
    </w:p>
    <w:p w14:paraId="1BEB5A2E" w14:textId="4795F762" w:rsidR="002319E7" w:rsidRPr="00864EE2" w:rsidRDefault="002319E7" w:rsidP="002319E7">
      <w:pPr>
        <w:spacing w:before="100" w:beforeAutospacing="1" w:after="100" w:afterAutospacing="1" w:line="240" w:lineRule="auto"/>
        <w:jc w:val="center"/>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ΠΙΝΑΚΑΣ </w:t>
      </w:r>
      <w:r w:rsidR="00451B2E">
        <w:rPr>
          <w:rFonts w:ascii="Arial Narrow" w:eastAsia="Times New Roman" w:hAnsi="Arial Narrow" w:cs="Times New Roman"/>
          <w:b/>
          <w:color w:val="4F81BD" w:themeColor="accent1"/>
          <w:sz w:val="24"/>
          <w:szCs w:val="24"/>
        </w:rPr>
        <w:t xml:space="preserve">11 </w:t>
      </w:r>
      <w:r w:rsidR="00026058">
        <w:rPr>
          <w:rFonts w:ascii="Arial Narrow" w:eastAsia="Times New Roman" w:hAnsi="Arial Narrow" w:cs="Times New Roman"/>
          <w:b/>
          <w:color w:val="4F81BD" w:themeColor="accent1"/>
          <w:sz w:val="24"/>
          <w:szCs w:val="24"/>
          <w:lang w:val="en-US"/>
        </w:rPr>
        <w:t xml:space="preserve"> - </w:t>
      </w:r>
      <w:r w:rsidRPr="00864EE2">
        <w:rPr>
          <w:rFonts w:ascii="Arial Narrow" w:eastAsia="Times New Roman" w:hAnsi="Arial Narrow" w:cs="Times New Roman"/>
          <w:b/>
          <w:color w:val="4F81BD" w:themeColor="accent1"/>
          <w:sz w:val="24"/>
          <w:szCs w:val="24"/>
        </w:rPr>
        <w:t>ΕΤΗΣΙΑ ΜΕΤΑΒΟΛΗ 2023-2024</w:t>
      </w:r>
    </w:p>
    <w:tbl>
      <w:tblPr>
        <w:tblStyle w:val="TableGrid"/>
        <w:tblW w:w="0" w:type="auto"/>
        <w:tblLook w:val="04A0" w:firstRow="1" w:lastRow="0" w:firstColumn="1" w:lastColumn="0" w:noHBand="0" w:noVBand="1"/>
      </w:tblPr>
      <w:tblGrid>
        <w:gridCol w:w="2442"/>
        <w:gridCol w:w="2443"/>
        <w:gridCol w:w="2443"/>
        <w:gridCol w:w="2443"/>
      </w:tblGrid>
      <w:tr w:rsidR="002319E7" w:rsidRPr="00864EE2" w14:paraId="2D8655A2" w14:textId="77777777" w:rsidTr="002319E7">
        <w:tc>
          <w:tcPr>
            <w:tcW w:w="2442" w:type="dxa"/>
          </w:tcPr>
          <w:p w14:paraId="0CA30785" w14:textId="70333A6A" w:rsidR="002319E7" w:rsidRPr="00864EE2" w:rsidRDefault="00D342B6" w:rsidP="002319E7">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Δείκτης </w:t>
            </w:r>
          </w:p>
        </w:tc>
        <w:tc>
          <w:tcPr>
            <w:tcW w:w="2443" w:type="dxa"/>
          </w:tcPr>
          <w:p w14:paraId="65643961" w14:textId="7D324927" w:rsidR="002319E7" w:rsidRPr="00864EE2" w:rsidRDefault="00D342B6" w:rsidP="002319E7">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2023</w:t>
            </w:r>
          </w:p>
        </w:tc>
        <w:tc>
          <w:tcPr>
            <w:tcW w:w="2443" w:type="dxa"/>
          </w:tcPr>
          <w:p w14:paraId="50FA23B1" w14:textId="2FC19FEF" w:rsidR="002319E7" w:rsidRPr="00864EE2" w:rsidRDefault="00D342B6" w:rsidP="002319E7">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2024</w:t>
            </w:r>
          </w:p>
        </w:tc>
        <w:tc>
          <w:tcPr>
            <w:tcW w:w="2443" w:type="dxa"/>
          </w:tcPr>
          <w:p w14:paraId="273814E5" w14:textId="1825D3AC" w:rsidR="002319E7" w:rsidRPr="00864EE2" w:rsidRDefault="00D342B6" w:rsidP="002319E7">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Μεταβολή </w:t>
            </w:r>
          </w:p>
        </w:tc>
      </w:tr>
      <w:tr w:rsidR="002319E7" w:rsidRPr="00864EE2" w14:paraId="5C600620" w14:textId="77777777" w:rsidTr="002319E7">
        <w:tc>
          <w:tcPr>
            <w:tcW w:w="2442" w:type="dxa"/>
          </w:tcPr>
          <w:p w14:paraId="158FE36C" w14:textId="750E5630" w:rsidR="002319E7" w:rsidRPr="00864EE2" w:rsidRDefault="00D342B6" w:rsidP="002319E7">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Συνολικό Εμπόριο Αγαθά</w:t>
            </w:r>
          </w:p>
        </w:tc>
        <w:tc>
          <w:tcPr>
            <w:tcW w:w="2443" w:type="dxa"/>
          </w:tcPr>
          <w:p w14:paraId="4C146938" w14:textId="4612BFA7" w:rsidR="00D342B6" w:rsidRPr="00864EE2" w:rsidRDefault="00D342B6" w:rsidP="002319E7">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3.560</w:t>
            </w:r>
          </w:p>
        </w:tc>
        <w:tc>
          <w:tcPr>
            <w:tcW w:w="2443" w:type="dxa"/>
          </w:tcPr>
          <w:p w14:paraId="46157205" w14:textId="56D82084" w:rsidR="002319E7" w:rsidRPr="00864EE2" w:rsidRDefault="00D342B6" w:rsidP="002319E7">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3.770</w:t>
            </w:r>
          </w:p>
        </w:tc>
        <w:tc>
          <w:tcPr>
            <w:tcW w:w="2443" w:type="dxa"/>
          </w:tcPr>
          <w:p w14:paraId="3FC3FA24" w14:textId="793C0C6F" w:rsidR="002319E7" w:rsidRPr="00864EE2" w:rsidRDefault="00D342B6" w:rsidP="002319E7">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+5,9%</w:t>
            </w:r>
          </w:p>
        </w:tc>
      </w:tr>
      <w:tr w:rsidR="002319E7" w:rsidRPr="00864EE2" w14:paraId="4E35D9CC" w14:textId="77777777" w:rsidTr="002319E7">
        <w:tc>
          <w:tcPr>
            <w:tcW w:w="2442" w:type="dxa"/>
          </w:tcPr>
          <w:p w14:paraId="6AD7EBAA" w14:textId="56136CB6" w:rsidR="002319E7" w:rsidRPr="00864EE2" w:rsidRDefault="00D342B6" w:rsidP="002319E7">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Έξαγωγές </w:t>
            </w:r>
          </w:p>
        </w:tc>
        <w:tc>
          <w:tcPr>
            <w:tcW w:w="2443" w:type="dxa"/>
          </w:tcPr>
          <w:p w14:paraId="7878C420" w14:textId="1E7278A0" w:rsidR="002319E7" w:rsidRPr="00864EE2" w:rsidRDefault="00D342B6" w:rsidP="002319E7">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1.940</w:t>
            </w:r>
          </w:p>
        </w:tc>
        <w:tc>
          <w:tcPr>
            <w:tcW w:w="2443" w:type="dxa"/>
          </w:tcPr>
          <w:p w14:paraId="4C090B11" w14:textId="674DD71B" w:rsidR="002319E7" w:rsidRPr="00864EE2" w:rsidRDefault="00D342B6" w:rsidP="002319E7">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2.060</w:t>
            </w:r>
          </w:p>
        </w:tc>
        <w:tc>
          <w:tcPr>
            <w:tcW w:w="2443" w:type="dxa"/>
          </w:tcPr>
          <w:p w14:paraId="11FA665E" w14:textId="7CEDAD3C" w:rsidR="002319E7" w:rsidRPr="00864EE2" w:rsidRDefault="00D342B6" w:rsidP="002319E7">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+6,2%</w:t>
            </w:r>
          </w:p>
        </w:tc>
      </w:tr>
      <w:tr w:rsidR="002319E7" w:rsidRPr="00864EE2" w14:paraId="355620B7" w14:textId="77777777" w:rsidTr="002319E7">
        <w:tc>
          <w:tcPr>
            <w:tcW w:w="2442" w:type="dxa"/>
          </w:tcPr>
          <w:p w14:paraId="02F1430D" w14:textId="5CC00A9B" w:rsidR="002319E7" w:rsidRPr="00864EE2" w:rsidRDefault="00D342B6" w:rsidP="002319E7">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Εισαγωγές </w:t>
            </w:r>
          </w:p>
        </w:tc>
        <w:tc>
          <w:tcPr>
            <w:tcW w:w="2443" w:type="dxa"/>
          </w:tcPr>
          <w:p w14:paraId="7CA5F853" w14:textId="0AF519DE" w:rsidR="002319E7" w:rsidRPr="00864EE2" w:rsidRDefault="00D342B6" w:rsidP="002319E7">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1.620</w:t>
            </w:r>
          </w:p>
        </w:tc>
        <w:tc>
          <w:tcPr>
            <w:tcW w:w="2443" w:type="dxa"/>
          </w:tcPr>
          <w:p w14:paraId="0634879D" w14:textId="43C1BAA9" w:rsidR="002319E7" w:rsidRPr="00864EE2" w:rsidRDefault="00D342B6" w:rsidP="002319E7">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1.710</w:t>
            </w:r>
          </w:p>
        </w:tc>
        <w:tc>
          <w:tcPr>
            <w:tcW w:w="2443" w:type="dxa"/>
          </w:tcPr>
          <w:p w14:paraId="28433507" w14:textId="5DB3A42D" w:rsidR="002319E7" w:rsidRPr="00864EE2" w:rsidRDefault="00D342B6" w:rsidP="002319E7">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+5,6%</w:t>
            </w:r>
          </w:p>
        </w:tc>
      </w:tr>
      <w:tr w:rsidR="002319E7" w:rsidRPr="00864EE2" w14:paraId="7E19200E" w14:textId="77777777" w:rsidTr="002319E7">
        <w:tc>
          <w:tcPr>
            <w:tcW w:w="2442" w:type="dxa"/>
          </w:tcPr>
          <w:p w14:paraId="4431D7C9" w14:textId="18E0D09D" w:rsidR="002319E7" w:rsidRPr="00864EE2" w:rsidRDefault="00D342B6" w:rsidP="002319E7">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Ισοζύγιο </w:t>
            </w:r>
          </w:p>
        </w:tc>
        <w:tc>
          <w:tcPr>
            <w:tcW w:w="2443" w:type="dxa"/>
          </w:tcPr>
          <w:p w14:paraId="4730028D" w14:textId="4F212F20" w:rsidR="002319E7" w:rsidRPr="00864EE2" w:rsidRDefault="00D342B6" w:rsidP="002319E7">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+320</w:t>
            </w:r>
          </w:p>
        </w:tc>
        <w:tc>
          <w:tcPr>
            <w:tcW w:w="2443" w:type="dxa"/>
          </w:tcPr>
          <w:p w14:paraId="17DEAE79" w14:textId="496142A5" w:rsidR="002319E7" w:rsidRPr="00864EE2" w:rsidRDefault="00D342B6" w:rsidP="002319E7">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+350</w:t>
            </w:r>
          </w:p>
        </w:tc>
        <w:tc>
          <w:tcPr>
            <w:tcW w:w="2443" w:type="dxa"/>
          </w:tcPr>
          <w:p w14:paraId="54D803DD" w14:textId="1121780B" w:rsidR="00D342B6" w:rsidRPr="00864EE2" w:rsidRDefault="00D342B6" w:rsidP="002319E7">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+9,4%</w:t>
            </w:r>
          </w:p>
        </w:tc>
      </w:tr>
    </w:tbl>
    <w:p w14:paraId="13576F78" w14:textId="1FE12AC5" w:rsidR="002319E7" w:rsidRPr="00864EE2" w:rsidRDefault="00D342B6" w:rsidP="00B13E62">
      <w:pPr>
        <w:spacing w:before="100" w:beforeAutospacing="1" w:after="100" w:afterAutospacing="1" w:line="240" w:lineRule="auto"/>
        <w:jc w:val="center"/>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ΠΙΝΑΚΑΣ </w:t>
      </w:r>
      <w:r w:rsidR="00451B2E">
        <w:rPr>
          <w:rFonts w:ascii="Arial Narrow" w:eastAsia="Times New Roman" w:hAnsi="Arial Narrow" w:cs="Times New Roman"/>
          <w:b/>
          <w:color w:val="4F81BD" w:themeColor="accent1"/>
          <w:sz w:val="24"/>
          <w:szCs w:val="24"/>
        </w:rPr>
        <w:t>12</w:t>
      </w:r>
      <w:r w:rsidR="00B13E62" w:rsidRPr="00864EE2">
        <w:rPr>
          <w:rFonts w:ascii="Arial Narrow" w:eastAsia="Times New Roman" w:hAnsi="Arial Narrow" w:cs="Times New Roman"/>
          <w:b/>
          <w:color w:val="4F81BD" w:themeColor="accent1"/>
          <w:sz w:val="24"/>
          <w:szCs w:val="24"/>
        </w:rPr>
        <w:t xml:space="preserve"> - </w:t>
      </w:r>
      <w:r w:rsidRPr="00864EE2">
        <w:rPr>
          <w:rFonts w:ascii="Arial Narrow" w:eastAsia="Times New Roman" w:hAnsi="Arial Narrow" w:cs="Times New Roman"/>
          <w:b/>
          <w:color w:val="4F81BD" w:themeColor="accent1"/>
          <w:sz w:val="24"/>
          <w:szCs w:val="24"/>
        </w:rPr>
        <w:t>Συνολικό Εξωτερικό Εμπόριο ΗΑΕ (2024-Πλήρης εικόνα) – Δομή Εξωτερικού Εμπορίου 2024</w:t>
      </w:r>
    </w:p>
    <w:tbl>
      <w:tblPr>
        <w:tblStyle w:val="TableGrid"/>
        <w:tblW w:w="0" w:type="auto"/>
        <w:tblLook w:val="04A0" w:firstRow="1" w:lastRow="0" w:firstColumn="1" w:lastColumn="0" w:noHBand="0" w:noVBand="1"/>
      </w:tblPr>
      <w:tblGrid>
        <w:gridCol w:w="3257"/>
        <w:gridCol w:w="3257"/>
        <w:gridCol w:w="3257"/>
      </w:tblGrid>
      <w:tr w:rsidR="00D342B6" w:rsidRPr="00864EE2" w14:paraId="52678A5E" w14:textId="77777777" w:rsidTr="00D342B6">
        <w:tc>
          <w:tcPr>
            <w:tcW w:w="3257" w:type="dxa"/>
          </w:tcPr>
          <w:p w14:paraId="63657DA0" w14:textId="5ACDF74F" w:rsidR="00D342B6" w:rsidRPr="00864EE2" w:rsidRDefault="00D342B6" w:rsidP="00D342B6">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Κατηγορία </w:t>
            </w:r>
          </w:p>
        </w:tc>
        <w:tc>
          <w:tcPr>
            <w:tcW w:w="3257" w:type="dxa"/>
          </w:tcPr>
          <w:p w14:paraId="4791595D" w14:textId="0B0AA42C" w:rsidR="00D342B6" w:rsidRPr="00864EE2" w:rsidRDefault="00D342B6" w:rsidP="00D342B6">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Αξία</w:t>
            </w:r>
            <w:r w:rsidRPr="00864EE2">
              <w:rPr>
                <w:rFonts w:ascii="Arial Narrow" w:eastAsia="Times New Roman" w:hAnsi="Arial Narrow" w:cs="Times New Roman"/>
                <w:b/>
                <w:color w:val="4F81BD" w:themeColor="accent1"/>
                <w:sz w:val="24"/>
                <w:szCs w:val="24"/>
                <w:lang w:val="en-US"/>
              </w:rPr>
              <w:t xml:space="preserve"> AED – </w:t>
            </w:r>
            <w:r w:rsidRPr="00864EE2">
              <w:rPr>
                <w:rFonts w:ascii="Arial Narrow" w:eastAsia="Times New Roman" w:hAnsi="Arial Narrow" w:cs="Times New Roman"/>
                <w:b/>
                <w:color w:val="4F81BD" w:themeColor="accent1"/>
                <w:sz w:val="24"/>
                <w:szCs w:val="24"/>
              </w:rPr>
              <w:t>(Ντίρχαμ)</w:t>
            </w:r>
          </w:p>
        </w:tc>
        <w:tc>
          <w:tcPr>
            <w:tcW w:w="3257" w:type="dxa"/>
          </w:tcPr>
          <w:p w14:paraId="2E1E1064" w14:textId="7B30F189" w:rsidR="00D342B6" w:rsidRPr="00864EE2" w:rsidRDefault="00D342B6" w:rsidP="00D342B6">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Σχόλια</w:t>
            </w:r>
          </w:p>
        </w:tc>
      </w:tr>
      <w:tr w:rsidR="00D342B6" w:rsidRPr="00864EE2" w14:paraId="629626E7" w14:textId="77777777" w:rsidTr="00D342B6">
        <w:tc>
          <w:tcPr>
            <w:tcW w:w="3257" w:type="dxa"/>
          </w:tcPr>
          <w:p w14:paraId="69342145" w14:textId="77C37EF0" w:rsidR="00D342B6" w:rsidRPr="00864EE2" w:rsidRDefault="00D342B6" w:rsidP="00D342B6">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Συνολικό Εξωτερικό Εμπόριο αγαθά + υπηρεσίες</w:t>
            </w:r>
          </w:p>
        </w:tc>
        <w:tc>
          <w:tcPr>
            <w:tcW w:w="3257" w:type="dxa"/>
          </w:tcPr>
          <w:p w14:paraId="0FED4E34" w14:textId="2B2591E7" w:rsidR="00D342B6" w:rsidRPr="00864EE2" w:rsidRDefault="00D342B6" w:rsidP="00D342B6">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5,23 τρις Ντίρχαμ </w:t>
            </w:r>
          </w:p>
        </w:tc>
        <w:tc>
          <w:tcPr>
            <w:tcW w:w="3257" w:type="dxa"/>
          </w:tcPr>
          <w:p w14:paraId="1DDDD737" w14:textId="2C091793" w:rsidR="00D342B6" w:rsidRPr="00864EE2" w:rsidRDefault="00D342B6" w:rsidP="00D342B6">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Ρεκόρ όλων των εποχών</w:t>
            </w:r>
          </w:p>
        </w:tc>
      </w:tr>
      <w:tr w:rsidR="00D342B6" w:rsidRPr="00864EE2" w14:paraId="60C08679" w14:textId="77777777" w:rsidTr="00D342B6">
        <w:tc>
          <w:tcPr>
            <w:tcW w:w="3257" w:type="dxa"/>
          </w:tcPr>
          <w:p w14:paraId="355F6886" w14:textId="35F822A6" w:rsidR="00D342B6" w:rsidRPr="00864EE2" w:rsidRDefault="00D342B6" w:rsidP="00D342B6">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Μη πετρελαϊκές εξαγωγές </w:t>
            </w:r>
          </w:p>
        </w:tc>
        <w:tc>
          <w:tcPr>
            <w:tcW w:w="3257" w:type="dxa"/>
          </w:tcPr>
          <w:p w14:paraId="2839B925" w14:textId="656472B0" w:rsidR="00D342B6" w:rsidRPr="00864EE2" w:rsidRDefault="00D342B6" w:rsidP="00D342B6">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561,2 δις </w:t>
            </w:r>
            <w:r w:rsidRPr="00864EE2">
              <w:rPr>
                <w:rFonts w:ascii="Arial Narrow" w:eastAsia="Times New Roman" w:hAnsi="Arial Narrow" w:cs="Times New Roman"/>
                <w:b/>
                <w:color w:val="4F81BD" w:themeColor="accent1"/>
                <w:sz w:val="24"/>
                <w:szCs w:val="24"/>
                <w:lang w:val="en-US"/>
              </w:rPr>
              <w:t>AED – (</w:t>
            </w:r>
            <w:r w:rsidRPr="00864EE2">
              <w:rPr>
                <w:rFonts w:ascii="Arial Narrow" w:eastAsia="Times New Roman" w:hAnsi="Arial Narrow" w:cs="Times New Roman"/>
                <w:b/>
                <w:color w:val="4F81BD" w:themeColor="accent1"/>
                <w:sz w:val="24"/>
                <w:szCs w:val="24"/>
              </w:rPr>
              <w:t>Ντίρχαμ)</w:t>
            </w:r>
          </w:p>
        </w:tc>
        <w:tc>
          <w:tcPr>
            <w:tcW w:w="3257" w:type="dxa"/>
          </w:tcPr>
          <w:p w14:paraId="49807976" w14:textId="4A007BD3" w:rsidR="00D342B6" w:rsidRPr="00864EE2" w:rsidRDefault="00D342B6" w:rsidP="00D342B6">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+27,6% ετήσια αύξηση</w:t>
            </w:r>
          </w:p>
        </w:tc>
      </w:tr>
      <w:tr w:rsidR="00D342B6" w:rsidRPr="00864EE2" w14:paraId="20B130A4" w14:textId="77777777" w:rsidTr="00D342B6">
        <w:tc>
          <w:tcPr>
            <w:tcW w:w="3257" w:type="dxa"/>
          </w:tcPr>
          <w:p w14:paraId="54F3AB4B" w14:textId="5D6BC7F7" w:rsidR="00D342B6" w:rsidRPr="00864EE2" w:rsidRDefault="00D342B6" w:rsidP="00D342B6">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Επανεξαγωγές </w:t>
            </w:r>
          </w:p>
        </w:tc>
        <w:tc>
          <w:tcPr>
            <w:tcW w:w="3257" w:type="dxa"/>
          </w:tcPr>
          <w:p w14:paraId="22FF4632" w14:textId="5446D2F1" w:rsidR="00D342B6" w:rsidRPr="00864EE2" w:rsidRDefault="00D342B6" w:rsidP="00D342B6">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734,4 δις </w:t>
            </w:r>
            <w:r w:rsidRPr="00864EE2">
              <w:rPr>
                <w:rFonts w:ascii="Arial Narrow" w:eastAsia="Times New Roman" w:hAnsi="Arial Narrow" w:cs="Times New Roman"/>
                <w:b/>
                <w:color w:val="4F81BD" w:themeColor="accent1"/>
                <w:sz w:val="24"/>
                <w:szCs w:val="24"/>
                <w:lang w:val="en-US"/>
              </w:rPr>
              <w:t>AED – (</w:t>
            </w:r>
            <w:r w:rsidR="005633E3" w:rsidRPr="00864EE2">
              <w:rPr>
                <w:rFonts w:ascii="Arial Narrow" w:eastAsia="Times New Roman" w:hAnsi="Arial Narrow" w:cs="Times New Roman"/>
                <w:b/>
                <w:color w:val="4F81BD" w:themeColor="accent1"/>
                <w:sz w:val="24"/>
                <w:szCs w:val="24"/>
              </w:rPr>
              <w:t>Ντίρχαμ)</w:t>
            </w:r>
          </w:p>
        </w:tc>
        <w:tc>
          <w:tcPr>
            <w:tcW w:w="3257" w:type="dxa"/>
          </w:tcPr>
          <w:p w14:paraId="3634BFDC" w14:textId="4EAFB65E" w:rsidR="00D342B6" w:rsidRPr="00864EE2" w:rsidRDefault="005633E3" w:rsidP="00D342B6">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+7,3% </w:t>
            </w:r>
          </w:p>
        </w:tc>
      </w:tr>
      <w:tr w:rsidR="00D342B6" w:rsidRPr="00864EE2" w14:paraId="728C9199" w14:textId="77777777" w:rsidTr="00D342B6">
        <w:tc>
          <w:tcPr>
            <w:tcW w:w="3257" w:type="dxa"/>
          </w:tcPr>
          <w:p w14:paraId="48A3D5A0" w14:textId="216C0E81" w:rsidR="00D342B6" w:rsidRPr="00864EE2" w:rsidRDefault="005633E3" w:rsidP="00D342B6">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Μη πετρελαϊκές εισαγωγές </w:t>
            </w:r>
          </w:p>
        </w:tc>
        <w:tc>
          <w:tcPr>
            <w:tcW w:w="3257" w:type="dxa"/>
          </w:tcPr>
          <w:p w14:paraId="504730FE" w14:textId="08B41093" w:rsidR="00D342B6" w:rsidRPr="00864EE2" w:rsidRDefault="005633E3" w:rsidP="00D342B6">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1.701 τρις </w:t>
            </w:r>
            <w:r w:rsidRPr="00864EE2">
              <w:rPr>
                <w:rFonts w:ascii="Arial Narrow" w:eastAsia="Times New Roman" w:hAnsi="Arial Narrow" w:cs="Times New Roman"/>
                <w:b/>
                <w:color w:val="4F81BD" w:themeColor="accent1"/>
                <w:sz w:val="24"/>
                <w:szCs w:val="24"/>
                <w:lang w:val="en-US"/>
              </w:rPr>
              <w:t>AED – (</w:t>
            </w:r>
            <w:r w:rsidR="001258F7" w:rsidRPr="00864EE2">
              <w:rPr>
                <w:rFonts w:ascii="Arial Narrow" w:eastAsia="Times New Roman" w:hAnsi="Arial Narrow" w:cs="Times New Roman"/>
                <w:b/>
                <w:color w:val="4F81BD" w:themeColor="accent1"/>
                <w:sz w:val="24"/>
                <w:szCs w:val="24"/>
              </w:rPr>
              <w:t>Ντίρχαμ)</w:t>
            </w:r>
          </w:p>
        </w:tc>
        <w:tc>
          <w:tcPr>
            <w:tcW w:w="3257" w:type="dxa"/>
          </w:tcPr>
          <w:p w14:paraId="562F6041" w14:textId="02CF56A7" w:rsidR="00D342B6" w:rsidRPr="00864EE2" w:rsidRDefault="001258F7" w:rsidP="00D342B6">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+14,2%</w:t>
            </w:r>
          </w:p>
        </w:tc>
      </w:tr>
      <w:tr w:rsidR="00D342B6" w:rsidRPr="00864EE2" w14:paraId="291D8613" w14:textId="77777777" w:rsidTr="00D342B6">
        <w:tc>
          <w:tcPr>
            <w:tcW w:w="3257" w:type="dxa"/>
          </w:tcPr>
          <w:p w14:paraId="15BAA1AE" w14:textId="5870DB1F" w:rsidR="00D342B6" w:rsidRPr="00864EE2" w:rsidRDefault="001258F7" w:rsidP="00D342B6">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Εμπορικό Πλεόνασμα </w:t>
            </w:r>
          </w:p>
        </w:tc>
        <w:tc>
          <w:tcPr>
            <w:tcW w:w="3257" w:type="dxa"/>
          </w:tcPr>
          <w:p w14:paraId="33D956DF" w14:textId="54F58FB6" w:rsidR="00D342B6" w:rsidRPr="00864EE2" w:rsidRDefault="0019629A" w:rsidP="00D342B6">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 xml:space="preserve">492 δις </w:t>
            </w:r>
            <w:r w:rsidRPr="00864EE2">
              <w:rPr>
                <w:rFonts w:ascii="Arial Narrow" w:eastAsia="Times New Roman" w:hAnsi="Arial Narrow" w:cs="Times New Roman"/>
                <w:b/>
                <w:color w:val="4F81BD" w:themeColor="accent1"/>
                <w:sz w:val="24"/>
                <w:szCs w:val="24"/>
                <w:lang w:val="en-US"/>
              </w:rPr>
              <w:t xml:space="preserve">AED – </w:t>
            </w:r>
            <w:r w:rsidRPr="00864EE2">
              <w:rPr>
                <w:rFonts w:ascii="Arial Narrow" w:eastAsia="Times New Roman" w:hAnsi="Arial Narrow" w:cs="Times New Roman"/>
                <w:b/>
                <w:color w:val="4F81BD" w:themeColor="accent1"/>
                <w:sz w:val="24"/>
                <w:szCs w:val="24"/>
              </w:rPr>
              <w:t>(Ντίρχαμ)</w:t>
            </w:r>
          </w:p>
        </w:tc>
        <w:tc>
          <w:tcPr>
            <w:tcW w:w="3257" w:type="dxa"/>
          </w:tcPr>
          <w:p w14:paraId="33E66781" w14:textId="4865CC5A" w:rsidR="00D342B6" w:rsidRPr="00864EE2" w:rsidRDefault="0019629A" w:rsidP="00D342B6">
            <w:pPr>
              <w:spacing w:before="100" w:beforeAutospacing="1" w:after="100" w:afterAutospacing="1"/>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Ισχυρή εξωτερική θέση</w:t>
            </w:r>
          </w:p>
        </w:tc>
      </w:tr>
    </w:tbl>
    <w:p w14:paraId="6143C338" w14:textId="3BF5D1B9" w:rsidR="00254AB2" w:rsidRDefault="0019629A" w:rsidP="00254AB2">
      <w:pPr>
        <w:spacing w:before="100" w:beforeAutospacing="1" w:after="100" w:afterAutospacing="1" w:line="240" w:lineRule="auto"/>
        <w:jc w:val="both"/>
        <w:rPr>
          <w:rFonts w:ascii="Arial Narrow" w:eastAsia="Times New Roman" w:hAnsi="Arial Narrow" w:cs="Times New Roman"/>
          <w:sz w:val="24"/>
          <w:szCs w:val="24"/>
        </w:rPr>
      </w:pPr>
      <w:r w:rsidRPr="00254AB2">
        <w:rPr>
          <w:rFonts w:ascii="Arial Narrow" w:eastAsia="Times New Roman" w:hAnsi="Arial Narrow" w:cs="Times New Roman"/>
          <w:sz w:val="24"/>
          <w:szCs w:val="24"/>
        </w:rPr>
        <w:t xml:space="preserve">Σημαντικές Παρατηρήσεις: </w:t>
      </w:r>
      <w:r w:rsidR="00670048" w:rsidRPr="00254AB2">
        <w:rPr>
          <w:rFonts w:ascii="Arial Narrow" w:eastAsia="Times New Roman" w:hAnsi="Arial Narrow" w:cs="Times New Roman"/>
          <w:sz w:val="24"/>
          <w:szCs w:val="24"/>
        </w:rPr>
        <w:t xml:space="preserve">το συνολικό εμπόριο των ΗΑΕ άγγιξε τα 5,23 τρις </w:t>
      </w:r>
      <w:r w:rsidR="00670048" w:rsidRPr="00254AB2">
        <w:rPr>
          <w:rFonts w:ascii="Arial Narrow" w:eastAsia="Times New Roman" w:hAnsi="Arial Narrow" w:cs="Times New Roman"/>
          <w:sz w:val="24"/>
          <w:szCs w:val="24"/>
          <w:lang w:val="en-US"/>
        </w:rPr>
        <w:t>AED</w:t>
      </w:r>
      <w:r w:rsidR="00C56E92" w:rsidRPr="00254AB2">
        <w:rPr>
          <w:rFonts w:ascii="Arial Narrow" w:eastAsia="Times New Roman" w:hAnsi="Arial Narrow" w:cs="Times New Roman"/>
          <w:sz w:val="24"/>
          <w:szCs w:val="24"/>
        </w:rPr>
        <w:t xml:space="preserve"> (Ντίρχαμ) – 1,42 τρις $</w:t>
      </w:r>
      <w:r w:rsidR="00254AB2" w:rsidRPr="00254AB2">
        <w:rPr>
          <w:rFonts w:ascii="Arial Narrow" w:eastAsia="Times New Roman" w:hAnsi="Arial Narrow" w:cs="Times New Roman"/>
          <w:sz w:val="24"/>
          <w:szCs w:val="24"/>
        </w:rPr>
        <w:t>. Σημαντική ανάπτυξη</w:t>
      </w:r>
      <w:r w:rsidR="00254AB2">
        <w:rPr>
          <w:rFonts w:ascii="Arial Narrow" w:eastAsia="Times New Roman" w:hAnsi="Arial Narrow" w:cs="Times New Roman"/>
          <w:sz w:val="24"/>
          <w:szCs w:val="24"/>
        </w:rPr>
        <w:t xml:space="preserve"> μη πετρελαϊκού τομέα και ενίσχυση εμπορίου μέσω </w:t>
      </w:r>
      <w:r w:rsidR="00254AB2">
        <w:rPr>
          <w:rFonts w:ascii="Arial Narrow" w:eastAsia="Times New Roman" w:hAnsi="Arial Narrow" w:cs="Times New Roman"/>
          <w:sz w:val="24"/>
          <w:szCs w:val="24"/>
          <w:lang w:val="en-US"/>
        </w:rPr>
        <w:t>CEPA</w:t>
      </w:r>
      <w:r w:rsidR="00254AB2" w:rsidRPr="00254AB2">
        <w:rPr>
          <w:rFonts w:ascii="Arial Narrow" w:eastAsia="Times New Roman" w:hAnsi="Arial Narrow" w:cs="Times New Roman"/>
          <w:sz w:val="24"/>
          <w:szCs w:val="24"/>
        </w:rPr>
        <w:t xml:space="preserve"> </w:t>
      </w:r>
      <w:r w:rsidR="00254AB2">
        <w:rPr>
          <w:rFonts w:ascii="Arial Narrow" w:eastAsia="Times New Roman" w:hAnsi="Arial Narrow" w:cs="Times New Roman"/>
          <w:sz w:val="24"/>
          <w:szCs w:val="24"/>
        </w:rPr>
        <w:t>συμφωνιών.</w:t>
      </w:r>
    </w:p>
    <w:p w14:paraId="607B7794" w14:textId="573FAB53" w:rsidR="00254AB2" w:rsidRPr="00864EE2" w:rsidRDefault="00B13E62" w:rsidP="008B7B3F">
      <w:pPr>
        <w:spacing w:before="100" w:beforeAutospacing="1" w:after="100" w:afterAutospacing="1" w:line="240" w:lineRule="auto"/>
        <w:jc w:val="center"/>
        <w:rPr>
          <w:rFonts w:ascii="Arial Narrow" w:eastAsia="Times New Roman" w:hAnsi="Arial Narrow" w:cs="Times New Roman"/>
          <w:b/>
          <w:color w:val="4F81BD" w:themeColor="accent1"/>
          <w:sz w:val="28"/>
          <w:szCs w:val="28"/>
        </w:rPr>
      </w:pPr>
      <w:r w:rsidRPr="00864EE2">
        <w:rPr>
          <w:rFonts w:ascii="Arial Narrow" w:eastAsia="Times New Roman" w:hAnsi="Arial Narrow" w:cs="Times New Roman"/>
          <w:b/>
          <w:color w:val="4F81BD" w:themeColor="accent1"/>
          <w:sz w:val="28"/>
          <w:szCs w:val="28"/>
        </w:rPr>
        <w:t xml:space="preserve">ΠΙΝΑΚΑΣ </w:t>
      </w:r>
      <w:r w:rsidR="00864EE2" w:rsidRPr="00864EE2">
        <w:rPr>
          <w:rFonts w:ascii="Arial Narrow" w:eastAsia="Times New Roman" w:hAnsi="Arial Narrow" w:cs="Times New Roman"/>
          <w:b/>
          <w:color w:val="4F81BD" w:themeColor="accent1"/>
          <w:sz w:val="28"/>
          <w:szCs w:val="28"/>
        </w:rPr>
        <w:t>1</w:t>
      </w:r>
      <w:r w:rsidR="00451B2E">
        <w:rPr>
          <w:rFonts w:ascii="Arial Narrow" w:eastAsia="Times New Roman" w:hAnsi="Arial Narrow" w:cs="Times New Roman"/>
          <w:b/>
          <w:color w:val="4F81BD" w:themeColor="accent1"/>
          <w:sz w:val="28"/>
          <w:szCs w:val="28"/>
        </w:rPr>
        <w:t>3</w:t>
      </w:r>
      <w:r w:rsidR="00864EE2" w:rsidRPr="00864EE2">
        <w:rPr>
          <w:rFonts w:ascii="Arial Narrow" w:eastAsia="Times New Roman" w:hAnsi="Arial Narrow" w:cs="Times New Roman"/>
          <w:b/>
          <w:color w:val="4F81BD" w:themeColor="accent1"/>
          <w:sz w:val="28"/>
          <w:szCs w:val="28"/>
        </w:rPr>
        <w:t xml:space="preserve"> </w:t>
      </w:r>
      <w:r w:rsidRPr="00864EE2">
        <w:rPr>
          <w:rFonts w:ascii="Arial Narrow" w:eastAsia="Times New Roman" w:hAnsi="Arial Narrow" w:cs="Times New Roman"/>
          <w:b/>
          <w:color w:val="4F81BD" w:themeColor="accent1"/>
          <w:sz w:val="28"/>
          <w:szCs w:val="28"/>
        </w:rPr>
        <w:t xml:space="preserve"> - </w:t>
      </w:r>
      <w:r w:rsidR="00D4502C" w:rsidRPr="00864EE2">
        <w:rPr>
          <w:rFonts w:ascii="Arial Narrow" w:eastAsia="Times New Roman" w:hAnsi="Arial Narrow" w:cs="Times New Roman"/>
          <w:b/>
          <w:color w:val="4F81BD" w:themeColor="accent1"/>
          <w:sz w:val="28"/>
          <w:szCs w:val="28"/>
        </w:rPr>
        <w:t>ΣΥΝΘΕΣΗ ΜΗ ΠΕΤΡΕΛΑΪΚΩΝ ΕΞΑΓΩΓΩΝ 2024</w:t>
      </w:r>
    </w:p>
    <w:tbl>
      <w:tblPr>
        <w:tblStyle w:val="TableGrid"/>
        <w:tblW w:w="0" w:type="auto"/>
        <w:tblInd w:w="1571" w:type="dxa"/>
        <w:tblLook w:val="04A0" w:firstRow="1" w:lastRow="0" w:firstColumn="1" w:lastColumn="0" w:noHBand="0" w:noVBand="1"/>
      </w:tblPr>
      <w:tblGrid>
        <w:gridCol w:w="4139"/>
        <w:gridCol w:w="4061"/>
      </w:tblGrid>
      <w:tr w:rsidR="008B7B3F" w:rsidRPr="00864EE2" w14:paraId="2FDFE478" w14:textId="77777777" w:rsidTr="001C058A">
        <w:tc>
          <w:tcPr>
            <w:tcW w:w="4885" w:type="dxa"/>
          </w:tcPr>
          <w:p w14:paraId="133691D6" w14:textId="3E9786D3" w:rsidR="001C058A" w:rsidRPr="00864EE2" w:rsidRDefault="008B7B3F" w:rsidP="008B7B3F">
            <w:pPr>
              <w:spacing w:before="100" w:beforeAutospacing="1" w:after="100" w:afterAutospacing="1"/>
              <w:jc w:val="center"/>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Κατηγορία προϊόντων</w:t>
            </w:r>
          </w:p>
        </w:tc>
        <w:tc>
          <w:tcPr>
            <w:tcW w:w="4886" w:type="dxa"/>
          </w:tcPr>
          <w:p w14:paraId="2F85822E" w14:textId="1E0D5E22" w:rsidR="001C058A" w:rsidRPr="00864EE2" w:rsidRDefault="008B7B3F" w:rsidP="008B7B3F">
            <w:pPr>
              <w:spacing w:before="100" w:beforeAutospacing="1" w:after="100" w:afterAutospacing="1"/>
              <w:jc w:val="center"/>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Τάση</w:t>
            </w:r>
          </w:p>
        </w:tc>
      </w:tr>
      <w:tr w:rsidR="008B7B3F" w:rsidRPr="00864EE2" w14:paraId="440E4803" w14:textId="77777777" w:rsidTr="001C058A">
        <w:tc>
          <w:tcPr>
            <w:tcW w:w="4885" w:type="dxa"/>
          </w:tcPr>
          <w:p w14:paraId="3B4CAD8E" w14:textId="4EA36822" w:rsidR="001C058A" w:rsidRPr="00864EE2" w:rsidRDefault="008B7B3F" w:rsidP="008B7B3F">
            <w:pPr>
              <w:spacing w:before="100" w:beforeAutospacing="1" w:after="100" w:afterAutospacing="1"/>
              <w:jc w:val="center"/>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Χρυσός &amp; πολύτιμα μέταλλα</w:t>
            </w:r>
          </w:p>
        </w:tc>
        <w:tc>
          <w:tcPr>
            <w:tcW w:w="4886" w:type="dxa"/>
          </w:tcPr>
          <w:p w14:paraId="07AAF1E3" w14:textId="561C1B8D" w:rsidR="001C058A" w:rsidRPr="00864EE2" w:rsidRDefault="008B7B3F" w:rsidP="008B7B3F">
            <w:pPr>
              <w:spacing w:before="100" w:beforeAutospacing="1" w:after="100" w:afterAutospacing="1"/>
              <w:jc w:val="center"/>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Σημαντική αύξηση</w:t>
            </w:r>
          </w:p>
        </w:tc>
      </w:tr>
      <w:tr w:rsidR="008B7B3F" w:rsidRPr="00864EE2" w14:paraId="0F8F6199" w14:textId="77777777" w:rsidTr="001C058A">
        <w:tc>
          <w:tcPr>
            <w:tcW w:w="4885" w:type="dxa"/>
          </w:tcPr>
          <w:p w14:paraId="5A341B7C" w14:textId="2DB40DD8" w:rsidR="008B7B3F" w:rsidRPr="00864EE2" w:rsidRDefault="008B7B3F" w:rsidP="008B7B3F">
            <w:pPr>
              <w:spacing w:before="100" w:beforeAutospacing="1" w:after="100" w:afterAutospacing="1"/>
              <w:jc w:val="center"/>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Κοσμήματα</w:t>
            </w:r>
          </w:p>
        </w:tc>
        <w:tc>
          <w:tcPr>
            <w:tcW w:w="4886" w:type="dxa"/>
          </w:tcPr>
          <w:p w14:paraId="1C0F3C77" w14:textId="0F59D455" w:rsidR="008B7B3F" w:rsidRPr="00864EE2" w:rsidRDefault="008B7B3F" w:rsidP="008B7B3F">
            <w:pPr>
              <w:spacing w:before="100" w:beforeAutospacing="1" w:after="100" w:afterAutospacing="1"/>
              <w:jc w:val="center"/>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Σημαντικη αύξηση</w:t>
            </w:r>
          </w:p>
        </w:tc>
      </w:tr>
      <w:tr w:rsidR="008B7B3F" w:rsidRPr="00864EE2" w14:paraId="762CB4C4" w14:textId="77777777" w:rsidTr="001C058A">
        <w:tc>
          <w:tcPr>
            <w:tcW w:w="4885" w:type="dxa"/>
          </w:tcPr>
          <w:p w14:paraId="72ED7DEB" w14:textId="33802A29" w:rsidR="001C058A" w:rsidRPr="00864EE2" w:rsidRDefault="008B7B3F" w:rsidP="008B7B3F">
            <w:pPr>
              <w:spacing w:before="100" w:beforeAutospacing="1" w:after="100" w:afterAutospacing="1"/>
              <w:jc w:val="center"/>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Αλουμίνιο</w:t>
            </w:r>
          </w:p>
        </w:tc>
        <w:tc>
          <w:tcPr>
            <w:tcW w:w="4886" w:type="dxa"/>
          </w:tcPr>
          <w:p w14:paraId="1C04909E" w14:textId="06A672A2" w:rsidR="001C058A" w:rsidRPr="00864EE2" w:rsidRDefault="008B7B3F" w:rsidP="008B7B3F">
            <w:pPr>
              <w:spacing w:before="100" w:beforeAutospacing="1" w:after="100" w:afterAutospacing="1"/>
              <w:jc w:val="center"/>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Σημαντική αύξηση</w:t>
            </w:r>
          </w:p>
        </w:tc>
      </w:tr>
      <w:tr w:rsidR="008B7B3F" w:rsidRPr="00864EE2" w14:paraId="0361BA44" w14:textId="77777777" w:rsidTr="001C058A">
        <w:tc>
          <w:tcPr>
            <w:tcW w:w="4885" w:type="dxa"/>
          </w:tcPr>
          <w:p w14:paraId="2C1FCC53" w14:textId="706615F7" w:rsidR="001C058A" w:rsidRPr="00864EE2" w:rsidRDefault="008B7B3F" w:rsidP="008B7B3F">
            <w:pPr>
              <w:spacing w:before="100" w:beforeAutospacing="1" w:after="100" w:afterAutospacing="1"/>
              <w:jc w:val="center"/>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Πετροχημικά προϊόντα</w:t>
            </w:r>
          </w:p>
        </w:tc>
        <w:tc>
          <w:tcPr>
            <w:tcW w:w="4886" w:type="dxa"/>
          </w:tcPr>
          <w:p w14:paraId="5AEE4F36" w14:textId="4D39FE49" w:rsidR="001C058A" w:rsidRPr="00864EE2" w:rsidRDefault="008B7B3F" w:rsidP="008B7B3F">
            <w:pPr>
              <w:spacing w:before="100" w:beforeAutospacing="1" w:after="100" w:afterAutospacing="1"/>
              <w:jc w:val="center"/>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Σημαντική αύξηση</w:t>
            </w:r>
          </w:p>
        </w:tc>
      </w:tr>
      <w:tr w:rsidR="008B7B3F" w:rsidRPr="00864EE2" w14:paraId="77BF04E3" w14:textId="77777777" w:rsidTr="001C058A">
        <w:tc>
          <w:tcPr>
            <w:tcW w:w="4885" w:type="dxa"/>
          </w:tcPr>
          <w:p w14:paraId="5733688A" w14:textId="6BD61082" w:rsidR="001C058A" w:rsidRPr="00864EE2" w:rsidRDefault="008B7B3F" w:rsidP="008B7B3F">
            <w:pPr>
              <w:spacing w:before="100" w:beforeAutospacing="1" w:after="100" w:afterAutospacing="1"/>
              <w:jc w:val="center"/>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Χαλκός &amp; βιομηχανικά υλικά</w:t>
            </w:r>
          </w:p>
        </w:tc>
        <w:tc>
          <w:tcPr>
            <w:tcW w:w="4886" w:type="dxa"/>
          </w:tcPr>
          <w:p w14:paraId="6A3E6BEB" w14:textId="7E89350A" w:rsidR="001C058A" w:rsidRPr="00864EE2" w:rsidRDefault="008B7B3F" w:rsidP="008B7B3F">
            <w:pPr>
              <w:spacing w:before="100" w:beforeAutospacing="1" w:after="100" w:afterAutospacing="1"/>
              <w:jc w:val="center"/>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Σημαντική αύξηση</w:t>
            </w:r>
          </w:p>
        </w:tc>
      </w:tr>
      <w:tr w:rsidR="008B7B3F" w:rsidRPr="00864EE2" w14:paraId="6B60546F" w14:textId="77777777" w:rsidTr="001C058A">
        <w:tc>
          <w:tcPr>
            <w:tcW w:w="4885" w:type="dxa"/>
          </w:tcPr>
          <w:p w14:paraId="762B7598" w14:textId="043367C5" w:rsidR="001C058A" w:rsidRPr="00864EE2" w:rsidRDefault="008B7B3F" w:rsidP="008B7B3F">
            <w:pPr>
              <w:spacing w:before="100" w:beforeAutospacing="1" w:after="100" w:afterAutospacing="1"/>
              <w:jc w:val="center"/>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Τρόφιμα &amp; καταναλωτικά</w:t>
            </w:r>
          </w:p>
        </w:tc>
        <w:tc>
          <w:tcPr>
            <w:tcW w:w="4886" w:type="dxa"/>
          </w:tcPr>
          <w:p w14:paraId="7C4B2F3E" w14:textId="637946A1" w:rsidR="001C058A" w:rsidRPr="00864EE2" w:rsidRDefault="008B7B3F" w:rsidP="008B7B3F">
            <w:pPr>
              <w:spacing w:before="100" w:beforeAutospacing="1" w:after="100" w:afterAutospacing="1"/>
              <w:jc w:val="center"/>
              <w:rPr>
                <w:rFonts w:ascii="Arial Narrow" w:eastAsia="Times New Roman" w:hAnsi="Arial Narrow" w:cs="Times New Roman"/>
                <w:b/>
                <w:color w:val="4F81BD" w:themeColor="accent1"/>
                <w:sz w:val="24"/>
                <w:szCs w:val="24"/>
              </w:rPr>
            </w:pPr>
            <w:r w:rsidRPr="00864EE2">
              <w:rPr>
                <w:rFonts w:ascii="Arial Narrow" w:eastAsia="Times New Roman" w:hAnsi="Arial Narrow" w:cs="Times New Roman"/>
                <w:b/>
                <w:color w:val="4F81BD" w:themeColor="accent1"/>
                <w:sz w:val="24"/>
                <w:szCs w:val="24"/>
              </w:rPr>
              <w:t>Σημαντική Αύξηση</w:t>
            </w:r>
          </w:p>
        </w:tc>
      </w:tr>
      <w:tr w:rsidR="008B7B3F" w:rsidRPr="008B7B3F" w14:paraId="05E8D0DB" w14:textId="77777777" w:rsidTr="001C058A">
        <w:tc>
          <w:tcPr>
            <w:tcW w:w="4885" w:type="dxa"/>
          </w:tcPr>
          <w:p w14:paraId="69940A5A" w14:textId="77777777" w:rsidR="001C058A" w:rsidRPr="008B7B3F" w:rsidRDefault="001C058A" w:rsidP="008B7B3F">
            <w:pPr>
              <w:spacing w:before="100" w:beforeAutospacing="1" w:after="100" w:afterAutospacing="1"/>
              <w:jc w:val="center"/>
              <w:rPr>
                <w:rFonts w:ascii="Arial Narrow" w:eastAsia="Times New Roman" w:hAnsi="Arial Narrow" w:cs="Times New Roman"/>
                <w:b/>
                <w:color w:val="1F497D" w:themeColor="text2"/>
                <w:sz w:val="24"/>
                <w:szCs w:val="24"/>
              </w:rPr>
            </w:pPr>
          </w:p>
        </w:tc>
        <w:tc>
          <w:tcPr>
            <w:tcW w:w="4886" w:type="dxa"/>
          </w:tcPr>
          <w:p w14:paraId="6F5E0B6A" w14:textId="77777777" w:rsidR="001C058A" w:rsidRPr="008B7B3F" w:rsidRDefault="001C058A" w:rsidP="008B7B3F">
            <w:pPr>
              <w:spacing w:before="100" w:beforeAutospacing="1" w:after="100" w:afterAutospacing="1"/>
              <w:jc w:val="center"/>
              <w:rPr>
                <w:rFonts w:ascii="Arial Narrow" w:eastAsia="Times New Roman" w:hAnsi="Arial Narrow" w:cs="Times New Roman"/>
                <w:b/>
                <w:color w:val="1F497D" w:themeColor="text2"/>
                <w:sz w:val="24"/>
                <w:szCs w:val="24"/>
              </w:rPr>
            </w:pPr>
          </w:p>
        </w:tc>
      </w:tr>
    </w:tbl>
    <w:p w14:paraId="19117308" w14:textId="77777777" w:rsidR="00154966" w:rsidRDefault="00154966" w:rsidP="00154966">
      <w:pPr>
        <w:pStyle w:val="Heading1"/>
        <w:numPr>
          <w:ilvl w:val="0"/>
          <w:numId w:val="0"/>
        </w:numPr>
        <w:jc w:val="center"/>
        <w:rPr>
          <w:rFonts w:ascii="Arial Narrow" w:hAnsi="Arial Narrow"/>
          <w:bCs w:val="0"/>
          <w:color w:val="1F497D" w:themeColor="text2"/>
        </w:rPr>
      </w:pPr>
    </w:p>
    <w:p w14:paraId="17A2E524" w14:textId="4A9FF384" w:rsidR="00B47727" w:rsidRPr="00864EE2" w:rsidRDefault="00DD2848" w:rsidP="000714EA">
      <w:pPr>
        <w:pStyle w:val="Heading1"/>
        <w:numPr>
          <w:ilvl w:val="0"/>
          <w:numId w:val="0"/>
        </w:numPr>
        <w:jc w:val="center"/>
        <w:rPr>
          <w:rFonts w:ascii="Arial Narrow" w:hAnsi="Arial Narrow"/>
          <w:bCs w:val="0"/>
          <w:color w:val="4F81BD" w:themeColor="accent1"/>
        </w:rPr>
      </w:pPr>
      <w:r w:rsidRPr="00864EE2">
        <w:rPr>
          <w:rFonts w:ascii="Arial Narrow" w:hAnsi="Arial Narrow"/>
          <w:bCs w:val="0"/>
          <w:color w:val="4F81BD" w:themeColor="accent1"/>
        </w:rPr>
        <w:t xml:space="preserve">ΠΙΝΑΚΑΣ </w:t>
      </w:r>
      <w:r w:rsidR="00864EE2" w:rsidRPr="00864EE2">
        <w:rPr>
          <w:rFonts w:ascii="Arial Narrow" w:hAnsi="Arial Narrow"/>
          <w:bCs w:val="0"/>
          <w:color w:val="4F81BD" w:themeColor="accent1"/>
        </w:rPr>
        <w:t>1</w:t>
      </w:r>
      <w:r w:rsidR="00451B2E">
        <w:rPr>
          <w:rFonts w:ascii="Arial Narrow" w:hAnsi="Arial Narrow"/>
          <w:bCs w:val="0"/>
          <w:color w:val="4F81BD" w:themeColor="accent1"/>
        </w:rPr>
        <w:t>4</w:t>
      </w:r>
      <w:r w:rsidR="00026058" w:rsidRPr="00026058">
        <w:rPr>
          <w:rFonts w:ascii="Arial Narrow" w:hAnsi="Arial Narrow"/>
          <w:bCs w:val="0"/>
          <w:color w:val="4F81BD" w:themeColor="accent1"/>
        </w:rPr>
        <w:t xml:space="preserve"> </w:t>
      </w:r>
      <w:r w:rsidR="000714EA" w:rsidRPr="00864EE2">
        <w:rPr>
          <w:rFonts w:ascii="Arial Narrow" w:hAnsi="Arial Narrow"/>
          <w:bCs w:val="0"/>
          <w:color w:val="4F81BD" w:themeColor="accent1"/>
        </w:rPr>
        <w:t xml:space="preserve">- </w:t>
      </w:r>
      <w:r w:rsidR="008B7B3F" w:rsidRPr="00864EE2">
        <w:rPr>
          <w:rFonts w:ascii="Arial Narrow" w:hAnsi="Arial Narrow"/>
          <w:bCs w:val="0"/>
          <w:color w:val="4F81BD" w:themeColor="accent1"/>
        </w:rPr>
        <w:t>ΣΥΓΚΡΙΤΙΚΗ ΕΙΚΟΝΑ ΕΞΩΤΕΡΙΚΟΥ ΕΜΠΟΡΙΟΥ ΗΑΕ</w:t>
      </w:r>
    </w:p>
    <w:p w14:paraId="7EEAC77C" w14:textId="77777777" w:rsidR="00154966" w:rsidRPr="00864EE2" w:rsidRDefault="00154966" w:rsidP="000714EA">
      <w:pPr>
        <w:jc w:val="center"/>
        <w:rPr>
          <w:color w:val="4F81BD" w:themeColor="accent1"/>
        </w:rPr>
      </w:pPr>
    </w:p>
    <w:tbl>
      <w:tblPr>
        <w:tblStyle w:val="TableGrid"/>
        <w:tblW w:w="0" w:type="auto"/>
        <w:jc w:val="center"/>
        <w:tblLook w:val="04A0" w:firstRow="1" w:lastRow="0" w:firstColumn="1" w:lastColumn="0" w:noHBand="0" w:noVBand="1"/>
      </w:tblPr>
      <w:tblGrid>
        <w:gridCol w:w="1628"/>
        <w:gridCol w:w="1628"/>
        <w:gridCol w:w="1628"/>
        <w:gridCol w:w="1629"/>
      </w:tblGrid>
      <w:tr w:rsidR="00B47727" w:rsidRPr="00864EE2" w14:paraId="24D0D6E5" w14:textId="77777777" w:rsidTr="00B47727">
        <w:trPr>
          <w:jc w:val="center"/>
        </w:trPr>
        <w:tc>
          <w:tcPr>
            <w:tcW w:w="1628" w:type="dxa"/>
          </w:tcPr>
          <w:p w14:paraId="483F54B3" w14:textId="0FC8D169" w:rsidR="00B47727" w:rsidRPr="00864EE2" w:rsidRDefault="00B47727" w:rsidP="00B47727">
            <w:pPr>
              <w:jc w:val="center"/>
              <w:rPr>
                <w:rFonts w:ascii="Arial Narrow" w:hAnsi="Arial Narrow"/>
                <w:b/>
                <w:color w:val="4F81BD" w:themeColor="accent1"/>
                <w:sz w:val="24"/>
                <w:szCs w:val="24"/>
              </w:rPr>
            </w:pPr>
            <w:r w:rsidRPr="00864EE2">
              <w:rPr>
                <w:rFonts w:ascii="Arial Narrow" w:hAnsi="Arial Narrow"/>
                <w:b/>
                <w:color w:val="4F81BD" w:themeColor="accent1"/>
                <w:sz w:val="24"/>
                <w:szCs w:val="24"/>
              </w:rPr>
              <w:t>Δείκτης</w:t>
            </w:r>
          </w:p>
        </w:tc>
        <w:tc>
          <w:tcPr>
            <w:tcW w:w="1628" w:type="dxa"/>
          </w:tcPr>
          <w:p w14:paraId="40A14566" w14:textId="2069EE81" w:rsidR="00B47727" w:rsidRPr="00864EE2" w:rsidRDefault="00B47727" w:rsidP="00B47727">
            <w:pPr>
              <w:jc w:val="center"/>
              <w:rPr>
                <w:rFonts w:ascii="Arial Narrow" w:hAnsi="Arial Narrow"/>
                <w:b/>
                <w:color w:val="4F81BD" w:themeColor="accent1"/>
                <w:sz w:val="24"/>
                <w:szCs w:val="24"/>
              </w:rPr>
            </w:pPr>
            <w:r w:rsidRPr="00864EE2">
              <w:rPr>
                <w:rFonts w:ascii="Arial Narrow" w:hAnsi="Arial Narrow"/>
                <w:b/>
                <w:color w:val="4F81BD" w:themeColor="accent1"/>
                <w:sz w:val="24"/>
                <w:szCs w:val="24"/>
              </w:rPr>
              <w:t>2023</w:t>
            </w:r>
          </w:p>
        </w:tc>
        <w:tc>
          <w:tcPr>
            <w:tcW w:w="1628" w:type="dxa"/>
          </w:tcPr>
          <w:p w14:paraId="05F022E4" w14:textId="1B4D3D2C" w:rsidR="00B47727" w:rsidRPr="00864EE2" w:rsidRDefault="00B47727" w:rsidP="00B47727">
            <w:pPr>
              <w:jc w:val="center"/>
              <w:rPr>
                <w:rFonts w:ascii="Arial Narrow" w:hAnsi="Arial Narrow"/>
                <w:b/>
                <w:color w:val="4F81BD" w:themeColor="accent1"/>
                <w:sz w:val="24"/>
                <w:szCs w:val="24"/>
              </w:rPr>
            </w:pPr>
            <w:r w:rsidRPr="00864EE2">
              <w:rPr>
                <w:rFonts w:ascii="Arial Narrow" w:hAnsi="Arial Narrow"/>
                <w:b/>
                <w:color w:val="4F81BD" w:themeColor="accent1"/>
                <w:sz w:val="24"/>
                <w:szCs w:val="24"/>
              </w:rPr>
              <w:t>2024</w:t>
            </w:r>
          </w:p>
        </w:tc>
        <w:tc>
          <w:tcPr>
            <w:tcW w:w="1629" w:type="dxa"/>
          </w:tcPr>
          <w:p w14:paraId="68772738" w14:textId="5908F6C5" w:rsidR="00B47727" w:rsidRPr="00864EE2" w:rsidRDefault="00B47727" w:rsidP="00B47727">
            <w:pPr>
              <w:jc w:val="center"/>
              <w:rPr>
                <w:rFonts w:ascii="Arial Narrow" w:hAnsi="Arial Narrow"/>
                <w:b/>
                <w:color w:val="4F81BD" w:themeColor="accent1"/>
                <w:sz w:val="24"/>
                <w:szCs w:val="24"/>
              </w:rPr>
            </w:pPr>
            <w:r w:rsidRPr="00864EE2">
              <w:rPr>
                <w:rFonts w:ascii="Arial Narrow" w:hAnsi="Arial Narrow"/>
                <w:b/>
                <w:color w:val="4F81BD" w:themeColor="accent1"/>
                <w:sz w:val="24"/>
                <w:szCs w:val="24"/>
              </w:rPr>
              <w:t>2025 (ενδείξεις)</w:t>
            </w:r>
          </w:p>
        </w:tc>
      </w:tr>
      <w:tr w:rsidR="00B47727" w:rsidRPr="00864EE2" w14:paraId="33D1E1A2" w14:textId="77777777" w:rsidTr="00B47727">
        <w:trPr>
          <w:jc w:val="center"/>
        </w:trPr>
        <w:tc>
          <w:tcPr>
            <w:tcW w:w="1628" w:type="dxa"/>
          </w:tcPr>
          <w:p w14:paraId="1F428CF8" w14:textId="77777777" w:rsidR="00B47727" w:rsidRPr="00864EE2" w:rsidRDefault="00B47727" w:rsidP="00B47727">
            <w:pPr>
              <w:rPr>
                <w:rFonts w:ascii="Arial Narrow" w:hAnsi="Arial Narrow"/>
                <w:b/>
                <w:color w:val="4F81BD" w:themeColor="accent1"/>
                <w:sz w:val="24"/>
                <w:szCs w:val="24"/>
              </w:rPr>
            </w:pPr>
          </w:p>
          <w:p w14:paraId="0786BB3A" w14:textId="77777777" w:rsidR="00B47727" w:rsidRPr="00864EE2" w:rsidRDefault="00B47727" w:rsidP="00B47727">
            <w:pPr>
              <w:rPr>
                <w:rFonts w:ascii="Arial Narrow" w:hAnsi="Arial Narrow"/>
                <w:b/>
                <w:color w:val="4F81BD" w:themeColor="accent1"/>
                <w:sz w:val="24"/>
                <w:szCs w:val="24"/>
              </w:rPr>
            </w:pPr>
          </w:p>
          <w:p w14:paraId="7AD0D83E" w14:textId="5726D358" w:rsidR="00B47727" w:rsidRPr="00864EE2" w:rsidRDefault="00B47727" w:rsidP="00B4772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Συνολικό Εμπόριο </w:t>
            </w:r>
          </w:p>
        </w:tc>
        <w:tc>
          <w:tcPr>
            <w:tcW w:w="1628" w:type="dxa"/>
          </w:tcPr>
          <w:p w14:paraId="65965DD5" w14:textId="77777777" w:rsidR="00B47727" w:rsidRPr="00864EE2" w:rsidRDefault="00B47727" w:rsidP="00B47727">
            <w:pPr>
              <w:jc w:val="center"/>
              <w:rPr>
                <w:rFonts w:ascii="Arial Narrow" w:hAnsi="Arial Narrow"/>
                <w:b/>
                <w:color w:val="4F81BD" w:themeColor="accent1"/>
                <w:sz w:val="24"/>
                <w:szCs w:val="24"/>
              </w:rPr>
            </w:pPr>
          </w:p>
          <w:p w14:paraId="61A55C66" w14:textId="77777777" w:rsidR="00B47727" w:rsidRPr="00864EE2" w:rsidRDefault="00B47727" w:rsidP="00B47727">
            <w:pPr>
              <w:jc w:val="center"/>
              <w:rPr>
                <w:rFonts w:ascii="Arial Narrow" w:hAnsi="Arial Narrow"/>
                <w:b/>
                <w:color w:val="4F81BD" w:themeColor="accent1"/>
                <w:sz w:val="24"/>
                <w:szCs w:val="24"/>
              </w:rPr>
            </w:pPr>
          </w:p>
          <w:p w14:paraId="3904C68C" w14:textId="6FA680BA" w:rsidR="00B47727" w:rsidRPr="00864EE2" w:rsidRDefault="00B47727" w:rsidP="00B47727">
            <w:pPr>
              <w:jc w:val="center"/>
              <w:rPr>
                <w:rFonts w:ascii="Arial Narrow" w:hAnsi="Arial Narrow"/>
                <w:b/>
                <w:color w:val="4F81BD" w:themeColor="accent1"/>
                <w:sz w:val="24"/>
                <w:szCs w:val="24"/>
                <w:lang w:val="en-US"/>
              </w:rPr>
            </w:pPr>
            <w:r w:rsidRPr="00864EE2">
              <w:rPr>
                <w:rFonts w:ascii="Arial Narrow" w:hAnsi="Arial Narrow"/>
                <w:b/>
                <w:color w:val="4F81BD" w:themeColor="accent1"/>
                <w:sz w:val="24"/>
                <w:szCs w:val="24"/>
              </w:rPr>
              <w:t xml:space="preserve">4,8 έως 5,0 τρις </w:t>
            </w:r>
            <w:r w:rsidRPr="00864EE2">
              <w:rPr>
                <w:rFonts w:ascii="Arial Narrow" w:hAnsi="Arial Narrow"/>
                <w:b/>
                <w:color w:val="4F81BD" w:themeColor="accent1"/>
                <w:sz w:val="24"/>
                <w:szCs w:val="24"/>
                <w:lang w:val="en-US"/>
              </w:rPr>
              <w:t>AED</w:t>
            </w:r>
          </w:p>
        </w:tc>
        <w:tc>
          <w:tcPr>
            <w:tcW w:w="1628" w:type="dxa"/>
          </w:tcPr>
          <w:p w14:paraId="1CCA29A2" w14:textId="77777777" w:rsidR="00B47727" w:rsidRPr="00864EE2" w:rsidRDefault="00B47727" w:rsidP="00B47727">
            <w:pPr>
              <w:jc w:val="center"/>
              <w:rPr>
                <w:rFonts w:ascii="Arial Narrow" w:hAnsi="Arial Narrow"/>
                <w:b/>
                <w:color w:val="4F81BD" w:themeColor="accent1"/>
                <w:sz w:val="24"/>
                <w:szCs w:val="24"/>
              </w:rPr>
            </w:pPr>
          </w:p>
          <w:p w14:paraId="6AC25BB9" w14:textId="77777777" w:rsidR="00B47727" w:rsidRPr="00864EE2" w:rsidRDefault="00B47727" w:rsidP="00B47727">
            <w:pPr>
              <w:jc w:val="center"/>
              <w:rPr>
                <w:rFonts w:ascii="Arial Narrow" w:hAnsi="Arial Narrow"/>
                <w:b/>
                <w:color w:val="4F81BD" w:themeColor="accent1"/>
                <w:sz w:val="24"/>
                <w:szCs w:val="24"/>
              </w:rPr>
            </w:pPr>
          </w:p>
          <w:p w14:paraId="0A75FC58" w14:textId="77777777" w:rsidR="00B47727" w:rsidRPr="00864EE2" w:rsidRDefault="00B47727" w:rsidP="00B47727">
            <w:pPr>
              <w:jc w:val="center"/>
              <w:rPr>
                <w:rFonts w:ascii="Arial Narrow" w:hAnsi="Arial Narrow"/>
                <w:b/>
                <w:color w:val="4F81BD" w:themeColor="accent1"/>
                <w:sz w:val="24"/>
                <w:szCs w:val="24"/>
                <w:lang w:val="en-US"/>
              </w:rPr>
            </w:pPr>
          </w:p>
          <w:p w14:paraId="0741C4CD" w14:textId="1FD6B1F6" w:rsidR="00B47727" w:rsidRPr="00864EE2" w:rsidRDefault="00B47727" w:rsidP="00B47727">
            <w:pPr>
              <w:jc w:val="center"/>
              <w:rPr>
                <w:rFonts w:ascii="Arial Narrow" w:hAnsi="Arial Narrow"/>
                <w:b/>
                <w:color w:val="4F81BD" w:themeColor="accent1"/>
                <w:sz w:val="24"/>
                <w:szCs w:val="24"/>
                <w:lang w:val="en-US"/>
              </w:rPr>
            </w:pPr>
            <w:r w:rsidRPr="00864EE2">
              <w:rPr>
                <w:rFonts w:ascii="Arial Narrow" w:hAnsi="Arial Narrow"/>
                <w:b/>
                <w:color w:val="4F81BD" w:themeColor="accent1"/>
                <w:sz w:val="24"/>
                <w:szCs w:val="24"/>
                <w:lang w:val="en-US"/>
              </w:rPr>
              <w:t xml:space="preserve">5,23 </w:t>
            </w:r>
            <w:r w:rsidRPr="00864EE2">
              <w:rPr>
                <w:rFonts w:ascii="Arial Narrow" w:hAnsi="Arial Narrow"/>
                <w:b/>
                <w:color w:val="4F81BD" w:themeColor="accent1"/>
                <w:sz w:val="24"/>
                <w:szCs w:val="24"/>
              </w:rPr>
              <w:t xml:space="preserve">τρις </w:t>
            </w:r>
            <w:r w:rsidRPr="00864EE2">
              <w:rPr>
                <w:rFonts w:ascii="Arial Narrow" w:hAnsi="Arial Narrow"/>
                <w:b/>
                <w:color w:val="4F81BD" w:themeColor="accent1"/>
                <w:sz w:val="24"/>
                <w:szCs w:val="24"/>
                <w:lang w:val="en-US"/>
              </w:rPr>
              <w:t>AED</w:t>
            </w:r>
          </w:p>
        </w:tc>
        <w:tc>
          <w:tcPr>
            <w:tcW w:w="1629" w:type="dxa"/>
          </w:tcPr>
          <w:p w14:paraId="315955B1" w14:textId="77777777" w:rsidR="00B47727" w:rsidRPr="00864EE2" w:rsidRDefault="00B47727" w:rsidP="00B47727">
            <w:pPr>
              <w:jc w:val="center"/>
              <w:rPr>
                <w:rFonts w:ascii="Arial Narrow" w:hAnsi="Arial Narrow"/>
                <w:b/>
                <w:color w:val="4F81BD" w:themeColor="accent1"/>
                <w:sz w:val="24"/>
                <w:szCs w:val="24"/>
              </w:rPr>
            </w:pPr>
          </w:p>
          <w:p w14:paraId="6A6E82D3" w14:textId="77777777" w:rsidR="00B47727" w:rsidRPr="00864EE2" w:rsidRDefault="00B47727" w:rsidP="00B47727">
            <w:pPr>
              <w:jc w:val="center"/>
              <w:rPr>
                <w:rFonts w:ascii="Arial Narrow" w:hAnsi="Arial Narrow"/>
                <w:b/>
                <w:color w:val="4F81BD" w:themeColor="accent1"/>
                <w:sz w:val="24"/>
                <w:szCs w:val="24"/>
              </w:rPr>
            </w:pPr>
          </w:p>
          <w:p w14:paraId="01279B15" w14:textId="00FFC7F4" w:rsidR="00B47727" w:rsidRPr="00864EE2" w:rsidRDefault="00B47727" w:rsidP="00B47727">
            <w:pPr>
              <w:jc w:val="center"/>
              <w:rPr>
                <w:rFonts w:ascii="Arial Narrow" w:hAnsi="Arial Narrow"/>
                <w:b/>
                <w:color w:val="4F81BD" w:themeColor="accent1"/>
                <w:sz w:val="24"/>
                <w:szCs w:val="24"/>
              </w:rPr>
            </w:pPr>
            <w:r w:rsidRPr="00864EE2">
              <w:rPr>
                <w:rFonts w:ascii="Arial Narrow" w:hAnsi="Arial Narrow"/>
                <w:b/>
                <w:color w:val="4F81BD" w:themeColor="accent1"/>
                <w:sz w:val="24"/>
                <w:szCs w:val="24"/>
              </w:rPr>
              <w:t>Περαιτέρω ανάπτυξη</w:t>
            </w:r>
          </w:p>
        </w:tc>
      </w:tr>
      <w:tr w:rsidR="00B47727" w:rsidRPr="00864EE2" w14:paraId="398D91E5" w14:textId="77777777" w:rsidTr="00B47727">
        <w:trPr>
          <w:jc w:val="center"/>
        </w:trPr>
        <w:tc>
          <w:tcPr>
            <w:tcW w:w="1628" w:type="dxa"/>
          </w:tcPr>
          <w:p w14:paraId="79E9E84D" w14:textId="12934CB3" w:rsidR="00B47727" w:rsidRPr="00864EE2" w:rsidRDefault="00B47727" w:rsidP="00B47727">
            <w:pPr>
              <w:jc w:val="cente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Μη πετρελαϊκό εμπόριο </w:t>
            </w:r>
          </w:p>
        </w:tc>
        <w:tc>
          <w:tcPr>
            <w:tcW w:w="1628" w:type="dxa"/>
          </w:tcPr>
          <w:p w14:paraId="1D81CD62" w14:textId="0962AAE4" w:rsidR="00B47727" w:rsidRPr="00864EE2" w:rsidRDefault="00B47727" w:rsidP="00B47727">
            <w:pPr>
              <w:jc w:val="cente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3,2 έως 3,5 τρις </w:t>
            </w:r>
          </w:p>
        </w:tc>
        <w:tc>
          <w:tcPr>
            <w:tcW w:w="1628" w:type="dxa"/>
          </w:tcPr>
          <w:p w14:paraId="17B0E260" w14:textId="0EE23523" w:rsidR="00B47727" w:rsidRPr="00864EE2" w:rsidRDefault="00B47727" w:rsidP="00B47727">
            <w:pPr>
              <w:jc w:val="cente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3,5 έως 3,8 τρις </w:t>
            </w:r>
          </w:p>
        </w:tc>
        <w:tc>
          <w:tcPr>
            <w:tcW w:w="1629" w:type="dxa"/>
          </w:tcPr>
          <w:p w14:paraId="77E93212" w14:textId="4842665B" w:rsidR="00B47727" w:rsidRPr="00864EE2" w:rsidRDefault="00B47727" w:rsidP="00B47727">
            <w:pPr>
              <w:jc w:val="cente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10% έως 15% εκτίμηση </w:t>
            </w:r>
          </w:p>
        </w:tc>
      </w:tr>
      <w:tr w:rsidR="00B47727" w:rsidRPr="00864EE2" w14:paraId="0D9772D8" w14:textId="77777777" w:rsidTr="00B47727">
        <w:trPr>
          <w:jc w:val="center"/>
        </w:trPr>
        <w:tc>
          <w:tcPr>
            <w:tcW w:w="1628" w:type="dxa"/>
          </w:tcPr>
          <w:p w14:paraId="0AA2FD9A" w14:textId="77777777" w:rsidR="00B47727" w:rsidRPr="00864EE2" w:rsidRDefault="00B47727" w:rsidP="00B47727">
            <w:pPr>
              <w:rPr>
                <w:rFonts w:ascii="Arial Narrow" w:hAnsi="Arial Narrow"/>
                <w:b/>
                <w:color w:val="4F81BD" w:themeColor="accent1"/>
                <w:sz w:val="24"/>
                <w:szCs w:val="24"/>
              </w:rPr>
            </w:pPr>
          </w:p>
          <w:p w14:paraId="0722C18E" w14:textId="55D294CA" w:rsidR="00B47727" w:rsidRPr="00864EE2" w:rsidRDefault="00B47727" w:rsidP="00B4772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Εξαγωγές </w:t>
            </w:r>
          </w:p>
        </w:tc>
        <w:tc>
          <w:tcPr>
            <w:tcW w:w="1628" w:type="dxa"/>
          </w:tcPr>
          <w:p w14:paraId="5B682360" w14:textId="2D89BFA3" w:rsidR="00B47727" w:rsidRPr="00864EE2" w:rsidRDefault="00B47727" w:rsidP="00B47727">
            <w:pPr>
              <w:jc w:val="center"/>
              <w:rPr>
                <w:rFonts w:ascii="Arial Narrow" w:hAnsi="Arial Narrow"/>
                <w:b/>
                <w:color w:val="4F81BD" w:themeColor="accent1"/>
                <w:sz w:val="24"/>
                <w:szCs w:val="24"/>
              </w:rPr>
            </w:pPr>
            <w:r w:rsidRPr="00864EE2">
              <w:rPr>
                <w:rFonts w:ascii="Arial Narrow" w:hAnsi="Arial Narrow"/>
                <w:b/>
                <w:color w:val="4F81BD" w:themeColor="accent1"/>
                <w:sz w:val="24"/>
                <w:szCs w:val="24"/>
              </w:rPr>
              <w:t>Ισχυρή ανάπτυξη</w:t>
            </w:r>
          </w:p>
        </w:tc>
        <w:tc>
          <w:tcPr>
            <w:tcW w:w="1628" w:type="dxa"/>
          </w:tcPr>
          <w:p w14:paraId="4521FBF5" w14:textId="08B0D65F" w:rsidR="00B47727" w:rsidRPr="00864EE2" w:rsidRDefault="00B47727" w:rsidP="00B47727">
            <w:pPr>
              <w:jc w:val="center"/>
              <w:rPr>
                <w:rFonts w:ascii="Arial Narrow" w:hAnsi="Arial Narrow"/>
                <w:b/>
                <w:color w:val="4F81BD" w:themeColor="accent1"/>
                <w:sz w:val="24"/>
                <w:szCs w:val="24"/>
              </w:rPr>
            </w:pPr>
            <w:r w:rsidRPr="00864EE2">
              <w:rPr>
                <w:rFonts w:ascii="Arial Narrow" w:hAnsi="Arial Narrow"/>
                <w:b/>
                <w:color w:val="4F81BD" w:themeColor="accent1"/>
                <w:sz w:val="24"/>
                <w:szCs w:val="24"/>
              </w:rPr>
              <w:t>Ισχυρή ανάπτυξη</w:t>
            </w:r>
          </w:p>
        </w:tc>
        <w:tc>
          <w:tcPr>
            <w:tcW w:w="1629" w:type="dxa"/>
          </w:tcPr>
          <w:p w14:paraId="43CBB6ED" w14:textId="5CB98FE8" w:rsidR="00B47727" w:rsidRPr="00864EE2" w:rsidRDefault="00B47727" w:rsidP="00B47727">
            <w:pPr>
              <w:jc w:val="cente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Συνεχιζόμενη άνοδος </w:t>
            </w:r>
          </w:p>
        </w:tc>
      </w:tr>
      <w:tr w:rsidR="00B47727" w:rsidRPr="00864EE2" w14:paraId="080F7770" w14:textId="77777777" w:rsidTr="00B47727">
        <w:trPr>
          <w:jc w:val="center"/>
        </w:trPr>
        <w:tc>
          <w:tcPr>
            <w:tcW w:w="1628" w:type="dxa"/>
          </w:tcPr>
          <w:p w14:paraId="650BF9D9" w14:textId="3982F049" w:rsidR="00B47727" w:rsidRPr="00864EE2" w:rsidRDefault="00B47727" w:rsidP="00B4772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Εισαγωγές </w:t>
            </w:r>
          </w:p>
        </w:tc>
        <w:tc>
          <w:tcPr>
            <w:tcW w:w="1628" w:type="dxa"/>
          </w:tcPr>
          <w:p w14:paraId="177CF145" w14:textId="31B2FC05" w:rsidR="00B47727" w:rsidRPr="00864EE2" w:rsidRDefault="00B47727" w:rsidP="00B47727">
            <w:pPr>
              <w:jc w:val="center"/>
              <w:rPr>
                <w:rFonts w:ascii="Arial Narrow" w:hAnsi="Arial Narrow"/>
                <w:b/>
                <w:color w:val="4F81BD" w:themeColor="accent1"/>
                <w:sz w:val="24"/>
                <w:szCs w:val="24"/>
              </w:rPr>
            </w:pPr>
            <w:r w:rsidRPr="00864EE2">
              <w:rPr>
                <w:rFonts w:ascii="Arial Narrow" w:hAnsi="Arial Narrow"/>
                <w:b/>
                <w:color w:val="4F81BD" w:themeColor="accent1"/>
                <w:sz w:val="24"/>
                <w:szCs w:val="24"/>
              </w:rPr>
              <w:t>Ισχυρή ανάπτυξη</w:t>
            </w:r>
          </w:p>
        </w:tc>
        <w:tc>
          <w:tcPr>
            <w:tcW w:w="1628" w:type="dxa"/>
          </w:tcPr>
          <w:p w14:paraId="2F40AC13" w14:textId="23B01ADB" w:rsidR="00B47727" w:rsidRPr="00864EE2" w:rsidRDefault="00B47727" w:rsidP="00B47727">
            <w:pPr>
              <w:jc w:val="center"/>
              <w:rPr>
                <w:rFonts w:ascii="Arial Narrow" w:hAnsi="Arial Narrow"/>
                <w:b/>
                <w:color w:val="4F81BD" w:themeColor="accent1"/>
                <w:sz w:val="24"/>
                <w:szCs w:val="24"/>
              </w:rPr>
            </w:pPr>
            <w:r w:rsidRPr="00864EE2">
              <w:rPr>
                <w:rFonts w:ascii="Arial Narrow" w:hAnsi="Arial Narrow"/>
                <w:b/>
                <w:color w:val="4F81BD" w:themeColor="accent1"/>
                <w:sz w:val="24"/>
                <w:szCs w:val="24"/>
              </w:rPr>
              <w:t>Ισχυρή ανάπτυξη</w:t>
            </w:r>
          </w:p>
        </w:tc>
        <w:tc>
          <w:tcPr>
            <w:tcW w:w="1629" w:type="dxa"/>
          </w:tcPr>
          <w:p w14:paraId="5F161DBB" w14:textId="77692593" w:rsidR="00B47727" w:rsidRPr="00864EE2" w:rsidRDefault="00B47727" w:rsidP="00B47727">
            <w:pPr>
              <w:jc w:val="cente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Σταθερή αύξηση </w:t>
            </w:r>
          </w:p>
        </w:tc>
      </w:tr>
      <w:tr w:rsidR="00B47727" w:rsidRPr="00864EE2" w14:paraId="51823E38" w14:textId="77777777" w:rsidTr="00B47727">
        <w:trPr>
          <w:jc w:val="center"/>
        </w:trPr>
        <w:tc>
          <w:tcPr>
            <w:tcW w:w="1628" w:type="dxa"/>
          </w:tcPr>
          <w:p w14:paraId="4AD86201" w14:textId="77777777" w:rsidR="00B47727" w:rsidRPr="00864EE2" w:rsidRDefault="00B47727" w:rsidP="00B47727">
            <w:pPr>
              <w:jc w:val="center"/>
              <w:rPr>
                <w:rFonts w:ascii="Arial Narrow" w:hAnsi="Arial Narrow"/>
                <w:b/>
                <w:color w:val="4F81BD" w:themeColor="accent1"/>
                <w:sz w:val="24"/>
                <w:szCs w:val="24"/>
              </w:rPr>
            </w:pPr>
          </w:p>
          <w:p w14:paraId="5465B0CB" w14:textId="1434DB93" w:rsidR="00B47727" w:rsidRPr="00864EE2" w:rsidRDefault="00B47727" w:rsidP="00B47727">
            <w:pPr>
              <w:jc w:val="cente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Ισοζύγιο </w:t>
            </w:r>
          </w:p>
        </w:tc>
        <w:tc>
          <w:tcPr>
            <w:tcW w:w="1628" w:type="dxa"/>
          </w:tcPr>
          <w:p w14:paraId="56BFB94E" w14:textId="77777777" w:rsidR="00B47727" w:rsidRPr="00864EE2" w:rsidRDefault="00B47727" w:rsidP="00B47727">
            <w:pPr>
              <w:jc w:val="center"/>
              <w:rPr>
                <w:rFonts w:ascii="Arial Narrow" w:hAnsi="Arial Narrow"/>
                <w:b/>
                <w:color w:val="4F81BD" w:themeColor="accent1"/>
                <w:sz w:val="24"/>
                <w:szCs w:val="24"/>
              </w:rPr>
            </w:pPr>
          </w:p>
          <w:p w14:paraId="5C3C42EC" w14:textId="11A3DF71" w:rsidR="00B47727" w:rsidRPr="00864EE2" w:rsidRDefault="00B47727" w:rsidP="00B47727">
            <w:pPr>
              <w:jc w:val="cente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Πλεόνασμα </w:t>
            </w:r>
          </w:p>
        </w:tc>
        <w:tc>
          <w:tcPr>
            <w:tcW w:w="1628" w:type="dxa"/>
          </w:tcPr>
          <w:p w14:paraId="0EE03626" w14:textId="313434AD" w:rsidR="00B47727" w:rsidRPr="00864EE2" w:rsidRDefault="00B47727" w:rsidP="00B47727">
            <w:pPr>
              <w:jc w:val="center"/>
              <w:rPr>
                <w:rFonts w:ascii="Arial Narrow" w:hAnsi="Arial Narrow"/>
                <w:b/>
                <w:color w:val="4F81BD" w:themeColor="accent1"/>
                <w:sz w:val="24"/>
                <w:szCs w:val="24"/>
              </w:rPr>
            </w:pPr>
            <w:r w:rsidRPr="00864EE2">
              <w:rPr>
                <w:rFonts w:ascii="Arial Narrow" w:hAnsi="Arial Narrow"/>
                <w:b/>
                <w:color w:val="4F81BD" w:themeColor="accent1"/>
                <w:sz w:val="24"/>
                <w:szCs w:val="24"/>
              </w:rPr>
              <w:t>Αυξημένο πλεόνασμα</w:t>
            </w:r>
          </w:p>
        </w:tc>
        <w:tc>
          <w:tcPr>
            <w:tcW w:w="1629" w:type="dxa"/>
          </w:tcPr>
          <w:p w14:paraId="2F83D052" w14:textId="77777777" w:rsidR="00B47727" w:rsidRPr="00864EE2" w:rsidRDefault="00B47727" w:rsidP="00B47727">
            <w:pPr>
              <w:jc w:val="center"/>
              <w:rPr>
                <w:rFonts w:ascii="Arial Narrow" w:hAnsi="Arial Narrow"/>
                <w:b/>
                <w:color w:val="4F81BD" w:themeColor="accent1"/>
                <w:sz w:val="24"/>
                <w:szCs w:val="24"/>
              </w:rPr>
            </w:pPr>
          </w:p>
          <w:p w14:paraId="4A89FE2F" w14:textId="20F27CA1" w:rsidR="00B47727" w:rsidRPr="00864EE2" w:rsidRDefault="00B47727" w:rsidP="00B47727">
            <w:pPr>
              <w:jc w:val="center"/>
              <w:rPr>
                <w:rFonts w:ascii="Arial Narrow" w:hAnsi="Arial Narrow"/>
                <w:b/>
                <w:color w:val="4F81BD" w:themeColor="accent1"/>
                <w:sz w:val="24"/>
                <w:szCs w:val="24"/>
              </w:rPr>
            </w:pPr>
            <w:r w:rsidRPr="00864EE2">
              <w:rPr>
                <w:rFonts w:ascii="Arial Narrow" w:hAnsi="Arial Narrow"/>
                <w:b/>
                <w:color w:val="4F81BD" w:themeColor="accent1"/>
                <w:sz w:val="24"/>
                <w:szCs w:val="24"/>
              </w:rPr>
              <w:t>Σταθερά θετικό</w:t>
            </w:r>
          </w:p>
        </w:tc>
      </w:tr>
    </w:tbl>
    <w:p w14:paraId="25C61BC9" w14:textId="3E1DE669" w:rsidR="006636AF" w:rsidRDefault="006636AF" w:rsidP="00A32A31">
      <w:pPr>
        <w:jc w:val="both"/>
        <w:rPr>
          <w:rFonts w:ascii="Arial Narrow" w:hAnsi="Arial Narrow"/>
          <w:sz w:val="24"/>
          <w:szCs w:val="24"/>
        </w:rPr>
      </w:pPr>
      <w:r w:rsidRPr="00A32A31">
        <w:rPr>
          <w:rFonts w:ascii="Arial Narrow" w:hAnsi="Arial Narrow"/>
          <w:sz w:val="24"/>
          <w:szCs w:val="24"/>
        </w:rPr>
        <w:t>Σημαντικές παρατηρήσεις</w:t>
      </w:r>
      <w:r w:rsidR="00A32A31" w:rsidRPr="00A32A31">
        <w:rPr>
          <w:rFonts w:ascii="Arial Narrow" w:hAnsi="Arial Narrow"/>
          <w:sz w:val="24"/>
          <w:szCs w:val="24"/>
        </w:rPr>
        <w:t>: το 2025 δεν υπάρχουν</w:t>
      </w:r>
      <w:r w:rsidR="00A32A31">
        <w:rPr>
          <w:rFonts w:ascii="Arial Narrow" w:hAnsi="Arial Narrow"/>
          <w:sz w:val="24"/>
          <w:szCs w:val="24"/>
        </w:rPr>
        <w:t xml:space="preserve"> ακόμη πλήρη εθνικά στοιχεία διαθέσιμα είναι μόνο τμηματικά δεδομένα (π.χ. Αμπου – Ντάμπι +34,7% στο </w:t>
      </w:r>
      <w:r w:rsidR="00A32A31">
        <w:rPr>
          <w:rFonts w:ascii="Arial Narrow" w:hAnsi="Arial Narrow"/>
          <w:sz w:val="24"/>
          <w:szCs w:val="24"/>
          <w:lang w:val="en-US"/>
        </w:rPr>
        <w:t>H</w:t>
      </w:r>
      <w:r w:rsidR="00A32A31" w:rsidRPr="00A32A31">
        <w:rPr>
          <w:rFonts w:ascii="Arial Narrow" w:hAnsi="Arial Narrow"/>
          <w:sz w:val="24"/>
          <w:szCs w:val="24"/>
        </w:rPr>
        <w:t xml:space="preserve">1 2025) </w:t>
      </w:r>
      <w:r w:rsidR="00D01D8C">
        <w:rPr>
          <w:rFonts w:ascii="Arial Narrow" w:hAnsi="Arial Narrow"/>
          <w:sz w:val="24"/>
          <w:szCs w:val="24"/>
        </w:rPr>
        <w:t>που δείχνουν επιτάχυνση της ανάπτυξης.</w:t>
      </w:r>
    </w:p>
    <w:p w14:paraId="1C1D0DF5" w14:textId="651C014C" w:rsidR="00D01D8C" w:rsidRDefault="00D01D8C" w:rsidP="00D01D8C">
      <w:pPr>
        <w:jc w:val="center"/>
        <w:rPr>
          <w:rFonts w:ascii="Arial Narrow" w:hAnsi="Arial Narrow"/>
          <w:b/>
          <w:color w:val="1F497D" w:themeColor="text2"/>
          <w:sz w:val="28"/>
          <w:szCs w:val="28"/>
        </w:rPr>
      </w:pPr>
      <w:r w:rsidRPr="00D01D8C">
        <w:rPr>
          <w:rFonts w:ascii="Arial Narrow" w:hAnsi="Arial Narrow"/>
          <w:b/>
          <w:color w:val="1F497D" w:themeColor="text2"/>
          <w:sz w:val="28"/>
          <w:szCs w:val="28"/>
        </w:rPr>
        <w:t>ΚΥΡΙΑ ΣΥΜΠΕΡΑΣΜΑΤΑ (2023-2025)</w:t>
      </w:r>
    </w:p>
    <w:p w14:paraId="0A36EBB4" w14:textId="25F19804" w:rsidR="00EB0EA3" w:rsidRDefault="00D01D8C" w:rsidP="00D01D8C">
      <w:pPr>
        <w:jc w:val="both"/>
        <w:rPr>
          <w:rFonts w:ascii="Arial Narrow" w:hAnsi="Arial Narrow"/>
          <w:b/>
          <w:color w:val="1F497D" w:themeColor="text2"/>
          <w:sz w:val="24"/>
          <w:szCs w:val="24"/>
        </w:rPr>
      </w:pPr>
      <w:r>
        <w:rPr>
          <w:rFonts w:ascii="Arial Narrow" w:hAnsi="Arial Narrow"/>
          <w:b/>
          <w:color w:val="1F497D" w:themeColor="text2"/>
          <w:sz w:val="24"/>
          <w:szCs w:val="24"/>
        </w:rPr>
        <w:t xml:space="preserve">Ταχεία αύξηση του εμπορίου, από 3,5 τρις (2023 μη πετρελαϊκό, στα 3,7 τρις για το 2024). Συνολικό εμπόριο 5,2 τρις </w:t>
      </w:r>
      <w:r>
        <w:rPr>
          <w:rFonts w:ascii="Arial Narrow" w:hAnsi="Arial Narrow"/>
          <w:b/>
          <w:color w:val="1F497D" w:themeColor="text2"/>
          <w:sz w:val="24"/>
          <w:szCs w:val="24"/>
          <w:lang w:val="en-US"/>
        </w:rPr>
        <w:t>AED</w:t>
      </w:r>
      <w:r w:rsidRPr="00154966">
        <w:rPr>
          <w:rFonts w:ascii="Arial Narrow" w:hAnsi="Arial Narrow"/>
          <w:b/>
          <w:color w:val="1F497D" w:themeColor="text2"/>
          <w:sz w:val="24"/>
          <w:szCs w:val="24"/>
        </w:rPr>
        <w:t xml:space="preserve"> (</w:t>
      </w:r>
      <w:r w:rsidR="00EB0EA3">
        <w:rPr>
          <w:rFonts w:ascii="Arial Narrow" w:hAnsi="Arial Narrow"/>
          <w:b/>
          <w:color w:val="1F497D" w:themeColor="text2"/>
          <w:sz w:val="24"/>
          <w:szCs w:val="24"/>
        </w:rPr>
        <w:t xml:space="preserve">Ντίρχαμ) για το 2024. </w:t>
      </w:r>
    </w:p>
    <w:p w14:paraId="40619ABC" w14:textId="4E2D0D43" w:rsidR="00EB0EA3" w:rsidRDefault="00EB0EA3" w:rsidP="00D01D8C">
      <w:pPr>
        <w:jc w:val="both"/>
        <w:rPr>
          <w:rFonts w:ascii="Arial Narrow" w:hAnsi="Arial Narrow"/>
          <w:b/>
          <w:color w:val="1F497D" w:themeColor="text2"/>
          <w:sz w:val="24"/>
          <w:szCs w:val="24"/>
        </w:rPr>
      </w:pPr>
      <w:r>
        <w:rPr>
          <w:rFonts w:ascii="Arial Narrow" w:hAnsi="Arial Narrow"/>
          <w:b/>
          <w:color w:val="1F497D" w:themeColor="text2"/>
          <w:sz w:val="24"/>
          <w:szCs w:val="24"/>
        </w:rPr>
        <w:t xml:space="preserve">Σημαντικό Εμπορικό Πλεόνασμα, από 320 δις το 2023 στα 350 δις </w:t>
      </w:r>
      <w:r>
        <w:rPr>
          <w:rFonts w:ascii="Arial Narrow" w:hAnsi="Arial Narrow"/>
          <w:b/>
          <w:color w:val="1F497D" w:themeColor="text2"/>
          <w:sz w:val="24"/>
          <w:szCs w:val="24"/>
          <w:lang w:val="en-US"/>
        </w:rPr>
        <w:t>AED</w:t>
      </w:r>
      <w:r w:rsidRPr="00EB0EA3">
        <w:rPr>
          <w:rFonts w:ascii="Arial Narrow" w:hAnsi="Arial Narrow"/>
          <w:b/>
          <w:color w:val="1F497D" w:themeColor="text2"/>
          <w:sz w:val="24"/>
          <w:szCs w:val="24"/>
        </w:rPr>
        <w:t xml:space="preserve"> (</w:t>
      </w:r>
      <w:r w:rsidR="007C0F25">
        <w:rPr>
          <w:rFonts w:ascii="Arial Narrow" w:hAnsi="Arial Narrow"/>
          <w:b/>
          <w:color w:val="1F497D" w:themeColor="text2"/>
          <w:sz w:val="24"/>
          <w:szCs w:val="24"/>
        </w:rPr>
        <w:t>Ντίρχαμ) για το 2024.</w:t>
      </w:r>
    </w:p>
    <w:p w14:paraId="0FF5B228" w14:textId="61E72E9E" w:rsidR="007C0F25" w:rsidRDefault="007C0F25" w:rsidP="00D01D8C">
      <w:pPr>
        <w:jc w:val="both"/>
        <w:rPr>
          <w:rFonts w:ascii="Arial Narrow" w:hAnsi="Arial Narrow"/>
          <w:b/>
          <w:color w:val="1F497D" w:themeColor="text2"/>
          <w:sz w:val="24"/>
          <w:szCs w:val="24"/>
        </w:rPr>
      </w:pPr>
      <w:r>
        <w:rPr>
          <w:rFonts w:ascii="Arial Narrow" w:hAnsi="Arial Narrow"/>
          <w:b/>
          <w:color w:val="1F497D" w:themeColor="text2"/>
          <w:sz w:val="24"/>
          <w:szCs w:val="24"/>
        </w:rPr>
        <w:t xml:space="preserve">Μετασχηματισμός Δομής με σταδιακή μείωση εξάρτησης από το πετρέλαιο, άνοδο του χρυσού, αλουμινίου, επανεξαγωγών και </w:t>
      </w:r>
      <w:r>
        <w:rPr>
          <w:rFonts w:ascii="Arial Narrow" w:hAnsi="Arial Narrow"/>
          <w:b/>
          <w:color w:val="1F497D" w:themeColor="text2"/>
          <w:sz w:val="24"/>
          <w:szCs w:val="24"/>
          <w:lang w:val="en-US"/>
        </w:rPr>
        <w:t>logistics</w:t>
      </w:r>
      <w:r w:rsidRPr="007C0F25">
        <w:rPr>
          <w:rFonts w:ascii="Arial Narrow" w:hAnsi="Arial Narrow"/>
          <w:b/>
          <w:color w:val="1F497D" w:themeColor="text2"/>
          <w:sz w:val="24"/>
          <w:szCs w:val="24"/>
        </w:rPr>
        <w:t xml:space="preserve">. </w:t>
      </w:r>
      <w:r w:rsidR="00376329">
        <w:rPr>
          <w:rFonts w:ascii="Arial Narrow" w:hAnsi="Arial Narrow"/>
          <w:b/>
          <w:color w:val="1F497D" w:themeColor="text2"/>
          <w:sz w:val="24"/>
          <w:szCs w:val="24"/>
        </w:rPr>
        <w:t xml:space="preserve">Για το 2025 η τάση που επικρατούσε ήταν η επιτάχυνση της ανάπτυξης (ιδίως μη πετρελαϊκό εμπόριο) και υψηλή δυναμική λόγω εμπορικών συμφωνιών και </w:t>
      </w:r>
      <w:r w:rsidR="00376329">
        <w:rPr>
          <w:rFonts w:ascii="Arial Narrow" w:hAnsi="Arial Narrow"/>
          <w:b/>
          <w:color w:val="1F497D" w:themeColor="text2"/>
          <w:sz w:val="24"/>
          <w:szCs w:val="24"/>
          <w:lang w:val="en-US"/>
        </w:rPr>
        <w:t>logistics</w:t>
      </w:r>
      <w:r w:rsidR="00376329" w:rsidRPr="00376329">
        <w:rPr>
          <w:rFonts w:ascii="Arial Narrow" w:hAnsi="Arial Narrow"/>
          <w:b/>
          <w:color w:val="1F497D" w:themeColor="text2"/>
          <w:sz w:val="24"/>
          <w:szCs w:val="24"/>
        </w:rPr>
        <w:t xml:space="preserve"> </w:t>
      </w:r>
      <w:r w:rsidR="00376329">
        <w:rPr>
          <w:rFonts w:ascii="Arial Narrow" w:hAnsi="Arial Narrow"/>
          <w:b/>
          <w:color w:val="1F497D" w:themeColor="text2"/>
          <w:sz w:val="24"/>
          <w:szCs w:val="24"/>
          <w:lang w:val="en-US"/>
        </w:rPr>
        <w:t>hubs</w:t>
      </w:r>
      <w:r w:rsidR="00376329" w:rsidRPr="00376329">
        <w:rPr>
          <w:rFonts w:ascii="Arial Narrow" w:hAnsi="Arial Narrow"/>
          <w:b/>
          <w:color w:val="1F497D" w:themeColor="text2"/>
          <w:sz w:val="24"/>
          <w:szCs w:val="24"/>
        </w:rPr>
        <w:t>.</w:t>
      </w:r>
    </w:p>
    <w:p w14:paraId="7CF4428E" w14:textId="4CEAF167" w:rsidR="00180B87" w:rsidRPr="00864EE2" w:rsidRDefault="00864EE2" w:rsidP="00180B87">
      <w:pPr>
        <w:jc w:val="center"/>
        <w:rPr>
          <w:rFonts w:ascii="Arial Narrow" w:hAnsi="Arial Narrow"/>
          <w:b/>
          <w:color w:val="4F81BD" w:themeColor="accent1"/>
          <w:sz w:val="28"/>
          <w:szCs w:val="28"/>
        </w:rPr>
      </w:pPr>
      <w:r>
        <w:rPr>
          <w:rFonts w:ascii="Arial Narrow" w:hAnsi="Arial Narrow"/>
          <w:b/>
          <w:color w:val="4F81BD" w:themeColor="accent1"/>
          <w:sz w:val="28"/>
          <w:szCs w:val="28"/>
        </w:rPr>
        <w:t xml:space="preserve">ΠΙΝΑΚΑΣ </w:t>
      </w:r>
      <w:r w:rsidR="00451B2E">
        <w:rPr>
          <w:rFonts w:ascii="Arial Narrow" w:hAnsi="Arial Narrow"/>
          <w:b/>
          <w:color w:val="4F81BD" w:themeColor="accent1"/>
          <w:sz w:val="28"/>
          <w:szCs w:val="28"/>
        </w:rPr>
        <w:t xml:space="preserve">15 </w:t>
      </w:r>
      <w:r w:rsidR="00026058" w:rsidRPr="00026058">
        <w:rPr>
          <w:rFonts w:ascii="Arial Narrow" w:hAnsi="Arial Narrow"/>
          <w:b/>
          <w:color w:val="4F81BD" w:themeColor="accent1"/>
          <w:sz w:val="28"/>
          <w:szCs w:val="28"/>
        </w:rPr>
        <w:t xml:space="preserve"> </w:t>
      </w:r>
      <w:r>
        <w:rPr>
          <w:rFonts w:ascii="Arial Narrow" w:hAnsi="Arial Narrow"/>
          <w:b/>
          <w:color w:val="4F81BD" w:themeColor="accent1"/>
          <w:sz w:val="28"/>
          <w:szCs w:val="28"/>
        </w:rPr>
        <w:t xml:space="preserve">- </w:t>
      </w:r>
      <w:r w:rsidR="00180B87" w:rsidRPr="00864EE2">
        <w:rPr>
          <w:rFonts w:ascii="Arial Narrow" w:hAnsi="Arial Narrow"/>
          <w:b/>
          <w:color w:val="4F81BD" w:themeColor="accent1"/>
          <w:sz w:val="28"/>
          <w:szCs w:val="28"/>
        </w:rPr>
        <w:t>ΔΟΜΗ ΕΜΠΟΡΙΟΥ ΗΑΕ ΑΝΑ ΧΩΡΑ (ΕΝΔΕΙΚΤΙΚΗ ΚΑΤΑΝΟΜΗ 2023-2025)</w:t>
      </w:r>
    </w:p>
    <w:tbl>
      <w:tblPr>
        <w:tblStyle w:val="TableGrid"/>
        <w:tblW w:w="0" w:type="auto"/>
        <w:tblLook w:val="04A0" w:firstRow="1" w:lastRow="0" w:firstColumn="1" w:lastColumn="0" w:noHBand="0" w:noVBand="1"/>
      </w:tblPr>
      <w:tblGrid>
        <w:gridCol w:w="2442"/>
        <w:gridCol w:w="2443"/>
        <w:gridCol w:w="2443"/>
        <w:gridCol w:w="2443"/>
      </w:tblGrid>
      <w:tr w:rsidR="00180B87" w:rsidRPr="00864EE2" w14:paraId="7CA018E5" w14:textId="77777777" w:rsidTr="00180B87">
        <w:tc>
          <w:tcPr>
            <w:tcW w:w="2442" w:type="dxa"/>
          </w:tcPr>
          <w:p w14:paraId="143A5180" w14:textId="3624C7F9" w:rsidR="00180B87" w:rsidRPr="00864EE2" w:rsidRDefault="00180B87"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Χώρα</w:t>
            </w:r>
          </w:p>
        </w:tc>
        <w:tc>
          <w:tcPr>
            <w:tcW w:w="2443" w:type="dxa"/>
          </w:tcPr>
          <w:p w14:paraId="1C5549F5" w14:textId="5BC012F6" w:rsidR="00180B87" w:rsidRPr="00864EE2" w:rsidRDefault="00180B87"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Εισαγωγές προς ΗΑΕ</w:t>
            </w:r>
          </w:p>
        </w:tc>
        <w:tc>
          <w:tcPr>
            <w:tcW w:w="2443" w:type="dxa"/>
          </w:tcPr>
          <w:p w14:paraId="0F030729" w14:textId="1E038CE1" w:rsidR="00180B87" w:rsidRPr="00864EE2" w:rsidRDefault="00180B87"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Εξαγωγές ΗΑΕ προς </w:t>
            </w:r>
          </w:p>
        </w:tc>
        <w:tc>
          <w:tcPr>
            <w:tcW w:w="2443" w:type="dxa"/>
          </w:tcPr>
          <w:p w14:paraId="02366A7E" w14:textId="4EC5B9BB" w:rsidR="00180B87" w:rsidRPr="00864EE2" w:rsidRDefault="00180B87"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Ρόλος στο Εμπόριο </w:t>
            </w:r>
          </w:p>
        </w:tc>
      </w:tr>
      <w:tr w:rsidR="00180B87" w:rsidRPr="00864EE2" w14:paraId="0CC47965" w14:textId="77777777" w:rsidTr="00180B87">
        <w:tc>
          <w:tcPr>
            <w:tcW w:w="2442" w:type="dxa"/>
          </w:tcPr>
          <w:p w14:paraId="6B75B6DD" w14:textId="77777777" w:rsidR="00180B87" w:rsidRPr="00864EE2" w:rsidRDefault="00180B87" w:rsidP="00180B87">
            <w:pPr>
              <w:rPr>
                <w:rFonts w:ascii="Arial Narrow" w:hAnsi="Arial Narrow"/>
                <w:b/>
                <w:color w:val="4F81BD" w:themeColor="accent1"/>
                <w:sz w:val="24"/>
                <w:szCs w:val="24"/>
              </w:rPr>
            </w:pPr>
          </w:p>
          <w:p w14:paraId="24E80115" w14:textId="64960CCB" w:rsidR="00180B87" w:rsidRPr="00864EE2" w:rsidRDefault="00180B87"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Κίνα </w:t>
            </w:r>
          </w:p>
        </w:tc>
        <w:tc>
          <w:tcPr>
            <w:tcW w:w="2443" w:type="dxa"/>
          </w:tcPr>
          <w:p w14:paraId="6ACD6484" w14:textId="77777777" w:rsidR="00180B87" w:rsidRPr="00864EE2" w:rsidRDefault="00180B87" w:rsidP="00180B87">
            <w:pPr>
              <w:rPr>
                <w:rFonts w:ascii="Arial Narrow" w:hAnsi="Arial Narrow"/>
                <w:b/>
                <w:color w:val="4F81BD" w:themeColor="accent1"/>
                <w:sz w:val="24"/>
                <w:szCs w:val="24"/>
              </w:rPr>
            </w:pPr>
          </w:p>
          <w:p w14:paraId="737E3ECB" w14:textId="283094E9" w:rsidR="00180B87" w:rsidRPr="00864EE2" w:rsidRDefault="00180B87"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Πολύ υψηλές </w:t>
            </w:r>
          </w:p>
        </w:tc>
        <w:tc>
          <w:tcPr>
            <w:tcW w:w="2443" w:type="dxa"/>
          </w:tcPr>
          <w:p w14:paraId="4D3BEC7A" w14:textId="3B210194" w:rsidR="00180B87" w:rsidRPr="00864EE2" w:rsidRDefault="00180B87"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Μεσαίες – Υψηλές (</w:t>
            </w:r>
            <w:r w:rsidRPr="00864EE2">
              <w:rPr>
                <w:rFonts w:ascii="Arial Narrow" w:hAnsi="Arial Narrow"/>
                <w:b/>
                <w:color w:val="4F81BD" w:themeColor="accent1"/>
                <w:sz w:val="24"/>
                <w:szCs w:val="24"/>
                <w:lang w:val="en-US"/>
              </w:rPr>
              <w:t>re</w:t>
            </w:r>
            <w:r w:rsidRPr="00864EE2">
              <w:rPr>
                <w:rFonts w:ascii="Arial Narrow" w:hAnsi="Arial Narrow"/>
                <w:b/>
                <w:color w:val="4F81BD" w:themeColor="accent1"/>
                <w:sz w:val="24"/>
                <w:szCs w:val="24"/>
              </w:rPr>
              <w:t>-</w:t>
            </w:r>
            <w:r w:rsidRPr="00864EE2">
              <w:rPr>
                <w:rFonts w:ascii="Arial Narrow" w:hAnsi="Arial Narrow"/>
                <w:b/>
                <w:color w:val="4F81BD" w:themeColor="accent1"/>
                <w:sz w:val="24"/>
                <w:szCs w:val="24"/>
                <w:lang w:val="en-US"/>
              </w:rPr>
              <w:t>exports</w:t>
            </w:r>
            <w:r w:rsidRPr="00864EE2">
              <w:rPr>
                <w:rFonts w:ascii="Arial Narrow" w:hAnsi="Arial Narrow"/>
                <w:b/>
                <w:color w:val="4F81BD" w:themeColor="accent1"/>
                <w:sz w:val="24"/>
                <w:szCs w:val="24"/>
              </w:rPr>
              <w:t xml:space="preserve"> κυρίως)</w:t>
            </w:r>
          </w:p>
        </w:tc>
        <w:tc>
          <w:tcPr>
            <w:tcW w:w="2443" w:type="dxa"/>
          </w:tcPr>
          <w:p w14:paraId="36BA67E5" w14:textId="77777777" w:rsidR="00180B87" w:rsidRPr="00864EE2" w:rsidRDefault="00180B87" w:rsidP="00180B87">
            <w:pPr>
              <w:rPr>
                <w:rFonts w:ascii="Arial Narrow" w:hAnsi="Arial Narrow"/>
                <w:b/>
                <w:color w:val="4F81BD" w:themeColor="accent1"/>
                <w:sz w:val="24"/>
                <w:szCs w:val="24"/>
              </w:rPr>
            </w:pPr>
          </w:p>
          <w:p w14:paraId="0EEBF28B" w14:textId="1E6F8127" w:rsidR="00180B87" w:rsidRPr="00864EE2" w:rsidRDefault="00180B87"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Προμηθευτής αγαθών </w:t>
            </w:r>
          </w:p>
        </w:tc>
      </w:tr>
      <w:tr w:rsidR="00180B87" w:rsidRPr="00864EE2" w14:paraId="22B91436" w14:textId="77777777" w:rsidTr="00180B87">
        <w:tc>
          <w:tcPr>
            <w:tcW w:w="2442" w:type="dxa"/>
          </w:tcPr>
          <w:p w14:paraId="38D7B988" w14:textId="77777777" w:rsidR="00180B87" w:rsidRPr="00864EE2" w:rsidRDefault="00180B87" w:rsidP="00180B87">
            <w:pPr>
              <w:rPr>
                <w:rFonts w:ascii="Arial Narrow" w:hAnsi="Arial Narrow"/>
                <w:b/>
                <w:color w:val="4F81BD" w:themeColor="accent1"/>
                <w:sz w:val="24"/>
                <w:szCs w:val="24"/>
              </w:rPr>
            </w:pPr>
          </w:p>
          <w:p w14:paraId="6871C253" w14:textId="104EC491" w:rsidR="00180B87" w:rsidRPr="00864EE2" w:rsidRDefault="00180B87"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Ινδία </w:t>
            </w:r>
          </w:p>
        </w:tc>
        <w:tc>
          <w:tcPr>
            <w:tcW w:w="2443" w:type="dxa"/>
          </w:tcPr>
          <w:p w14:paraId="3B49910F" w14:textId="77777777" w:rsidR="00180B87" w:rsidRPr="00864EE2" w:rsidRDefault="00180B87" w:rsidP="00180B87">
            <w:pPr>
              <w:rPr>
                <w:rFonts w:ascii="Arial Narrow" w:hAnsi="Arial Narrow"/>
                <w:b/>
                <w:color w:val="4F81BD" w:themeColor="accent1"/>
                <w:sz w:val="24"/>
                <w:szCs w:val="24"/>
              </w:rPr>
            </w:pPr>
          </w:p>
          <w:p w14:paraId="6F38D18D" w14:textId="4495A0E0" w:rsidR="00180B87" w:rsidRPr="00864EE2" w:rsidRDefault="00180B87"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Υψηλές </w:t>
            </w:r>
          </w:p>
        </w:tc>
        <w:tc>
          <w:tcPr>
            <w:tcW w:w="2443" w:type="dxa"/>
          </w:tcPr>
          <w:p w14:paraId="5D453F2E" w14:textId="77777777" w:rsidR="00180B87" w:rsidRPr="00864EE2" w:rsidRDefault="00180B87" w:rsidP="00180B87">
            <w:pPr>
              <w:rPr>
                <w:rFonts w:ascii="Arial Narrow" w:hAnsi="Arial Narrow"/>
                <w:b/>
                <w:color w:val="4F81BD" w:themeColor="accent1"/>
                <w:sz w:val="24"/>
                <w:szCs w:val="24"/>
              </w:rPr>
            </w:pPr>
          </w:p>
          <w:p w14:paraId="71CC0189" w14:textId="124E349E" w:rsidR="00180B87" w:rsidRPr="00864EE2" w:rsidRDefault="00180B87"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Πολύ υψηλές </w:t>
            </w:r>
          </w:p>
        </w:tc>
        <w:tc>
          <w:tcPr>
            <w:tcW w:w="2443" w:type="dxa"/>
          </w:tcPr>
          <w:p w14:paraId="3A63D397" w14:textId="0F56DC4D" w:rsidR="00180B87" w:rsidRPr="00864EE2" w:rsidRDefault="00180B87"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Εμπορικός εταίρος + χρυσός, πετρελαιοειδή </w:t>
            </w:r>
          </w:p>
        </w:tc>
      </w:tr>
      <w:tr w:rsidR="00180B87" w:rsidRPr="00864EE2" w14:paraId="2893D3B6" w14:textId="77777777" w:rsidTr="00180B87">
        <w:tc>
          <w:tcPr>
            <w:tcW w:w="2442" w:type="dxa"/>
          </w:tcPr>
          <w:p w14:paraId="0D30D90C" w14:textId="77777777" w:rsidR="00180B87" w:rsidRPr="00864EE2" w:rsidRDefault="00180B87" w:rsidP="00180B87">
            <w:pPr>
              <w:rPr>
                <w:rFonts w:ascii="Arial Narrow" w:hAnsi="Arial Narrow"/>
                <w:b/>
                <w:color w:val="4F81BD" w:themeColor="accent1"/>
                <w:sz w:val="24"/>
                <w:szCs w:val="24"/>
              </w:rPr>
            </w:pPr>
          </w:p>
          <w:p w14:paraId="698F7F44" w14:textId="77777777" w:rsidR="00180B87" w:rsidRPr="00864EE2" w:rsidRDefault="00180B87" w:rsidP="00180B87">
            <w:pPr>
              <w:rPr>
                <w:rFonts w:ascii="Arial Narrow" w:hAnsi="Arial Narrow"/>
                <w:b/>
                <w:color w:val="4F81BD" w:themeColor="accent1"/>
                <w:sz w:val="24"/>
                <w:szCs w:val="24"/>
              </w:rPr>
            </w:pPr>
          </w:p>
          <w:p w14:paraId="3149129E" w14:textId="2603598F" w:rsidR="00180B87" w:rsidRPr="00864EE2" w:rsidRDefault="00180B87"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ΗΠΑ</w:t>
            </w:r>
          </w:p>
        </w:tc>
        <w:tc>
          <w:tcPr>
            <w:tcW w:w="2443" w:type="dxa"/>
          </w:tcPr>
          <w:p w14:paraId="3181EE2C" w14:textId="77777777" w:rsidR="00180B87" w:rsidRPr="00864EE2" w:rsidRDefault="00180B87" w:rsidP="00180B87">
            <w:pPr>
              <w:rPr>
                <w:rFonts w:ascii="Arial Narrow" w:hAnsi="Arial Narrow"/>
                <w:b/>
                <w:color w:val="4F81BD" w:themeColor="accent1"/>
                <w:sz w:val="24"/>
                <w:szCs w:val="24"/>
              </w:rPr>
            </w:pPr>
          </w:p>
          <w:p w14:paraId="2EFC1B03" w14:textId="77777777" w:rsidR="00180B87" w:rsidRPr="00864EE2" w:rsidRDefault="00180B87" w:rsidP="00180B87">
            <w:pPr>
              <w:rPr>
                <w:rFonts w:ascii="Arial Narrow" w:hAnsi="Arial Narrow"/>
                <w:b/>
                <w:color w:val="4F81BD" w:themeColor="accent1"/>
                <w:sz w:val="24"/>
                <w:szCs w:val="24"/>
              </w:rPr>
            </w:pPr>
          </w:p>
          <w:p w14:paraId="5B5BF750" w14:textId="609AD577" w:rsidR="00180B87" w:rsidRPr="00864EE2" w:rsidRDefault="00180B87"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Υψηλές </w:t>
            </w:r>
          </w:p>
        </w:tc>
        <w:tc>
          <w:tcPr>
            <w:tcW w:w="2443" w:type="dxa"/>
          </w:tcPr>
          <w:p w14:paraId="227D6BA6" w14:textId="77777777" w:rsidR="00180B87" w:rsidRPr="00864EE2" w:rsidRDefault="00180B87" w:rsidP="00180B87">
            <w:pPr>
              <w:rPr>
                <w:rFonts w:ascii="Arial Narrow" w:hAnsi="Arial Narrow"/>
                <w:b/>
                <w:color w:val="4F81BD" w:themeColor="accent1"/>
                <w:sz w:val="24"/>
                <w:szCs w:val="24"/>
              </w:rPr>
            </w:pPr>
          </w:p>
          <w:p w14:paraId="0D5D515B" w14:textId="77777777" w:rsidR="00180B87" w:rsidRPr="00864EE2" w:rsidRDefault="00180B87" w:rsidP="00180B87">
            <w:pPr>
              <w:rPr>
                <w:rFonts w:ascii="Arial Narrow" w:hAnsi="Arial Narrow"/>
                <w:b/>
                <w:color w:val="4F81BD" w:themeColor="accent1"/>
                <w:sz w:val="24"/>
                <w:szCs w:val="24"/>
              </w:rPr>
            </w:pPr>
          </w:p>
          <w:p w14:paraId="722B8F93" w14:textId="40977481" w:rsidR="00180B87" w:rsidRPr="00864EE2" w:rsidRDefault="00180B87"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Υψηλές </w:t>
            </w:r>
          </w:p>
        </w:tc>
        <w:tc>
          <w:tcPr>
            <w:tcW w:w="2443" w:type="dxa"/>
          </w:tcPr>
          <w:p w14:paraId="0C30009A" w14:textId="7E3F5263" w:rsidR="00180B87" w:rsidRPr="00864EE2" w:rsidRDefault="00180B87"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Τεχνολογία, αεροναυπηγική, υπηρεσίες </w:t>
            </w:r>
          </w:p>
        </w:tc>
      </w:tr>
      <w:tr w:rsidR="00180B87" w:rsidRPr="00864EE2" w14:paraId="4D89C0A5" w14:textId="77777777" w:rsidTr="00180B87">
        <w:tc>
          <w:tcPr>
            <w:tcW w:w="2442" w:type="dxa"/>
          </w:tcPr>
          <w:p w14:paraId="73E615AB" w14:textId="77777777" w:rsidR="00C97D8D" w:rsidRPr="00864EE2" w:rsidRDefault="00C97D8D" w:rsidP="00180B87">
            <w:pPr>
              <w:rPr>
                <w:rFonts w:ascii="Arial Narrow" w:hAnsi="Arial Narrow"/>
                <w:b/>
                <w:color w:val="4F81BD" w:themeColor="accent1"/>
                <w:sz w:val="24"/>
                <w:szCs w:val="24"/>
              </w:rPr>
            </w:pPr>
          </w:p>
          <w:p w14:paraId="4A2DB6B2" w14:textId="62F53459" w:rsidR="00180B87" w:rsidRPr="00864EE2" w:rsidRDefault="00180B87"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Σαουδική Αραβία </w:t>
            </w:r>
          </w:p>
        </w:tc>
        <w:tc>
          <w:tcPr>
            <w:tcW w:w="2443" w:type="dxa"/>
          </w:tcPr>
          <w:p w14:paraId="51E540D6" w14:textId="77777777" w:rsidR="00C97D8D" w:rsidRPr="00864EE2" w:rsidRDefault="00C97D8D" w:rsidP="00180B87">
            <w:pPr>
              <w:rPr>
                <w:rFonts w:ascii="Arial Narrow" w:hAnsi="Arial Narrow"/>
                <w:b/>
                <w:color w:val="4F81BD" w:themeColor="accent1"/>
                <w:sz w:val="24"/>
                <w:szCs w:val="24"/>
              </w:rPr>
            </w:pPr>
          </w:p>
          <w:p w14:paraId="56C6B2BD" w14:textId="0C2A6805" w:rsidR="00180B87" w:rsidRPr="00864EE2" w:rsidRDefault="00180B87"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Μεσαίες </w:t>
            </w:r>
          </w:p>
        </w:tc>
        <w:tc>
          <w:tcPr>
            <w:tcW w:w="2443" w:type="dxa"/>
          </w:tcPr>
          <w:p w14:paraId="71EF80BB" w14:textId="77777777" w:rsidR="00C97D8D" w:rsidRPr="00864EE2" w:rsidRDefault="00C97D8D" w:rsidP="00180B87">
            <w:pPr>
              <w:rPr>
                <w:rFonts w:ascii="Arial Narrow" w:hAnsi="Arial Narrow"/>
                <w:b/>
                <w:color w:val="4F81BD" w:themeColor="accent1"/>
                <w:sz w:val="24"/>
                <w:szCs w:val="24"/>
              </w:rPr>
            </w:pPr>
          </w:p>
          <w:p w14:paraId="1FC3E1F7" w14:textId="0041A8A5" w:rsidR="00180B87" w:rsidRPr="00864EE2" w:rsidRDefault="00C97D8D"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Υψηλές </w:t>
            </w:r>
          </w:p>
        </w:tc>
        <w:tc>
          <w:tcPr>
            <w:tcW w:w="2443" w:type="dxa"/>
          </w:tcPr>
          <w:p w14:paraId="38C08A63" w14:textId="61D695E7" w:rsidR="00180B87" w:rsidRPr="00864EE2" w:rsidRDefault="00C97D8D" w:rsidP="00180B87">
            <w:pPr>
              <w:rPr>
                <w:rFonts w:ascii="Arial Narrow" w:hAnsi="Arial Narrow"/>
                <w:b/>
                <w:color w:val="4F81BD" w:themeColor="accent1"/>
                <w:sz w:val="24"/>
                <w:szCs w:val="24"/>
                <w:lang w:val="en-US"/>
              </w:rPr>
            </w:pPr>
            <w:r w:rsidRPr="00864EE2">
              <w:rPr>
                <w:rFonts w:ascii="Arial Narrow" w:hAnsi="Arial Narrow"/>
                <w:b/>
                <w:color w:val="4F81BD" w:themeColor="accent1"/>
                <w:sz w:val="24"/>
                <w:szCs w:val="24"/>
              </w:rPr>
              <w:t xml:space="preserve">Περιφερειακό εμπόριο </w:t>
            </w:r>
            <w:r w:rsidRPr="00864EE2">
              <w:rPr>
                <w:rFonts w:ascii="Arial Narrow" w:hAnsi="Arial Narrow"/>
                <w:b/>
                <w:color w:val="4F81BD" w:themeColor="accent1"/>
                <w:sz w:val="24"/>
                <w:szCs w:val="24"/>
                <w:lang w:val="en-US"/>
              </w:rPr>
              <w:t>GCC</w:t>
            </w:r>
          </w:p>
        </w:tc>
      </w:tr>
      <w:tr w:rsidR="00180B87" w:rsidRPr="00864EE2" w14:paraId="00909F25" w14:textId="77777777" w:rsidTr="00180B87">
        <w:tc>
          <w:tcPr>
            <w:tcW w:w="2442" w:type="dxa"/>
          </w:tcPr>
          <w:p w14:paraId="013D5E2A" w14:textId="77777777" w:rsidR="00C97D8D" w:rsidRPr="00864EE2" w:rsidRDefault="00C97D8D" w:rsidP="00180B87">
            <w:pPr>
              <w:rPr>
                <w:rFonts w:ascii="Arial Narrow" w:hAnsi="Arial Narrow"/>
                <w:b/>
                <w:color w:val="4F81BD" w:themeColor="accent1"/>
                <w:sz w:val="24"/>
                <w:szCs w:val="24"/>
              </w:rPr>
            </w:pPr>
          </w:p>
          <w:p w14:paraId="38B05B20" w14:textId="1ED58ADF" w:rsidR="00180B87" w:rsidRPr="00864EE2" w:rsidRDefault="00C97D8D"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Γερμανία </w:t>
            </w:r>
          </w:p>
        </w:tc>
        <w:tc>
          <w:tcPr>
            <w:tcW w:w="2443" w:type="dxa"/>
          </w:tcPr>
          <w:p w14:paraId="2AB744B9" w14:textId="77777777" w:rsidR="00C97D8D" w:rsidRPr="00864EE2" w:rsidRDefault="00C97D8D" w:rsidP="00180B87">
            <w:pPr>
              <w:rPr>
                <w:rFonts w:ascii="Arial Narrow" w:hAnsi="Arial Narrow"/>
                <w:b/>
                <w:color w:val="4F81BD" w:themeColor="accent1"/>
                <w:sz w:val="24"/>
                <w:szCs w:val="24"/>
              </w:rPr>
            </w:pPr>
          </w:p>
          <w:p w14:paraId="60A4A4A7" w14:textId="2A5219DF" w:rsidR="00180B87" w:rsidRPr="00864EE2" w:rsidRDefault="00C97D8D"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Υψηλές </w:t>
            </w:r>
          </w:p>
        </w:tc>
        <w:tc>
          <w:tcPr>
            <w:tcW w:w="2443" w:type="dxa"/>
          </w:tcPr>
          <w:p w14:paraId="10EEA206" w14:textId="77777777" w:rsidR="00C97D8D" w:rsidRPr="00864EE2" w:rsidRDefault="00C97D8D" w:rsidP="00180B87">
            <w:pPr>
              <w:rPr>
                <w:rFonts w:ascii="Arial Narrow" w:hAnsi="Arial Narrow"/>
                <w:b/>
                <w:color w:val="4F81BD" w:themeColor="accent1"/>
                <w:sz w:val="24"/>
                <w:szCs w:val="24"/>
              </w:rPr>
            </w:pPr>
          </w:p>
          <w:p w14:paraId="274D8631" w14:textId="53D441D6" w:rsidR="00180B87" w:rsidRPr="00864EE2" w:rsidRDefault="00C97D8D"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Μεσαίες </w:t>
            </w:r>
          </w:p>
        </w:tc>
        <w:tc>
          <w:tcPr>
            <w:tcW w:w="2443" w:type="dxa"/>
          </w:tcPr>
          <w:p w14:paraId="6421D260" w14:textId="769DCD2F" w:rsidR="00180B87" w:rsidRPr="00864EE2" w:rsidRDefault="00C97D8D"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Μηχανήματα &amp; αυτοκίνητα</w:t>
            </w:r>
          </w:p>
        </w:tc>
      </w:tr>
      <w:tr w:rsidR="00180B87" w:rsidRPr="00864EE2" w14:paraId="27CA6D11" w14:textId="77777777" w:rsidTr="00180B87">
        <w:tc>
          <w:tcPr>
            <w:tcW w:w="2442" w:type="dxa"/>
          </w:tcPr>
          <w:p w14:paraId="13683305" w14:textId="77777777" w:rsidR="00C97D8D" w:rsidRPr="00864EE2" w:rsidRDefault="00C97D8D" w:rsidP="00180B87">
            <w:pPr>
              <w:rPr>
                <w:rFonts w:ascii="Arial Narrow" w:hAnsi="Arial Narrow"/>
                <w:b/>
                <w:color w:val="4F81BD" w:themeColor="accent1"/>
                <w:sz w:val="24"/>
                <w:szCs w:val="24"/>
              </w:rPr>
            </w:pPr>
          </w:p>
          <w:p w14:paraId="473601FE" w14:textId="4D5A11C3" w:rsidR="00180B87" w:rsidRPr="00864EE2" w:rsidRDefault="00C97D8D"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Ιαπωνία </w:t>
            </w:r>
          </w:p>
        </w:tc>
        <w:tc>
          <w:tcPr>
            <w:tcW w:w="2443" w:type="dxa"/>
          </w:tcPr>
          <w:p w14:paraId="39C4C8D9" w14:textId="77777777" w:rsidR="00C97D8D" w:rsidRPr="00864EE2" w:rsidRDefault="00C97D8D" w:rsidP="00180B87">
            <w:pPr>
              <w:rPr>
                <w:rFonts w:ascii="Arial Narrow" w:hAnsi="Arial Narrow"/>
                <w:b/>
                <w:color w:val="4F81BD" w:themeColor="accent1"/>
                <w:sz w:val="24"/>
                <w:szCs w:val="24"/>
              </w:rPr>
            </w:pPr>
          </w:p>
          <w:p w14:paraId="7DF745E9" w14:textId="6CE574F5" w:rsidR="00180B87" w:rsidRPr="00864EE2" w:rsidRDefault="00C97D8D"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Μεσαίες </w:t>
            </w:r>
          </w:p>
        </w:tc>
        <w:tc>
          <w:tcPr>
            <w:tcW w:w="2443" w:type="dxa"/>
          </w:tcPr>
          <w:p w14:paraId="072D38B7" w14:textId="77777777" w:rsidR="00C97D8D" w:rsidRPr="00864EE2" w:rsidRDefault="00C97D8D" w:rsidP="00180B87">
            <w:pPr>
              <w:rPr>
                <w:rFonts w:ascii="Arial Narrow" w:hAnsi="Arial Narrow"/>
                <w:b/>
                <w:color w:val="4F81BD" w:themeColor="accent1"/>
                <w:sz w:val="24"/>
                <w:szCs w:val="24"/>
              </w:rPr>
            </w:pPr>
          </w:p>
          <w:p w14:paraId="124202BE" w14:textId="162E3ED5" w:rsidR="00180B87" w:rsidRPr="00864EE2" w:rsidRDefault="00C97D8D"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Χαμηλές – Μεσαίες </w:t>
            </w:r>
          </w:p>
        </w:tc>
        <w:tc>
          <w:tcPr>
            <w:tcW w:w="2443" w:type="dxa"/>
          </w:tcPr>
          <w:p w14:paraId="096FF9AF" w14:textId="53C70C43" w:rsidR="00180B87" w:rsidRPr="00864EE2" w:rsidRDefault="00C97D8D"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Οχήματα, βιομηχανικά προϊόντα </w:t>
            </w:r>
          </w:p>
        </w:tc>
      </w:tr>
      <w:tr w:rsidR="00180B87" w:rsidRPr="00864EE2" w14:paraId="5848B249" w14:textId="77777777" w:rsidTr="00180B87">
        <w:tc>
          <w:tcPr>
            <w:tcW w:w="2442" w:type="dxa"/>
          </w:tcPr>
          <w:p w14:paraId="4C7933C4" w14:textId="77777777" w:rsidR="00C97D8D" w:rsidRPr="00864EE2" w:rsidRDefault="00C97D8D" w:rsidP="00180B87">
            <w:pPr>
              <w:rPr>
                <w:rFonts w:ascii="Arial Narrow" w:hAnsi="Arial Narrow"/>
                <w:b/>
                <w:color w:val="4F81BD" w:themeColor="accent1"/>
                <w:sz w:val="24"/>
                <w:szCs w:val="24"/>
              </w:rPr>
            </w:pPr>
          </w:p>
          <w:p w14:paraId="1BC6EB63" w14:textId="25D08B35" w:rsidR="00180B87" w:rsidRPr="00864EE2" w:rsidRDefault="00C97D8D"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Ηνωμένο Βασίλειο </w:t>
            </w:r>
          </w:p>
        </w:tc>
        <w:tc>
          <w:tcPr>
            <w:tcW w:w="2443" w:type="dxa"/>
          </w:tcPr>
          <w:p w14:paraId="250E0488" w14:textId="77777777" w:rsidR="00C97D8D" w:rsidRPr="00864EE2" w:rsidRDefault="00C97D8D" w:rsidP="00180B87">
            <w:pPr>
              <w:rPr>
                <w:rFonts w:ascii="Arial Narrow" w:hAnsi="Arial Narrow"/>
                <w:b/>
                <w:color w:val="4F81BD" w:themeColor="accent1"/>
                <w:sz w:val="24"/>
                <w:szCs w:val="24"/>
              </w:rPr>
            </w:pPr>
          </w:p>
          <w:p w14:paraId="3940F002" w14:textId="64978D21" w:rsidR="00180B87" w:rsidRPr="00864EE2" w:rsidRDefault="00C97D8D"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Μεσαίες </w:t>
            </w:r>
          </w:p>
        </w:tc>
        <w:tc>
          <w:tcPr>
            <w:tcW w:w="2443" w:type="dxa"/>
          </w:tcPr>
          <w:p w14:paraId="799858E7" w14:textId="77777777" w:rsidR="00C97D8D" w:rsidRPr="00864EE2" w:rsidRDefault="00C97D8D" w:rsidP="00180B87">
            <w:pPr>
              <w:rPr>
                <w:rFonts w:ascii="Arial Narrow" w:hAnsi="Arial Narrow"/>
                <w:b/>
                <w:color w:val="4F81BD" w:themeColor="accent1"/>
                <w:sz w:val="24"/>
                <w:szCs w:val="24"/>
              </w:rPr>
            </w:pPr>
          </w:p>
          <w:p w14:paraId="0B445BAA" w14:textId="732BFD11" w:rsidR="00180B87" w:rsidRPr="00864EE2" w:rsidRDefault="00C97D8D"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Μεσαίες </w:t>
            </w:r>
          </w:p>
        </w:tc>
        <w:tc>
          <w:tcPr>
            <w:tcW w:w="2443" w:type="dxa"/>
          </w:tcPr>
          <w:p w14:paraId="587D418D" w14:textId="15AB997D" w:rsidR="00180B87" w:rsidRPr="00864EE2" w:rsidRDefault="00C97D8D"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Χρηματοοικονομικά &amp; Υπηρεσίες</w:t>
            </w:r>
          </w:p>
        </w:tc>
      </w:tr>
      <w:tr w:rsidR="00180B87" w:rsidRPr="00864EE2" w14:paraId="3D325EF6" w14:textId="77777777" w:rsidTr="00180B87">
        <w:tc>
          <w:tcPr>
            <w:tcW w:w="2442" w:type="dxa"/>
          </w:tcPr>
          <w:p w14:paraId="5D658606" w14:textId="77777777" w:rsidR="00C97D8D" w:rsidRPr="00864EE2" w:rsidRDefault="00C97D8D" w:rsidP="00180B87">
            <w:pPr>
              <w:rPr>
                <w:rFonts w:ascii="Arial Narrow" w:hAnsi="Arial Narrow"/>
                <w:b/>
                <w:color w:val="4F81BD" w:themeColor="accent1"/>
                <w:sz w:val="24"/>
                <w:szCs w:val="24"/>
              </w:rPr>
            </w:pPr>
          </w:p>
          <w:p w14:paraId="77EC8238" w14:textId="47C14AF5" w:rsidR="00180B87" w:rsidRPr="00864EE2" w:rsidRDefault="00C97D8D"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Ελβετία</w:t>
            </w:r>
          </w:p>
        </w:tc>
        <w:tc>
          <w:tcPr>
            <w:tcW w:w="2443" w:type="dxa"/>
          </w:tcPr>
          <w:p w14:paraId="19215A9A" w14:textId="77777777" w:rsidR="00C97D8D" w:rsidRPr="00864EE2" w:rsidRDefault="00C97D8D" w:rsidP="00180B87">
            <w:pPr>
              <w:rPr>
                <w:rFonts w:ascii="Arial Narrow" w:hAnsi="Arial Narrow"/>
                <w:b/>
                <w:color w:val="4F81BD" w:themeColor="accent1"/>
                <w:sz w:val="24"/>
                <w:szCs w:val="24"/>
              </w:rPr>
            </w:pPr>
          </w:p>
          <w:p w14:paraId="474C872B" w14:textId="74270CC2" w:rsidR="00180B87" w:rsidRPr="00864EE2" w:rsidRDefault="00C97D8D"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Υψηλές </w:t>
            </w:r>
          </w:p>
        </w:tc>
        <w:tc>
          <w:tcPr>
            <w:tcW w:w="2443" w:type="dxa"/>
          </w:tcPr>
          <w:p w14:paraId="5267D36E" w14:textId="77777777" w:rsidR="00C97D8D" w:rsidRPr="00864EE2" w:rsidRDefault="00C97D8D" w:rsidP="00180B87">
            <w:pPr>
              <w:rPr>
                <w:rFonts w:ascii="Arial Narrow" w:hAnsi="Arial Narrow"/>
                <w:b/>
                <w:color w:val="4F81BD" w:themeColor="accent1"/>
                <w:sz w:val="24"/>
                <w:szCs w:val="24"/>
              </w:rPr>
            </w:pPr>
          </w:p>
          <w:p w14:paraId="5DEA5AF4" w14:textId="65B45683" w:rsidR="00180B87" w:rsidRPr="00864EE2" w:rsidRDefault="00C97D8D"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Πολύ υψηλές </w:t>
            </w:r>
          </w:p>
        </w:tc>
        <w:tc>
          <w:tcPr>
            <w:tcW w:w="2443" w:type="dxa"/>
          </w:tcPr>
          <w:p w14:paraId="02B036C9" w14:textId="02CBF64B" w:rsidR="00180B87" w:rsidRPr="00864EE2" w:rsidRDefault="00C97D8D"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Χρυσός &amp; Πολύτιμα Μέταλλα</w:t>
            </w:r>
          </w:p>
        </w:tc>
      </w:tr>
      <w:tr w:rsidR="00180B87" w:rsidRPr="00864EE2" w14:paraId="0C0864B9" w14:textId="77777777" w:rsidTr="00180B87">
        <w:tc>
          <w:tcPr>
            <w:tcW w:w="2442" w:type="dxa"/>
          </w:tcPr>
          <w:p w14:paraId="363D634A" w14:textId="77777777" w:rsidR="00C97D8D" w:rsidRPr="00864EE2" w:rsidRDefault="00C97D8D" w:rsidP="00180B87">
            <w:pPr>
              <w:rPr>
                <w:rFonts w:ascii="Arial Narrow" w:hAnsi="Arial Narrow"/>
                <w:b/>
                <w:color w:val="4F81BD" w:themeColor="accent1"/>
                <w:sz w:val="24"/>
                <w:szCs w:val="24"/>
              </w:rPr>
            </w:pPr>
          </w:p>
          <w:p w14:paraId="5071E813" w14:textId="6740A66C" w:rsidR="00180B87" w:rsidRPr="00864EE2" w:rsidRDefault="00C97D8D"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Τουρκία </w:t>
            </w:r>
          </w:p>
        </w:tc>
        <w:tc>
          <w:tcPr>
            <w:tcW w:w="2443" w:type="dxa"/>
          </w:tcPr>
          <w:p w14:paraId="3CE0F02D" w14:textId="6C16D07E" w:rsidR="00180B87" w:rsidRPr="00864EE2" w:rsidRDefault="00C97D8D"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br/>
              <w:t xml:space="preserve">Υψηλές </w:t>
            </w:r>
          </w:p>
        </w:tc>
        <w:tc>
          <w:tcPr>
            <w:tcW w:w="2443" w:type="dxa"/>
          </w:tcPr>
          <w:p w14:paraId="13A6D806" w14:textId="77777777" w:rsidR="00C97D8D" w:rsidRPr="00864EE2" w:rsidRDefault="00C97D8D" w:rsidP="00180B87">
            <w:pPr>
              <w:rPr>
                <w:rFonts w:ascii="Arial Narrow" w:hAnsi="Arial Narrow"/>
                <w:b/>
                <w:color w:val="4F81BD" w:themeColor="accent1"/>
                <w:sz w:val="24"/>
                <w:szCs w:val="24"/>
              </w:rPr>
            </w:pPr>
          </w:p>
          <w:p w14:paraId="1C6ACEEF" w14:textId="42495DF8" w:rsidR="00180B87" w:rsidRPr="00864EE2" w:rsidRDefault="00C97D8D"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Υψηλές </w:t>
            </w:r>
          </w:p>
        </w:tc>
        <w:tc>
          <w:tcPr>
            <w:tcW w:w="2443" w:type="dxa"/>
          </w:tcPr>
          <w:p w14:paraId="48915F78" w14:textId="1FB46984" w:rsidR="00180B87" w:rsidRPr="00864EE2" w:rsidRDefault="00C97D8D" w:rsidP="00180B87">
            <w:pPr>
              <w:rPr>
                <w:rFonts w:ascii="Arial Narrow" w:hAnsi="Arial Narrow"/>
                <w:b/>
                <w:color w:val="4F81BD" w:themeColor="accent1"/>
                <w:sz w:val="24"/>
                <w:szCs w:val="24"/>
              </w:rPr>
            </w:pPr>
            <w:r w:rsidRPr="00864EE2">
              <w:rPr>
                <w:rFonts w:ascii="Arial Narrow" w:hAnsi="Arial Narrow"/>
                <w:b/>
                <w:color w:val="4F81BD" w:themeColor="accent1"/>
                <w:sz w:val="24"/>
                <w:szCs w:val="24"/>
              </w:rPr>
              <w:t xml:space="preserve">Κατασκευαστικά &amp; Καταναλωτικά αγαθά </w:t>
            </w:r>
          </w:p>
        </w:tc>
      </w:tr>
    </w:tbl>
    <w:p w14:paraId="703A4EE0" w14:textId="07F0E4E2" w:rsidR="00A51A52" w:rsidRDefault="00A51A52" w:rsidP="00A51A52"/>
    <w:p w14:paraId="3F896F2B" w14:textId="4354BBFA" w:rsidR="00A51A52" w:rsidRDefault="00A51A52" w:rsidP="00A51A52">
      <w:pPr>
        <w:rPr>
          <w:rFonts w:ascii="Arial Narrow" w:hAnsi="Arial Narrow"/>
          <w:b/>
          <w:color w:val="1F497D" w:themeColor="text2"/>
          <w:sz w:val="28"/>
          <w:szCs w:val="28"/>
          <w:lang w:val="en-US"/>
        </w:rPr>
      </w:pPr>
      <w:r w:rsidRPr="00A51A52">
        <w:rPr>
          <w:rFonts w:ascii="Arial Narrow" w:hAnsi="Arial Narrow"/>
          <w:b/>
          <w:color w:val="1F497D" w:themeColor="text2"/>
          <w:sz w:val="28"/>
          <w:szCs w:val="28"/>
        </w:rPr>
        <w:t>3.2. Δομή Εισαγωγών ΗΑΕ (</w:t>
      </w:r>
      <w:r w:rsidRPr="00A51A52">
        <w:rPr>
          <w:rFonts w:ascii="Arial Narrow" w:hAnsi="Arial Narrow"/>
          <w:b/>
          <w:color w:val="1F497D" w:themeColor="text2"/>
          <w:sz w:val="28"/>
          <w:szCs w:val="28"/>
          <w:lang w:val="en-US"/>
        </w:rPr>
        <w:t>Imports)</w:t>
      </w:r>
    </w:p>
    <w:p w14:paraId="24BC413C" w14:textId="15B0BCC3" w:rsidR="00A51A52" w:rsidRDefault="00A51A52" w:rsidP="00A51A52">
      <w:pPr>
        <w:rPr>
          <w:rFonts w:ascii="Arial Narrow" w:hAnsi="Arial Narrow"/>
          <w:sz w:val="24"/>
          <w:szCs w:val="24"/>
        </w:rPr>
      </w:pPr>
      <w:r>
        <w:rPr>
          <w:rFonts w:ascii="Arial Narrow" w:hAnsi="Arial Narrow"/>
          <w:sz w:val="24"/>
          <w:szCs w:val="24"/>
          <w:lang w:val="en-US"/>
        </w:rPr>
        <w:t>O</w:t>
      </w:r>
      <w:r>
        <w:rPr>
          <w:rFonts w:ascii="Arial Narrow" w:hAnsi="Arial Narrow"/>
          <w:sz w:val="24"/>
          <w:szCs w:val="24"/>
        </w:rPr>
        <w:t xml:space="preserve">οι εισαγωγές των ΗΑΕ είναι κυρίως μηχανήματα &amp; εξοπλισμός, ηλεκτρονικά, οχήματα, χρυσός &amp; πολύτιμα μέταλλα &amp; τρόφιμα. Η κατανομή των εισαγωγών ανά χώρα (σε ενδεικτικά ποσοστά) είναι Κίνα (15% έως 18% των συνολικών εισαγωγών), Ινδία (7% έως 10%), ΗΠΑ (6% έως 8%), Γερμανία (4% έως 6%), </w:t>
      </w:r>
      <w:r w:rsidR="00075395">
        <w:rPr>
          <w:rFonts w:ascii="Arial Narrow" w:hAnsi="Arial Narrow"/>
          <w:sz w:val="24"/>
          <w:szCs w:val="24"/>
        </w:rPr>
        <w:t>Ιαπωνία (3% έως 5%), Τουρκία (3% έως 5%), Ελβετία (4% έως 7%), κυριως χρυσός και άλλες χώρες 40%.</w:t>
      </w:r>
    </w:p>
    <w:p w14:paraId="384644AE" w14:textId="3AC7B233" w:rsidR="00075395" w:rsidRDefault="00075395" w:rsidP="00A51A52">
      <w:pPr>
        <w:rPr>
          <w:rFonts w:ascii="Arial Narrow" w:hAnsi="Arial Narrow"/>
          <w:b/>
          <w:color w:val="1F497D" w:themeColor="text2"/>
          <w:sz w:val="28"/>
          <w:szCs w:val="28"/>
          <w:lang w:val="en-US"/>
        </w:rPr>
      </w:pPr>
      <w:r w:rsidRPr="00075395">
        <w:rPr>
          <w:rFonts w:ascii="Arial Narrow" w:hAnsi="Arial Narrow"/>
          <w:b/>
          <w:color w:val="1F497D" w:themeColor="text2"/>
          <w:sz w:val="28"/>
          <w:szCs w:val="28"/>
          <w:lang w:val="en-AE"/>
        </w:rPr>
        <w:t xml:space="preserve">3.3. </w:t>
      </w:r>
      <w:r w:rsidRPr="00075395">
        <w:rPr>
          <w:rFonts w:ascii="Arial Narrow" w:hAnsi="Arial Narrow"/>
          <w:b/>
          <w:color w:val="1F497D" w:themeColor="text2"/>
          <w:sz w:val="28"/>
          <w:szCs w:val="28"/>
        </w:rPr>
        <w:t>Δομή</w:t>
      </w:r>
      <w:r w:rsidRPr="00075395">
        <w:rPr>
          <w:rFonts w:ascii="Arial Narrow" w:hAnsi="Arial Narrow"/>
          <w:b/>
          <w:color w:val="1F497D" w:themeColor="text2"/>
          <w:sz w:val="28"/>
          <w:szCs w:val="28"/>
          <w:lang w:val="en-AE"/>
        </w:rPr>
        <w:t xml:space="preserve"> </w:t>
      </w:r>
      <w:r w:rsidRPr="00075395">
        <w:rPr>
          <w:rFonts w:ascii="Arial Narrow" w:hAnsi="Arial Narrow"/>
          <w:b/>
          <w:color w:val="1F497D" w:themeColor="text2"/>
          <w:sz w:val="28"/>
          <w:szCs w:val="28"/>
        </w:rPr>
        <w:t>Εξαγωγών</w:t>
      </w:r>
      <w:r w:rsidRPr="00075395">
        <w:rPr>
          <w:rFonts w:ascii="Arial Narrow" w:hAnsi="Arial Narrow"/>
          <w:b/>
          <w:color w:val="1F497D" w:themeColor="text2"/>
          <w:sz w:val="28"/>
          <w:szCs w:val="28"/>
          <w:lang w:val="en-AE"/>
        </w:rPr>
        <w:t xml:space="preserve"> </w:t>
      </w:r>
      <w:r w:rsidRPr="00075395">
        <w:rPr>
          <w:rFonts w:ascii="Arial Narrow" w:hAnsi="Arial Narrow"/>
          <w:b/>
          <w:color w:val="1F497D" w:themeColor="text2"/>
          <w:sz w:val="28"/>
          <w:szCs w:val="28"/>
        </w:rPr>
        <w:t>ΗΑΕ</w:t>
      </w:r>
      <w:r w:rsidRPr="00075395">
        <w:rPr>
          <w:rFonts w:ascii="Arial Narrow" w:hAnsi="Arial Narrow"/>
          <w:b/>
          <w:color w:val="1F497D" w:themeColor="text2"/>
          <w:sz w:val="28"/>
          <w:szCs w:val="28"/>
          <w:lang w:val="en-AE"/>
        </w:rPr>
        <w:t xml:space="preserve"> (</w:t>
      </w:r>
      <w:r w:rsidRPr="00075395">
        <w:rPr>
          <w:rFonts w:ascii="Arial Narrow" w:hAnsi="Arial Narrow"/>
          <w:b/>
          <w:color w:val="1F497D" w:themeColor="text2"/>
          <w:sz w:val="28"/>
          <w:szCs w:val="28"/>
          <w:lang w:val="en-US"/>
        </w:rPr>
        <w:t>exports</w:t>
      </w:r>
      <w:r w:rsidRPr="00075395">
        <w:rPr>
          <w:rFonts w:ascii="Arial Narrow" w:hAnsi="Arial Narrow"/>
          <w:b/>
          <w:color w:val="1F497D" w:themeColor="text2"/>
          <w:sz w:val="28"/>
          <w:szCs w:val="28"/>
          <w:lang w:val="en-AE"/>
        </w:rPr>
        <w:t xml:space="preserve"> + </w:t>
      </w:r>
      <w:r w:rsidRPr="00075395">
        <w:rPr>
          <w:rFonts w:ascii="Arial Narrow" w:hAnsi="Arial Narrow"/>
          <w:b/>
          <w:color w:val="1F497D" w:themeColor="text2"/>
          <w:sz w:val="28"/>
          <w:szCs w:val="28"/>
          <w:lang w:val="en-US"/>
        </w:rPr>
        <w:t>Re</w:t>
      </w:r>
      <w:r w:rsidRPr="00075395">
        <w:rPr>
          <w:rFonts w:ascii="Arial Narrow" w:hAnsi="Arial Narrow"/>
          <w:b/>
          <w:color w:val="1F497D" w:themeColor="text2"/>
          <w:sz w:val="28"/>
          <w:szCs w:val="28"/>
          <w:lang w:val="en-AE"/>
        </w:rPr>
        <w:t>-</w:t>
      </w:r>
      <w:r w:rsidRPr="00075395">
        <w:rPr>
          <w:rFonts w:ascii="Arial Narrow" w:hAnsi="Arial Narrow"/>
          <w:b/>
          <w:color w:val="1F497D" w:themeColor="text2"/>
          <w:sz w:val="28"/>
          <w:szCs w:val="28"/>
          <w:lang w:val="en-US"/>
        </w:rPr>
        <w:t>exports)</w:t>
      </w:r>
    </w:p>
    <w:p w14:paraId="7507F9F5" w14:textId="4D76C549" w:rsidR="00B843D7" w:rsidRPr="00154966" w:rsidRDefault="00075395" w:rsidP="00A3029D">
      <w:pPr>
        <w:jc w:val="both"/>
        <w:rPr>
          <w:rFonts w:ascii="Arial Narrow" w:hAnsi="Arial Narrow"/>
          <w:sz w:val="24"/>
          <w:szCs w:val="24"/>
        </w:rPr>
      </w:pPr>
      <w:r>
        <w:rPr>
          <w:rFonts w:ascii="Arial Narrow" w:hAnsi="Arial Narrow"/>
          <w:sz w:val="24"/>
          <w:szCs w:val="24"/>
        </w:rPr>
        <w:t xml:space="preserve">Οι εξαγωγές των ΗΑΕ περιλαμβάνουν πετρέλαιο και </w:t>
      </w:r>
      <w:r>
        <w:rPr>
          <w:rFonts w:ascii="Arial Narrow" w:hAnsi="Arial Narrow"/>
          <w:sz w:val="24"/>
          <w:szCs w:val="24"/>
          <w:lang w:val="en-US"/>
        </w:rPr>
        <w:t>LNG</w:t>
      </w:r>
      <w:r>
        <w:rPr>
          <w:rFonts w:ascii="Arial Narrow" w:hAnsi="Arial Narrow"/>
          <w:sz w:val="24"/>
          <w:szCs w:val="24"/>
        </w:rPr>
        <w:t xml:space="preserve"> (λιγότερο από παλαιότερα λόγω διαφοροποίησης), πετροχημικά, χρυσό &amp; πολύτιμα μέταλλα και επανεξαγωγές </w:t>
      </w:r>
      <w:r w:rsidR="00A3029D" w:rsidRPr="00A3029D">
        <w:rPr>
          <w:rFonts w:ascii="Arial Narrow" w:hAnsi="Arial Narrow"/>
          <w:sz w:val="24"/>
          <w:szCs w:val="24"/>
        </w:rPr>
        <w:t>(</w:t>
      </w:r>
      <w:r w:rsidR="00A3029D">
        <w:rPr>
          <w:rFonts w:ascii="Arial Narrow" w:hAnsi="Arial Narrow"/>
          <w:sz w:val="24"/>
          <w:szCs w:val="24"/>
          <w:lang w:val="en-US"/>
        </w:rPr>
        <w:t>re</w:t>
      </w:r>
      <w:r w:rsidR="00A3029D" w:rsidRPr="00A3029D">
        <w:rPr>
          <w:rFonts w:ascii="Arial Narrow" w:hAnsi="Arial Narrow"/>
          <w:sz w:val="24"/>
          <w:szCs w:val="24"/>
        </w:rPr>
        <w:t>-</w:t>
      </w:r>
      <w:r w:rsidR="00A3029D">
        <w:rPr>
          <w:rFonts w:ascii="Arial Narrow" w:hAnsi="Arial Narrow"/>
          <w:sz w:val="24"/>
          <w:szCs w:val="24"/>
          <w:lang w:val="en-US"/>
        </w:rPr>
        <w:t>exports</w:t>
      </w:r>
      <w:r w:rsidR="00A3029D" w:rsidRPr="00A3029D">
        <w:rPr>
          <w:rFonts w:ascii="Arial Narrow" w:hAnsi="Arial Narrow"/>
          <w:sz w:val="24"/>
          <w:szCs w:val="24"/>
        </w:rPr>
        <w:t xml:space="preserve"> </w:t>
      </w:r>
      <w:r w:rsidR="00A3029D">
        <w:rPr>
          <w:rFonts w:ascii="Arial Narrow" w:hAnsi="Arial Narrow"/>
          <w:sz w:val="24"/>
          <w:szCs w:val="24"/>
        </w:rPr>
        <w:t>–</w:t>
      </w:r>
      <w:r w:rsidR="00A3029D" w:rsidRPr="00A3029D">
        <w:rPr>
          <w:rFonts w:ascii="Arial Narrow" w:hAnsi="Arial Narrow"/>
          <w:sz w:val="24"/>
          <w:szCs w:val="24"/>
        </w:rPr>
        <w:t xml:space="preserve"> </w:t>
      </w:r>
      <w:r w:rsidR="00A3029D">
        <w:rPr>
          <w:rFonts w:ascii="Arial Narrow" w:hAnsi="Arial Narrow"/>
          <w:sz w:val="24"/>
          <w:szCs w:val="24"/>
          <w:lang w:val="en-US"/>
        </w:rPr>
        <w:t>Dubai</w:t>
      </w:r>
      <w:r w:rsidR="00A3029D" w:rsidRPr="00A3029D">
        <w:rPr>
          <w:rFonts w:ascii="Arial Narrow" w:hAnsi="Arial Narrow"/>
          <w:sz w:val="24"/>
          <w:szCs w:val="24"/>
        </w:rPr>
        <w:t xml:space="preserve"> </w:t>
      </w:r>
      <w:r w:rsidR="00A3029D">
        <w:rPr>
          <w:rFonts w:ascii="Arial Narrow" w:hAnsi="Arial Narrow"/>
          <w:sz w:val="24"/>
          <w:szCs w:val="24"/>
          <w:lang w:val="en-US"/>
        </w:rPr>
        <w:t>Hub</w:t>
      </w:r>
      <w:r w:rsidR="00A3029D" w:rsidRPr="00A3029D">
        <w:rPr>
          <w:rFonts w:ascii="Arial Narrow" w:hAnsi="Arial Narrow"/>
          <w:sz w:val="24"/>
          <w:szCs w:val="24"/>
        </w:rPr>
        <w:t xml:space="preserve">). </w:t>
      </w:r>
      <w:r w:rsidR="00A3029D">
        <w:rPr>
          <w:rFonts w:ascii="Arial Narrow" w:hAnsi="Arial Narrow"/>
          <w:sz w:val="24"/>
          <w:szCs w:val="24"/>
        </w:rPr>
        <w:t>Η κατανομή ανά χώρα είναι Ινδία (10% έως 15%, χρυσός, καύσιμα και επανεξαγωγές, Κίνα (8% έως 12%, επανεξαγωγές &amp; βιομηχανικά προϊόντα), Σαουδική Αραβία (6% έως 9%), ΗΠΑ (4% έως 7%), Ελβετία (6% έως 10%, χ</w:t>
      </w:r>
      <w:r w:rsidR="00B843D7">
        <w:rPr>
          <w:rFonts w:ascii="Arial Narrow" w:hAnsi="Arial Narrow"/>
          <w:sz w:val="24"/>
          <w:szCs w:val="24"/>
        </w:rPr>
        <w:t>ρυσός), Τουρκία (3% έως 6%) &amp; ΚΜ της ΕΕ (15% έως 20%), το υπόλοιπο σε άλλες περιοχές.</w:t>
      </w:r>
    </w:p>
    <w:p w14:paraId="77CCFD15" w14:textId="4E0D34E6" w:rsidR="00B843D7" w:rsidRDefault="00B843D7" w:rsidP="00A3029D">
      <w:pPr>
        <w:jc w:val="both"/>
        <w:rPr>
          <w:rFonts w:ascii="Arial Narrow" w:hAnsi="Arial Narrow"/>
          <w:b/>
          <w:color w:val="1F497D" w:themeColor="text2"/>
          <w:sz w:val="28"/>
          <w:szCs w:val="28"/>
        </w:rPr>
      </w:pPr>
      <w:r w:rsidRPr="00B843D7">
        <w:rPr>
          <w:rFonts w:ascii="Arial Narrow" w:hAnsi="Arial Narrow"/>
          <w:b/>
          <w:color w:val="1F497D" w:themeColor="text2"/>
          <w:sz w:val="28"/>
          <w:szCs w:val="28"/>
        </w:rPr>
        <w:t xml:space="preserve">3.4. Σημαντικά Σχόλια για τη δομή </w:t>
      </w:r>
    </w:p>
    <w:p w14:paraId="3C5CDC1F" w14:textId="0A4FDD9F" w:rsidR="00B843D7" w:rsidRDefault="00B843D7" w:rsidP="00A3029D">
      <w:pPr>
        <w:jc w:val="both"/>
        <w:rPr>
          <w:rFonts w:ascii="Arial Narrow" w:hAnsi="Arial Narrow"/>
          <w:sz w:val="24"/>
          <w:szCs w:val="24"/>
        </w:rPr>
      </w:pPr>
      <w:r w:rsidRPr="00B843D7">
        <w:rPr>
          <w:rFonts w:ascii="Arial Narrow" w:hAnsi="Arial Narrow"/>
          <w:sz w:val="24"/>
          <w:szCs w:val="24"/>
        </w:rPr>
        <w:t xml:space="preserve"> Ρόλος της Κίνας : αποτελεί το κυριώτερο εμπορικό εταίρο των ΗΑΕ, ενώ κυριαρχεί στα βιομηχανικά &amp; ηλεκτρονικά προϊόντα</w:t>
      </w:r>
      <w:r>
        <w:rPr>
          <w:rFonts w:ascii="Arial Narrow" w:hAnsi="Arial Narrow"/>
          <w:sz w:val="24"/>
          <w:szCs w:val="24"/>
        </w:rPr>
        <w:t xml:space="preserve"> και σημαντικές επανεξαγωγές πραγματοποιούνται μέσω Ντουμπάϊ. </w:t>
      </w:r>
    </w:p>
    <w:p w14:paraId="34F5D1BD" w14:textId="0CE8EC36" w:rsidR="00B843D7" w:rsidRDefault="00B843D7" w:rsidP="00A3029D">
      <w:pPr>
        <w:jc w:val="both"/>
        <w:rPr>
          <w:rFonts w:ascii="Arial Narrow" w:hAnsi="Arial Narrow"/>
          <w:sz w:val="24"/>
          <w:szCs w:val="24"/>
        </w:rPr>
      </w:pPr>
      <w:r>
        <w:rPr>
          <w:rFonts w:ascii="Arial Narrow" w:hAnsi="Arial Narrow"/>
          <w:sz w:val="24"/>
          <w:szCs w:val="24"/>
        </w:rPr>
        <w:t>Ρόλος της Ινδίας: οι δύο χώρες έχουν ιστορικά πολύ ισχυρούς εμπορικούς δεσμούς, χρυσός, καύσιμα, τρόφιμα και εργατικό δυναμικό αποτελούν τα κυριώτερα προϊόντα, τόσο για τις εισαγωγές, όσο και για τις εξαγωγές των ΗΑΕ, ενώ αποτελεί έναν από τους λίγους εμπορικούς εταίρους με υψηλές εισαγωγές και εξαγωγές.</w:t>
      </w:r>
    </w:p>
    <w:p w14:paraId="5EBA9806" w14:textId="3D401425" w:rsidR="00B843D7" w:rsidRDefault="00B843D7" w:rsidP="00A3029D">
      <w:pPr>
        <w:jc w:val="both"/>
        <w:rPr>
          <w:rFonts w:ascii="Arial Narrow" w:hAnsi="Arial Narrow"/>
          <w:sz w:val="24"/>
          <w:szCs w:val="24"/>
        </w:rPr>
      </w:pPr>
      <w:r>
        <w:rPr>
          <w:rFonts w:ascii="Arial Narrow" w:hAnsi="Arial Narrow"/>
          <w:sz w:val="24"/>
          <w:szCs w:val="24"/>
        </w:rPr>
        <w:t xml:space="preserve">Ρόλος των ΗΠΑ: έμφαση δίνεται στην αεροναυπηγική, </w:t>
      </w:r>
      <w:r w:rsidR="005951C7">
        <w:rPr>
          <w:rFonts w:ascii="Arial Narrow" w:hAnsi="Arial Narrow"/>
          <w:sz w:val="24"/>
          <w:szCs w:val="24"/>
          <w:lang w:val="en-US"/>
        </w:rPr>
        <w:t>high</w:t>
      </w:r>
      <w:r w:rsidR="005951C7" w:rsidRPr="005951C7">
        <w:rPr>
          <w:rFonts w:ascii="Arial Narrow" w:hAnsi="Arial Narrow"/>
          <w:sz w:val="24"/>
          <w:szCs w:val="24"/>
        </w:rPr>
        <w:t>-</w:t>
      </w:r>
      <w:r w:rsidR="005951C7">
        <w:rPr>
          <w:rFonts w:ascii="Arial Narrow" w:hAnsi="Arial Narrow"/>
          <w:sz w:val="24"/>
          <w:szCs w:val="24"/>
          <w:lang w:val="en-US"/>
        </w:rPr>
        <w:t>tech</w:t>
      </w:r>
      <w:r w:rsidR="005951C7" w:rsidRPr="005951C7">
        <w:rPr>
          <w:rFonts w:ascii="Arial Narrow" w:hAnsi="Arial Narrow"/>
          <w:sz w:val="24"/>
          <w:szCs w:val="24"/>
        </w:rPr>
        <w:t xml:space="preserve">, </w:t>
      </w:r>
      <w:r w:rsidR="00E01F5B">
        <w:rPr>
          <w:rFonts w:ascii="Arial Narrow" w:hAnsi="Arial Narrow"/>
          <w:sz w:val="24"/>
          <w:szCs w:val="24"/>
        </w:rPr>
        <w:t>αμυντικό εξοπλισμό, με υψηλή προστιθέμενη αξια αλλά μικρότερος όγκος από την Ασία.</w:t>
      </w:r>
    </w:p>
    <w:p w14:paraId="5D5B6790" w14:textId="29BA773E" w:rsidR="00275D25" w:rsidRDefault="00E01F5B" w:rsidP="00A3029D">
      <w:pPr>
        <w:jc w:val="both"/>
        <w:rPr>
          <w:rFonts w:ascii="Arial Narrow" w:hAnsi="Arial Narrow"/>
          <w:b/>
          <w:sz w:val="24"/>
          <w:szCs w:val="24"/>
        </w:rPr>
      </w:pPr>
      <w:r>
        <w:rPr>
          <w:rFonts w:ascii="Arial Narrow" w:hAnsi="Arial Narrow"/>
          <w:sz w:val="24"/>
          <w:szCs w:val="24"/>
        </w:rPr>
        <w:t>Ρόλος της Ελβετίας: ιδιαίτερα σημαντικός εμπορικός εταίρος λόγω της εμπορίας χρυσού</w:t>
      </w:r>
      <w:r w:rsidR="00154966">
        <w:rPr>
          <w:rFonts w:ascii="Arial Narrow" w:hAnsi="Arial Narrow"/>
          <w:sz w:val="24"/>
          <w:szCs w:val="24"/>
        </w:rPr>
        <w:t xml:space="preserve"> και πολύτιμων μετάλλων. Συμπερασματικά θα μπορούσε να ειπωθεί ότι η δομή εξωτερκού εμπορίου των ΗΑΕ είναι </w:t>
      </w:r>
      <w:r w:rsidR="00055435">
        <w:rPr>
          <w:rFonts w:ascii="Arial Narrow" w:hAnsi="Arial Narrow"/>
          <w:b/>
          <w:sz w:val="24"/>
          <w:szCs w:val="24"/>
        </w:rPr>
        <w:t>ότι Ασία (Κίνα+Ινδία) αποτελούν τη κυρίαρχη προέλευση σημαντικού μεριδίου</w:t>
      </w:r>
      <w:r w:rsidR="00275D25">
        <w:rPr>
          <w:rFonts w:ascii="Arial Narrow" w:hAnsi="Arial Narrow"/>
          <w:b/>
          <w:sz w:val="24"/>
          <w:szCs w:val="24"/>
        </w:rPr>
        <w:t xml:space="preserve"> </w:t>
      </w:r>
      <w:r w:rsidR="00055435">
        <w:rPr>
          <w:rFonts w:ascii="Arial Narrow" w:hAnsi="Arial Narrow"/>
          <w:b/>
          <w:sz w:val="24"/>
          <w:szCs w:val="24"/>
        </w:rPr>
        <w:t>εισαγωγών των ΗΑΕ καθώς και τους πλέον σημαντικούς προορισμούς των εξαγωγών των ΗΑΕ</w:t>
      </w:r>
      <w:r w:rsidR="00275D25">
        <w:rPr>
          <w:rFonts w:ascii="Arial Narrow" w:hAnsi="Arial Narrow"/>
          <w:b/>
          <w:sz w:val="24"/>
          <w:szCs w:val="24"/>
        </w:rPr>
        <w:t xml:space="preserve">. Η Ευρώπη κατέχει προϊόντα υψηλής αξίας του εξωτερικού εμπορίου των ΗΑΕ με εξαγωγές χρυσού, μηχανημάτων και αυτοκινήτων, τις ΗΠΑ σε  προϊόντα τεχνολογίας &amp; αμυντικά θέματα καθώς και περιφερειακό </w:t>
      </w:r>
      <w:r w:rsidR="004635E5">
        <w:rPr>
          <w:rFonts w:ascii="Arial Narrow" w:hAnsi="Arial Narrow"/>
          <w:b/>
          <w:sz w:val="24"/>
          <w:szCs w:val="24"/>
          <w:lang w:val="en-US"/>
        </w:rPr>
        <w:t>GCC</w:t>
      </w:r>
      <w:r w:rsidR="00054F78" w:rsidRPr="00054F78">
        <w:rPr>
          <w:rFonts w:ascii="Arial Narrow" w:hAnsi="Arial Narrow"/>
          <w:b/>
          <w:sz w:val="24"/>
          <w:szCs w:val="24"/>
        </w:rPr>
        <w:t xml:space="preserve"> </w:t>
      </w:r>
      <w:r w:rsidR="00FA36B3">
        <w:rPr>
          <w:rFonts w:ascii="Arial Narrow" w:hAnsi="Arial Narrow"/>
          <w:b/>
          <w:sz w:val="24"/>
          <w:szCs w:val="24"/>
        </w:rPr>
        <w:t>για το στρατηγικό εμπόριο.</w:t>
      </w:r>
    </w:p>
    <w:p w14:paraId="717D40CA" w14:textId="24A129CD" w:rsidR="00FA36B3" w:rsidRPr="00864EE2" w:rsidRDefault="00864EE2" w:rsidP="00FA36B3">
      <w:pPr>
        <w:jc w:val="center"/>
        <w:rPr>
          <w:rFonts w:ascii="Arial Narrow" w:hAnsi="Arial Narrow"/>
          <w:b/>
          <w:color w:val="4F81BD" w:themeColor="accent1"/>
          <w:sz w:val="28"/>
          <w:szCs w:val="28"/>
        </w:rPr>
      </w:pPr>
      <w:r w:rsidRPr="00864EE2">
        <w:rPr>
          <w:rFonts w:ascii="Arial Narrow" w:hAnsi="Arial Narrow"/>
          <w:b/>
          <w:color w:val="4F81BD" w:themeColor="accent1"/>
          <w:sz w:val="28"/>
          <w:szCs w:val="28"/>
        </w:rPr>
        <w:t xml:space="preserve">ΠΙΝΑΚΑΣ </w:t>
      </w:r>
      <w:r w:rsidR="00451B2E">
        <w:rPr>
          <w:rFonts w:ascii="Arial Narrow" w:hAnsi="Arial Narrow"/>
          <w:b/>
          <w:color w:val="4F81BD" w:themeColor="accent1"/>
          <w:sz w:val="28"/>
          <w:szCs w:val="28"/>
        </w:rPr>
        <w:t xml:space="preserve">16 </w:t>
      </w:r>
      <w:r w:rsidR="00026058" w:rsidRPr="00026058">
        <w:rPr>
          <w:rFonts w:ascii="Arial Narrow" w:hAnsi="Arial Narrow"/>
          <w:b/>
          <w:color w:val="4F81BD" w:themeColor="accent1"/>
          <w:sz w:val="28"/>
          <w:szCs w:val="28"/>
        </w:rPr>
        <w:t xml:space="preserve"> </w:t>
      </w:r>
      <w:r w:rsidRPr="00864EE2">
        <w:rPr>
          <w:rFonts w:ascii="Arial Narrow" w:hAnsi="Arial Narrow"/>
          <w:b/>
          <w:color w:val="4F81BD" w:themeColor="accent1"/>
          <w:sz w:val="28"/>
          <w:szCs w:val="28"/>
        </w:rPr>
        <w:t xml:space="preserve"> - </w:t>
      </w:r>
      <w:r w:rsidR="00FA36B3" w:rsidRPr="00864EE2">
        <w:rPr>
          <w:rFonts w:ascii="Arial Narrow" w:hAnsi="Arial Narrow"/>
          <w:b/>
          <w:color w:val="4F81BD" w:themeColor="accent1"/>
          <w:sz w:val="28"/>
          <w:szCs w:val="28"/>
        </w:rPr>
        <w:t>ΣΥΝΟΛΙΚΟ ΕΞΩΤΕΡΙΚΟ ΕΜΠΟΡΙΟ ΗΝΩΜΕΝΩΝ ΑΡΑΒΙΚΩΝ ΕΜΙΡΑΤΩΝ (2023-2025</w:t>
      </w:r>
      <w:r w:rsidRPr="00864EE2">
        <w:rPr>
          <w:rFonts w:ascii="Arial Narrow" w:hAnsi="Arial Narrow"/>
          <w:b/>
          <w:color w:val="4F81BD" w:themeColor="accent1"/>
          <w:sz w:val="28"/>
          <w:szCs w:val="28"/>
        </w:rPr>
        <w:t>)</w:t>
      </w:r>
    </w:p>
    <w:tbl>
      <w:tblPr>
        <w:tblStyle w:val="TableGrid"/>
        <w:tblW w:w="0" w:type="auto"/>
        <w:tblLook w:val="04A0" w:firstRow="1" w:lastRow="0" w:firstColumn="1" w:lastColumn="0" w:noHBand="0" w:noVBand="1"/>
      </w:tblPr>
      <w:tblGrid>
        <w:gridCol w:w="2442"/>
        <w:gridCol w:w="2443"/>
        <w:gridCol w:w="2443"/>
        <w:gridCol w:w="2443"/>
      </w:tblGrid>
      <w:tr w:rsidR="00FA36B3" w:rsidRPr="00FA36B3" w14:paraId="7B9344AB" w14:textId="77777777" w:rsidTr="00FA36B3">
        <w:tc>
          <w:tcPr>
            <w:tcW w:w="2442" w:type="dxa"/>
          </w:tcPr>
          <w:p w14:paraId="42A5833A" w14:textId="31605A2B" w:rsidR="00FA36B3" w:rsidRPr="00FA36B3" w:rsidRDefault="00FA36B3" w:rsidP="00FA36B3">
            <w:pPr>
              <w:rPr>
                <w:rFonts w:ascii="Arial Narrow" w:hAnsi="Arial Narrow"/>
                <w:b/>
                <w:color w:val="1F497D" w:themeColor="text2"/>
                <w:sz w:val="24"/>
                <w:szCs w:val="24"/>
              </w:rPr>
            </w:pPr>
            <w:r w:rsidRPr="00FA36B3">
              <w:rPr>
                <w:rFonts w:ascii="Arial Narrow" w:hAnsi="Arial Narrow"/>
                <w:b/>
                <w:color w:val="1F497D" w:themeColor="text2"/>
                <w:sz w:val="24"/>
                <w:szCs w:val="24"/>
              </w:rPr>
              <w:t>Έτος</w:t>
            </w:r>
          </w:p>
        </w:tc>
        <w:tc>
          <w:tcPr>
            <w:tcW w:w="2443" w:type="dxa"/>
          </w:tcPr>
          <w:p w14:paraId="62A82A99" w14:textId="2C87CC8D" w:rsidR="00FA36B3" w:rsidRPr="00FA36B3" w:rsidRDefault="00FA36B3" w:rsidP="00FA36B3">
            <w:pPr>
              <w:rPr>
                <w:rFonts w:ascii="Arial Narrow" w:hAnsi="Arial Narrow"/>
                <w:b/>
                <w:color w:val="1F497D" w:themeColor="text2"/>
                <w:sz w:val="24"/>
                <w:szCs w:val="24"/>
                <w:lang w:val="en-US"/>
              </w:rPr>
            </w:pPr>
            <w:r>
              <w:rPr>
                <w:rFonts w:ascii="Arial Narrow" w:hAnsi="Arial Narrow"/>
                <w:b/>
                <w:color w:val="1F497D" w:themeColor="text2"/>
                <w:sz w:val="24"/>
                <w:szCs w:val="24"/>
              </w:rPr>
              <w:t>Εισαγωγές (</w:t>
            </w:r>
            <w:r w:rsidR="0079582B">
              <w:rPr>
                <w:rFonts w:ascii="Arial Narrow" w:hAnsi="Arial Narrow"/>
                <w:b/>
                <w:color w:val="1F497D" w:themeColor="text2"/>
                <w:sz w:val="24"/>
                <w:szCs w:val="24"/>
              </w:rPr>
              <w:t>σε $)</w:t>
            </w:r>
          </w:p>
        </w:tc>
        <w:tc>
          <w:tcPr>
            <w:tcW w:w="2443" w:type="dxa"/>
          </w:tcPr>
          <w:p w14:paraId="68772A50" w14:textId="0B66C4E1" w:rsidR="00FA36B3" w:rsidRPr="00FA36B3" w:rsidRDefault="0079582B" w:rsidP="00FA36B3">
            <w:pPr>
              <w:rPr>
                <w:rFonts w:ascii="Arial Narrow" w:hAnsi="Arial Narrow"/>
                <w:b/>
                <w:color w:val="1F497D" w:themeColor="text2"/>
                <w:sz w:val="24"/>
                <w:szCs w:val="24"/>
              </w:rPr>
            </w:pPr>
            <w:r>
              <w:rPr>
                <w:rFonts w:ascii="Arial Narrow" w:hAnsi="Arial Narrow"/>
                <w:b/>
                <w:color w:val="1F497D" w:themeColor="text2"/>
                <w:sz w:val="24"/>
                <w:szCs w:val="24"/>
              </w:rPr>
              <w:t>Εξαγωγές (σε $)</w:t>
            </w:r>
          </w:p>
        </w:tc>
        <w:tc>
          <w:tcPr>
            <w:tcW w:w="2443" w:type="dxa"/>
          </w:tcPr>
          <w:p w14:paraId="3E9F2D22" w14:textId="046BFDE5" w:rsidR="00FA36B3" w:rsidRPr="00FA36B3" w:rsidRDefault="0079582B" w:rsidP="00FA36B3">
            <w:pPr>
              <w:rPr>
                <w:rFonts w:ascii="Arial Narrow" w:hAnsi="Arial Narrow"/>
                <w:b/>
                <w:color w:val="1F497D" w:themeColor="text2"/>
                <w:sz w:val="24"/>
                <w:szCs w:val="24"/>
              </w:rPr>
            </w:pPr>
            <w:r>
              <w:rPr>
                <w:rFonts w:ascii="Arial Narrow" w:hAnsi="Arial Narrow"/>
                <w:b/>
                <w:color w:val="1F497D" w:themeColor="text2"/>
                <w:sz w:val="24"/>
                <w:szCs w:val="24"/>
              </w:rPr>
              <w:t>Σύνολο Εμπορίου</w:t>
            </w:r>
          </w:p>
        </w:tc>
      </w:tr>
      <w:tr w:rsidR="00FA36B3" w:rsidRPr="00FA36B3" w14:paraId="64CA20C9" w14:textId="77777777" w:rsidTr="00FA36B3">
        <w:tc>
          <w:tcPr>
            <w:tcW w:w="2442" w:type="dxa"/>
          </w:tcPr>
          <w:p w14:paraId="5BBE53B9" w14:textId="5B33EBC1" w:rsidR="00FA36B3" w:rsidRPr="00FA36B3" w:rsidRDefault="0079582B" w:rsidP="00FA36B3">
            <w:pPr>
              <w:rPr>
                <w:rFonts w:ascii="Arial Narrow" w:hAnsi="Arial Narrow"/>
                <w:b/>
                <w:color w:val="1F497D" w:themeColor="text2"/>
                <w:sz w:val="24"/>
                <w:szCs w:val="24"/>
              </w:rPr>
            </w:pPr>
            <w:r>
              <w:rPr>
                <w:rFonts w:ascii="Arial Narrow" w:hAnsi="Arial Narrow"/>
                <w:b/>
                <w:color w:val="1F497D" w:themeColor="text2"/>
                <w:sz w:val="24"/>
                <w:szCs w:val="24"/>
              </w:rPr>
              <w:t>2023</w:t>
            </w:r>
          </w:p>
        </w:tc>
        <w:tc>
          <w:tcPr>
            <w:tcW w:w="2443" w:type="dxa"/>
          </w:tcPr>
          <w:p w14:paraId="2F9EC6EF" w14:textId="4437BAD7" w:rsidR="00FA36B3" w:rsidRPr="00AF4978" w:rsidRDefault="0079582B" w:rsidP="00FA36B3">
            <w:pPr>
              <w:rPr>
                <w:rFonts w:ascii="Arial Narrow" w:hAnsi="Arial Narrow"/>
                <w:b/>
                <w:color w:val="1F497D" w:themeColor="text2"/>
                <w:sz w:val="24"/>
                <w:szCs w:val="24"/>
              </w:rPr>
            </w:pPr>
            <w:r>
              <w:rPr>
                <w:rFonts w:ascii="Arial Narrow" w:hAnsi="Arial Narrow"/>
                <w:b/>
                <w:color w:val="1F497D" w:themeColor="text2"/>
                <w:sz w:val="24"/>
                <w:szCs w:val="24"/>
              </w:rPr>
              <w:t xml:space="preserve">470 δις $ (1,73 τρις </w:t>
            </w:r>
            <w:r>
              <w:rPr>
                <w:rFonts w:ascii="Arial Narrow" w:hAnsi="Arial Narrow"/>
                <w:b/>
                <w:color w:val="1F497D" w:themeColor="text2"/>
                <w:sz w:val="24"/>
                <w:szCs w:val="24"/>
                <w:lang w:val="en-US"/>
              </w:rPr>
              <w:t>AED</w:t>
            </w:r>
            <w:r w:rsidRPr="0079582B">
              <w:rPr>
                <w:rFonts w:ascii="Arial Narrow" w:hAnsi="Arial Narrow"/>
                <w:b/>
                <w:color w:val="1F497D" w:themeColor="text2"/>
                <w:sz w:val="24"/>
                <w:szCs w:val="24"/>
              </w:rPr>
              <w:t>)</w:t>
            </w:r>
            <w:r w:rsidR="00AF4978" w:rsidRPr="00AF4978">
              <w:rPr>
                <w:rFonts w:ascii="Arial Narrow" w:hAnsi="Arial Narrow"/>
                <w:b/>
                <w:color w:val="1F497D" w:themeColor="text2"/>
                <w:sz w:val="24"/>
                <w:szCs w:val="24"/>
              </w:rPr>
              <w:t xml:space="preserve"> </w:t>
            </w:r>
            <w:r w:rsidRPr="0079582B">
              <w:rPr>
                <w:rFonts w:ascii="Arial Narrow" w:hAnsi="Arial Narrow"/>
                <w:b/>
                <w:color w:val="1F497D" w:themeColor="text2"/>
                <w:sz w:val="24"/>
                <w:szCs w:val="24"/>
              </w:rPr>
              <w:t xml:space="preserve">(2,36 </w:t>
            </w:r>
            <w:r>
              <w:rPr>
                <w:rFonts w:ascii="Arial Narrow" w:hAnsi="Arial Narrow"/>
                <w:b/>
                <w:color w:val="1F497D" w:themeColor="text2"/>
                <w:sz w:val="24"/>
                <w:szCs w:val="24"/>
              </w:rPr>
              <w:t xml:space="preserve">τρις </w:t>
            </w:r>
            <w:r>
              <w:rPr>
                <w:rFonts w:ascii="Arial Narrow" w:hAnsi="Arial Narrow"/>
                <w:b/>
                <w:color w:val="1F497D" w:themeColor="text2"/>
                <w:sz w:val="24"/>
                <w:szCs w:val="24"/>
                <w:lang w:val="en-US"/>
              </w:rPr>
              <w:t>AED</w:t>
            </w:r>
            <w:r w:rsidR="00AF4978" w:rsidRPr="00AF4978">
              <w:rPr>
                <w:rFonts w:ascii="Arial Narrow" w:hAnsi="Arial Narrow"/>
                <w:b/>
                <w:color w:val="1F497D" w:themeColor="text2"/>
                <w:sz w:val="24"/>
                <w:szCs w:val="24"/>
              </w:rPr>
              <w:t>)</w:t>
            </w:r>
          </w:p>
        </w:tc>
        <w:tc>
          <w:tcPr>
            <w:tcW w:w="2443" w:type="dxa"/>
          </w:tcPr>
          <w:p w14:paraId="794299C9" w14:textId="1D74DB5E" w:rsidR="00FA36B3" w:rsidRPr="00C365A7" w:rsidRDefault="0079582B" w:rsidP="00FA36B3">
            <w:pPr>
              <w:rPr>
                <w:rFonts w:ascii="Arial Narrow" w:hAnsi="Arial Narrow"/>
                <w:b/>
                <w:color w:val="1F497D" w:themeColor="text2"/>
                <w:sz w:val="24"/>
                <w:szCs w:val="24"/>
                <w:lang w:val="en-US"/>
              </w:rPr>
            </w:pPr>
            <w:r>
              <w:rPr>
                <w:rFonts w:ascii="Arial Narrow" w:hAnsi="Arial Narrow"/>
                <w:b/>
                <w:color w:val="1F497D" w:themeColor="text2"/>
                <w:sz w:val="24"/>
                <w:szCs w:val="24"/>
              </w:rPr>
              <w:t xml:space="preserve">570 δις </w:t>
            </w:r>
            <w:r w:rsidR="00C365A7">
              <w:rPr>
                <w:rFonts w:ascii="Arial Narrow" w:hAnsi="Arial Narrow"/>
                <w:b/>
                <w:color w:val="1F497D" w:themeColor="text2"/>
                <w:sz w:val="24"/>
                <w:szCs w:val="24"/>
              </w:rPr>
              <w:t xml:space="preserve">$ (2,09 τρις </w:t>
            </w:r>
            <w:r w:rsidR="00C365A7">
              <w:rPr>
                <w:rFonts w:ascii="Arial Narrow" w:hAnsi="Arial Narrow"/>
                <w:b/>
                <w:color w:val="1F497D" w:themeColor="text2"/>
                <w:sz w:val="24"/>
                <w:szCs w:val="24"/>
                <w:lang w:val="en-US"/>
              </w:rPr>
              <w:t>AED)</w:t>
            </w:r>
          </w:p>
        </w:tc>
        <w:tc>
          <w:tcPr>
            <w:tcW w:w="2443" w:type="dxa"/>
          </w:tcPr>
          <w:p w14:paraId="0B12A17E" w14:textId="7B8AB252" w:rsidR="00FA36B3" w:rsidRPr="007B11B7" w:rsidRDefault="00D01E22" w:rsidP="00FA36B3">
            <w:pPr>
              <w:rPr>
                <w:rFonts w:ascii="Arial Narrow" w:hAnsi="Arial Narrow"/>
                <w:b/>
                <w:color w:val="1F497D" w:themeColor="text2"/>
                <w:sz w:val="24"/>
                <w:szCs w:val="24"/>
                <w:lang w:val="en-US"/>
              </w:rPr>
            </w:pPr>
            <w:r>
              <w:rPr>
                <w:rFonts w:ascii="Arial Narrow" w:hAnsi="Arial Narrow"/>
                <w:b/>
                <w:color w:val="1F497D" w:themeColor="text2"/>
                <w:sz w:val="24"/>
                <w:szCs w:val="24"/>
              </w:rPr>
              <w:t xml:space="preserve">1,04 τρις </w:t>
            </w:r>
            <w:r w:rsidR="007B11B7">
              <w:rPr>
                <w:rFonts w:ascii="Arial Narrow" w:hAnsi="Arial Narrow"/>
                <w:b/>
                <w:color w:val="1F497D" w:themeColor="text2"/>
                <w:sz w:val="24"/>
                <w:szCs w:val="24"/>
              </w:rPr>
              <w:t xml:space="preserve">$ (3,82 τρις </w:t>
            </w:r>
            <w:r w:rsidR="007B11B7">
              <w:rPr>
                <w:rFonts w:ascii="Arial Narrow" w:hAnsi="Arial Narrow"/>
                <w:b/>
                <w:color w:val="1F497D" w:themeColor="text2"/>
                <w:sz w:val="24"/>
                <w:szCs w:val="24"/>
                <w:lang w:val="en-US"/>
              </w:rPr>
              <w:t>AED)</w:t>
            </w:r>
          </w:p>
        </w:tc>
      </w:tr>
      <w:tr w:rsidR="00FA36B3" w:rsidRPr="00FA36B3" w14:paraId="16D48E1B" w14:textId="77777777" w:rsidTr="00FA36B3">
        <w:tc>
          <w:tcPr>
            <w:tcW w:w="2442" w:type="dxa"/>
          </w:tcPr>
          <w:p w14:paraId="395899D5" w14:textId="281E9D2F" w:rsidR="00FA36B3" w:rsidRPr="00FA36B3" w:rsidRDefault="0079582B" w:rsidP="00FA36B3">
            <w:pPr>
              <w:rPr>
                <w:rFonts w:ascii="Arial Narrow" w:hAnsi="Arial Narrow"/>
                <w:b/>
                <w:color w:val="1F497D" w:themeColor="text2"/>
                <w:sz w:val="24"/>
                <w:szCs w:val="24"/>
              </w:rPr>
            </w:pPr>
            <w:r>
              <w:rPr>
                <w:rFonts w:ascii="Arial Narrow" w:hAnsi="Arial Narrow"/>
                <w:b/>
                <w:color w:val="1F497D" w:themeColor="text2"/>
                <w:sz w:val="24"/>
                <w:szCs w:val="24"/>
              </w:rPr>
              <w:t>2024</w:t>
            </w:r>
          </w:p>
        </w:tc>
        <w:tc>
          <w:tcPr>
            <w:tcW w:w="2443" w:type="dxa"/>
          </w:tcPr>
          <w:p w14:paraId="17125FEA" w14:textId="1A0F31F2" w:rsidR="00FA36B3" w:rsidRPr="00AF4978" w:rsidRDefault="0079582B" w:rsidP="00FA36B3">
            <w:pPr>
              <w:rPr>
                <w:rFonts w:ascii="Arial Narrow" w:hAnsi="Arial Narrow"/>
                <w:b/>
                <w:color w:val="1F497D" w:themeColor="text2"/>
                <w:sz w:val="24"/>
                <w:szCs w:val="24"/>
                <w:lang w:val="en-US"/>
              </w:rPr>
            </w:pPr>
            <w:r>
              <w:rPr>
                <w:rFonts w:ascii="Arial Narrow" w:hAnsi="Arial Narrow"/>
                <w:b/>
                <w:color w:val="1F497D" w:themeColor="text2"/>
                <w:sz w:val="24"/>
                <w:szCs w:val="24"/>
              </w:rPr>
              <w:t>644 δις $</w:t>
            </w:r>
            <w:r w:rsidR="00AF4978">
              <w:rPr>
                <w:rFonts w:ascii="Arial Narrow" w:hAnsi="Arial Narrow"/>
                <w:b/>
                <w:color w:val="1F497D" w:themeColor="text2"/>
                <w:sz w:val="24"/>
                <w:szCs w:val="24"/>
                <w:lang w:val="en-US"/>
              </w:rPr>
              <w:t xml:space="preserve"> (2,36 </w:t>
            </w:r>
            <w:r w:rsidR="00AF4978">
              <w:rPr>
                <w:rFonts w:ascii="Arial Narrow" w:hAnsi="Arial Narrow"/>
                <w:b/>
                <w:color w:val="1F497D" w:themeColor="text2"/>
                <w:sz w:val="24"/>
                <w:szCs w:val="24"/>
              </w:rPr>
              <w:t xml:space="preserve">τρις </w:t>
            </w:r>
            <w:r w:rsidR="00AF4978">
              <w:rPr>
                <w:rFonts w:ascii="Arial Narrow" w:hAnsi="Arial Narrow"/>
                <w:b/>
                <w:color w:val="1F497D" w:themeColor="text2"/>
                <w:sz w:val="24"/>
                <w:szCs w:val="24"/>
                <w:lang w:val="en-US"/>
              </w:rPr>
              <w:t>AED)</w:t>
            </w:r>
          </w:p>
        </w:tc>
        <w:tc>
          <w:tcPr>
            <w:tcW w:w="2443" w:type="dxa"/>
          </w:tcPr>
          <w:p w14:paraId="36F65E30" w14:textId="7E79A200" w:rsidR="00FA36B3" w:rsidRPr="00C365A7" w:rsidRDefault="00C365A7" w:rsidP="00FA36B3">
            <w:pPr>
              <w:rPr>
                <w:rFonts w:ascii="Arial Narrow" w:hAnsi="Arial Narrow"/>
                <w:b/>
                <w:color w:val="1F497D" w:themeColor="text2"/>
                <w:sz w:val="24"/>
                <w:szCs w:val="24"/>
                <w:lang w:val="en-US"/>
              </w:rPr>
            </w:pPr>
            <w:r>
              <w:rPr>
                <w:rFonts w:ascii="Arial Narrow" w:hAnsi="Arial Narrow"/>
                <w:b/>
                <w:color w:val="1F497D" w:themeColor="text2"/>
                <w:sz w:val="24"/>
                <w:szCs w:val="24"/>
                <w:lang w:val="en-US"/>
              </w:rPr>
              <w:t xml:space="preserve">603 </w:t>
            </w:r>
            <w:r>
              <w:rPr>
                <w:rFonts w:ascii="Arial Narrow" w:hAnsi="Arial Narrow"/>
                <w:b/>
                <w:color w:val="1F497D" w:themeColor="text2"/>
                <w:sz w:val="24"/>
                <w:szCs w:val="24"/>
              </w:rPr>
              <w:t xml:space="preserve">δις $ (2,22 τρις </w:t>
            </w:r>
            <w:r>
              <w:rPr>
                <w:rFonts w:ascii="Arial Narrow" w:hAnsi="Arial Narrow"/>
                <w:b/>
                <w:color w:val="1F497D" w:themeColor="text2"/>
                <w:sz w:val="24"/>
                <w:szCs w:val="24"/>
                <w:lang w:val="en-US"/>
              </w:rPr>
              <w:t>AED)</w:t>
            </w:r>
          </w:p>
        </w:tc>
        <w:tc>
          <w:tcPr>
            <w:tcW w:w="2443" w:type="dxa"/>
          </w:tcPr>
          <w:p w14:paraId="24882A89" w14:textId="56297113" w:rsidR="00FA36B3" w:rsidRPr="007B11B7" w:rsidRDefault="007B11B7" w:rsidP="00FA36B3">
            <w:pPr>
              <w:rPr>
                <w:rFonts w:ascii="Arial Narrow" w:hAnsi="Arial Narrow"/>
                <w:b/>
                <w:color w:val="1F497D" w:themeColor="text2"/>
                <w:sz w:val="24"/>
                <w:szCs w:val="24"/>
                <w:lang w:val="en-US"/>
              </w:rPr>
            </w:pPr>
            <w:r>
              <w:rPr>
                <w:rFonts w:ascii="Arial Narrow" w:hAnsi="Arial Narrow"/>
                <w:b/>
                <w:color w:val="1F497D" w:themeColor="text2"/>
                <w:sz w:val="24"/>
                <w:szCs w:val="24"/>
                <w:lang w:val="en-US"/>
              </w:rPr>
              <w:t xml:space="preserve">1,42 </w:t>
            </w:r>
            <w:r>
              <w:rPr>
                <w:rFonts w:ascii="Arial Narrow" w:hAnsi="Arial Narrow"/>
                <w:b/>
                <w:color w:val="1F497D" w:themeColor="text2"/>
                <w:sz w:val="24"/>
                <w:szCs w:val="24"/>
              </w:rPr>
              <w:t xml:space="preserve">τρις $ (5,23 τρις </w:t>
            </w:r>
            <w:r>
              <w:rPr>
                <w:rFonts w:ascii="Arial Narrow" w:hAnsi="Arial Narrow"/>
                <w:b/>
                <w:color w:val="1F497D" w:themeColor="text2"/>
                <w:sz w:val="24"/>
                <w:szCs w:val="24"/>
                <w:lang w:val="en-US"/>
              </w:rPr>
              <w:t>AED)</w:t>
            </w:r>
          </w:p>
        </w:tc>
      </w:tr>
      <w:tr w:rsidR="00FA36B3" w:rsidRPr="00FA36B3" w14:paraId="2A4DCE10" w14:textId="77777777" w:rsidTr="00FA36B3">
        <w:tc>
          <w:tcPr>
            <w:tcW w:w="2442" w:type="dxa"/>
          </w:tcPr>
          <w:p w14:paraId="735C6E75" w14:textId="29401950" w:rsidR="00FA36B3" w:rsidRPr="00FA36B3" w:rsidRDefault="0079582B" w:rsidP="00FA36B3">
            <w:pPr>
              <w:rPr>
                <w:rFonts w:ascii="Arial Narrow" w:hAnsi="Arial Narrow"/>
                <w:b/>
                <w:color w:val="1F497D" w:themeColor="text2"/>
                <w:sz w:val="24"/>
                <w:szCs w:val="24"/>
              </w:rPr>
            </w:pPr>
            <w:r>
              <w:rPr>
                <w:rFonts w:ascii="Arial Narrow" w:hAnsi="Arial Narrow"/>
                <w:b/>
                <w:color w:val="1F497D" w:themeColor="text2"/>
                <w:sz w:val="24"/>
                <w:szCs w:val="24"/>
              </w:rPr>
              <w:t>2025 (εκτίμηση)</w:t>
            </w:r>
          </w:p>
        </w:tc>
        <w:tc>
          <w:tcPr>
            <w:tcW w:w="2443" w:type="dxa"/>
          </w:tcPr>
          <w:p w14:paraId="3C0677BD" w14:textId="76A32E31" w:rsidR="00FA36B3" w:rsidRPr="00AF4978" w:rsidRDefault="00AF4978" w:rsidP="00FA36B3">
            <w:pPr>
              <w:rPr>
                <w:rFonts w:ascii="Arial Narrow" w:hAnsi="Arial Narrow"/>
                <w:b/>
                <w:color w:val="1F497D" w:themeColor="text2"/>
                <w:sz w:val="24"/>
                <w:szCs w:val="24"/>
              </w:rPr>
            </w:pPr>
            <w:r>
              <w:rPr>
                <w:rFonts w:ascii="Arial Narrow" w:hAnsi="Arial Narrow"/>
                <w:b/>
                <w:color w:val="1F497D" w:themeColor="text2"/>
                <w:sz w:val="24"/>
                <w:szCs w:val="24"/>
                <w:lang w:val="en-US"/>
              </w:rPr>
              <w:t>680</w:t>
            </w:r>
            <w:r>
              <w:rPr>
                <w:rFonts w:ascii="Arial Narrow" w:hAnsi="Arial Narrow"/>
                <w:b/>
                <w:color w:val="1F497D" w:themeColor="text2"/>
                <w:sz w:val="24"/>
                <w:szCs w:val="24"/>
              </w:rPr>
              <w:t xml:space="preserve"> έως 735 δις $</w:t>
            </w:r>
            <w:r w:rsidR="00C365A7">
              <w:rPr>
                <w:rFonts w:ascii="Arial Narrow" w:hAnsi="Arial Narrow"/>
                <w:b/>
                <w:color w:val="1F497D" w:themeColor="text2"/>
                <w:sz w:val="24"/>
                <w:szCs w:val="24"/>
              </w:rPr>
              <w:t xml:space="preserve"> </w:t>
            </w:r>
          </w:p>
        </w:tc>
        <w:tc>
          <w:tcPr>
            <w:tcW w:w="2443" w:type="dxa"/>
          </w:tcPr>
          <w:p w14:paraId="5F2C639A" w14:textId="272FC34A" w:rsidR="00FA36B3" w:rsidRPr="00C365A7" w:rsidRDefault="00C365A7" w:rsidP="00FA36B3">
            <w:pPr>
              <w:rPr>
                <w:rFonts w:ascii="Arial Narrow" w:hAnsi="Arial Narrow"/>
                <w:b/>
                <w:color w:val="1F497D" w:themeColor="text2"/>
                <w:sz w:val="24"/>
                <w:szCs w:val="24"/>
              </w:rPr>
            </w:pPr>
            <w:r>
              <w:rPr>
                <w:rFonts w:ascii="Arial Narrow" w:hAnsi="Arial Narrow"/>
                <w:b/>
                <w:color w:val="1F497D" w:themeColor="text2"/>
                <w:sz w:val="24"/>
                <w:szCs w:val="24"/>
                <w:lang w:val="en-US"/>
              </w:rPr>
              <w:t xml:space="preserve">670 </w:t>
            </w:r>
            <w:r>
              <w:rPr>
                <w:rFonts w:ascii="Arial Narrow" w:hAnsi="Arial Narrow"/>
                <w:b/>
                <w:color w:val="1F497D" w:themeColor="text2"/>
                <w:sz w:val="24"/>
                <w:szCs w:val="24"/>
              </w:rPr>
              <w:t>έως 710 δις $</w:t>
            </w:r>
          </w:p>
        </w:tc>
        <w:tc>
          <w:tcPr>
            <w:tcW w:w="2443" w:type="dxa"/>
          </w:tcPr>
          <w:p w14:paraId="44F5F1E6" w14:textId="5A617732" w:rsidR="00FA36B3" w:rsidRPr="007B11B7" w:rsidRDefault="007B11B7" w:rsidP="00FA36B3">
            <w:pPr>
              <w:rPr>
                <w:rFonts w:ascii="Arial Narrow" w:hAnsi="Arial Narrow"/>
                <w:b/>
                <w:color w:val="1F497D" w:themeColor="text2"/>
                <w:sz w:val="24"/>
                <w:szCs w:val="24"/>
              </w:rPr>
            </w:pPr>
            <w:r w:rsidRPr="007B11B7">
              <w:rPr>
                <w:rFonts w:ascii="Arial Narrow" w:hAnsi="Arial Narrow"/>
                <w:b/>
                <w:color w:val="1F497D" w:themeColor="text2"/>
                <w:sz w:val="24"/>
                <w:szCs w:val="24"/>
              </w:rPr>
              <w:t>1,55</w:t>
            </w:r>
            <w:r>
              <w:rPr>
                <w:rFonts w:ascii="Arial Narrow" w:hAnsi="Arial Narrow"/>
                <w:b/>
                <w:color w:val="1F497D" w:themeColor="text2"/>
                <w:sz w:val="24"/>
                <w:szCs w:val="24"/>
              </w:rPr>
              <w:t xml:space="preserve"> έως 1,63 τρις $ (5,7 έως 6,0 τρις </w:t>
            </w:r>
            <w:r>
              <w:rPr>
                <w:rFonts w:ascii="Arial Narrow" w:hAnsi="Arial Narrow"/>
                <w:b/>
                <w:color w:val="1F497D" w:themeColor="text2"/>
                <w:sz w:val="24"/>
                <w:szCs w:val="24"/>
                <w:lang w:val="en-US"/>
              </w:rPr>
              <w:t>AED</w:t>
            </w:r>
            <w:r w:rsidRPr="007B11B7">
              <w:rPr>
                <w:rFonts w:ascii="Arial Narrow" w:hAnsi="Arial Narrow"/>
                <w:b/>
                <w:color w:val="1F497D" w:themeColor="text2"/>
                <w:sz w:val="24"/>
                <w:szCs w:val="24"/>
              </w:rPr>
              <w:t>)</w:t>
            </w:r>
          </w:p>
        </w:tc>
      </w:tr>
    </w:tbl>
    <w:p w14:paraId="28933DD9" w14:textId="66963BE4" w:rsidR="00FA36B3" w:rsidRDefault="007B11B7" w:rsidP="00FA36B3">
      <w:pPr>
        <w:rPr>
          <w:rFonts w:ascii="Arial Narrow" w:hAnsi="Arial Narrow"/>
          <w:b/>
          <w:color w:val="1F497D" w:themeColor="text2"/>
          <w:sz w:val="24"/>
          <w:szCs w:val="24"/>
        </w:rPr>
      </w:pPr>
      <w:r>
        <w:rPr>
          <w:rFonts w:ascii="Arial Narrow" w:hAnsi="Arial Narrow"/>
          <w:b/>
          <w:color w:val="1F497D" w:themeColor="text2"/>
          <w:sz w:val="24"/>
          <w:szCs w:val="24"/>
        </w:rPr>
        <w:t>Πηγές: Παγκόσμια Τράπεζα (</w:t>
      </w:r>
      <w:r>
        <w:rPr>
          <w:rFonts w:ascii="Arial Narrow" w:hAnsi="Arial Narrow"/>
          <w:b/>
          <w:color w:val="1F497D" w:themeColor="text2"/>
          <w:sz w:val="24"/>
          <w:szCs w:val="24"/>
          <w:lang w:val="en-US"/>
        </w:rPr>
        <w:t>WORLD</w:t>
      </w:r>
      <w:r w:rsidRPr="007B11B7">
        <w:rPr>
          <w:rFonts w:ascii="Arial Narrow" w:hAnsi="Arial Narrow"/>
          <w:b/>
          <w:color w:val="1F497D" w:themeColor="text2"/>
          <w:sz w:val="24"/>
          <w:szCs w:val="24"/>
        </w:rPr>
        <w:t xml:space="preserve"> </w:t>
      </w:r>
      <w:r>
        <w:rPr>
          <w:rFonts w:ascii="Arial Narrow" w:hAnsi="Arial Narrow"/>
          <w:b/>
          <w:color w:val="1F497D" w:themeColor="text2"/>
          <w:sz w:val="24"/>
          <w:szCs w:val="24"/>
          <w:lang w:val="en-US"/>
        </w:rPr>
        <w:t>BANK</w:t>
      </w:r>
      <w:r w:rsidRPr="007B11B7">
        <w:rPr>
          <w:rFonts w:ascii="Arial Narrow" w:hAnsi="Arial Narrow"/>
          <w:b/>
          <w:color w:val="1F497D" w:themeColor="text2"/>
          <w:sz w:val="24"/>
          <w:szCs w:val="24"/>
        </w:rPr>
        <w:t xml:space="preserve">) </w:t>
      </w:r>
      <w:r w:rsidR="0034064B">
        <w:rPr>
          <w:rFonts w:ascii="Arial Narrow" w:hAnsi="Arial Narrow"/>
          <w:b/>
          <w:color w:val="1F497D" w:themeColor="text2"/>
          <w:sz w:val="24"/>
          <w:szCs w:val="24"/>
        </w:rPr>
        <w:t xml:space="preserve">&amp; </w:t>
      </w:r>
      <w:r w:rsidR="0034064B">
        <w:rPr>
          <w:rFonts w:ascii="Arial Narrow" w:hAnsi="Arial Narrow"/>
          <w:b/>
          <w:color w:val="1F497D" w:themeColor="text2"/>
          <w:sz w:val="24"/>
          <w:szCs w:val="24"/>
          <w:lang w:val="en-US"/>
        </w:rPr>
        <w:t>WITS</w:t>
      </w:r>
    </w:p>
    <w:p w14:paraId="23E13510" w14:textId="77777777" w:rsidR="00BA4531" w:rsidRDefault="0034064B" w:rsidP="00BA4531">
      <w:pPr>
        <w:jc w:val="both"/>
        <w:rPr>
          <w:rFonts w:ascii="Arial Narrow" w:hAnsi="Arial Narrow"/>
          <w:sz w:val="24"/>
          <w:szCs w:val="24"/>
        </w:rPr>
      </w:pPr>
      <w:r>
        <w:rPr>
          <w:rFonts w:ascii="Arial Narrow" w:hAnsi="Arial Narrow"/>
          <w:sz w:val="24"/>
          <w:szCs w:val="24"/>
        </w:rPr>
        <w:t xml:space="preserve">Κρίσιμες Παρατηρήσεις είναι η αλματώδης αύξηση του εξωτερικού εμπορίου των ΗΑΕ μετά το 2023 από +30% έως και +50%, η χρησιμότητα των </w:t>
      </w:r>
      <w:r>
        <w:rPr>
          <w:rFonts w:ascii="Arial Narrow" w:hAnsi="Arial Narrow"/>
          <w:sz w:val="24"/>
          <w:szCs w:val="24"/>
          <w:lang w:val="en-US"/>
        </w:rPr>
        <w:t>Re</w:t>
      </w:r>
      <w:r w:rsidRPr="0034064B">
        <w:rPr>
          <w:rFonts w:ascii="Arial Narrow" w:hAnsi="Arial Narrow"/>
          <w:sz w:val="24"/>
          <w:szCs w:val="24"/>
        </w:rPr>
        <w:t>-</w:t>
      </w:r>
      <w:r>
        <w:rPr>
          <w:rFonts w:ascii="Arial Narrow" w:hAnsi="Arial Narrow"/>
          <w:sz w:val="24"/>
          <w:szCs w:val="24"/>
          <w:lang w:val="en-US"/>
        </w:rPr>
        <w:t>exports</w:t>
      </w:r>
      <w:r w:rsidRPr="0034064B">
        <w:rPr>
          <w:rFonts w:ascii="Arial Narrow" w:hAnsi="Arial Narrow"/>
          <w:sz w:val="24"/>
          <w:szCs w:val="24"/>
        </w:rPr>
        <w:t xml:space="preserve">, </w:t>
      </w:r>
      <w:r w:rsidR="00123AA1">
        <w:rPr>
          <w:rFonts w:ascii="Arial Narrow" w:hAnsi="Arial Narrow"/>
          <w:sz w:val="24"/>
          <w:szCs w:val="24"/>
        </w:rPr>
        <w:t xml:space="preserve">οι οποίες λειτούργησαν, ιδιαίτερα στο Εμιράτο του Ντουμπάϊ, ως παγκόσμιο </w:t>
      </w:r>
      <w:r w:rsidR="00123AA1">
        <w:rPr>
          <w:rFonts w:ascii="Arial Narrow" w:hAnsi="Arial Narrow"/>
          <w:sz w:val="24"/>
          <w:szCs w:val="24"/>
          <w:lang w:val="en-US"/>
        </w:rPr>
        <w:t>logistics</w:t>
      </w:r>
      <w:r w:rsidR="00123AA1" w:rsidRPr="00123AA1">
        <w:rPr>
          <w:rFonts w:ascii="Arial Narrow" w:hAnsi="Arial Narrow"/>
          <w:sz w:val="24"/>
          <w:szCs w:val="24"/>
        </w:rPr>
        <w:t xml:space="preserve"> </w:t>
      </w:r>
      <w:r w:rsidR="00123AA1">
        <w:rPr>
          <w:rFonts w:ascii="Arial Narrow" w:hAnsi="Arial Narrow"/>
          <w:sz w:val="24"/>
          <w:szCs w:val="24"/>
          <w:lang w:val="en-US"/>
        </w:rPr>
        <w:t>hub</w:t>
      </w:r>
      <w:r w:rsidR="00123AA1" w:rsidRPr="00123AA1">
        <w:rPr>
          <w:rFonts w:ascii="Arial Narrow" w:hAnsi="Arial Narrow"/>
          <w:sz w:val="24"/>
          <w:szCs w:val="24"/>
        </w:rPr>
        <w:t xml:space="preserve">, </w:t>
      </w:r>
      <w:r w:rsidR="00123AA1">
        <w:rPr>
          <w:rFonts w:ascii="Arial Narrow" w:hAnsi="Arial Narrow"/>
          <w:sz w:val="24"/>
          <w:szCs w:val="24"/>
        </w:rPr>
        <w:t xml:space="preserve">στις εισαγωγές και εξαγωγές </w:t>
      </w:r>
      <w:r w:rsidR="00BA4531">
        <w:rPr>
          <w:rFonts w:ascii="Arial Narrow" w:hAnsi="Arial Narrow"/>
          <w:sz w:val="24"/>
          <w:szCs w:val="24"/>
        </w:rPr>
        <w:t xml:space="preserve">παρατηρείται σχεδόν ισορροπημένο ισοζύγιο καθώς και η σημαντική διαφοροποίηση της εμιρατινής οικονομίας από προϊόντα, όπως χρυσός, τεχνολογία, αυτοκίνητα, πετρέλαιο και </w:t>
      </w:r>
      <w:r w:rsidR="00BA4531">
        <w:rPr>
          <w:rFonts w:ascii="Arial Narrow" w:hAnsi="Arial Narrow"/>
          <w:sz w:val="24"/>
          <w:szCs w:val="24"/>
          <w:lang w:val="en-US"/>
        </w:rPr>
        <w:t>logistics</w:t>
      </w:r>
      <w:r w:rsidR="00BA4531" w:rsidRPr="00BA4531">
        <w:rPr>
          <w:rFonts w:ascii="Arial Narrow" w:hAnsi="Arial Narrow"/>
          <w:sz w:val="24"/>
          <w:szCs w:val="24"/>
        </w:rPr>
        <w:t xml:space="preserve">. </w:t>
      </w:r>
    </w:p>
    <w:p w14:paraId="089D639A" w14:textId="0ED7AE4D" w:rsidR="001D6F88" w:rsidRDefault="009E351D" w:rsidP="00BA4531">
      <w:pPr>
        <w:jc w:val="both"/>
        <w:rPr>
          <w:rFonts w:ascii="Arial Narrow" w:hAnsi="Arial Narrow"/>
          <w:b/>
          <w:color w:val="1F497D" w:themeColor="text2"/>
          <w:sz w:val="28"/>
          <w:szCs w:val="28"/>
        </w:rPr>
      </w:pPr>
      <w:r w:rsidRPr="00BA4531">
        <w:rPr>
          <w:rFonts w:ascii="Arial Narrow" w:hAnsi="Arial Narrow"/>
          <w:b/>
          <w:color w:val="1F497D" w:themeColor="text2"/>
          <w:sz w:val="28"/>
          <w:szCs w:val="28"/>
        </w:rPr>
        <w:t xml:space="preserve">4. </w:t>
      </w:r>
      <w:r w:rsidR="00B3162C" w:rsidRPr="00BA4531">
        <w:rPr>
          <w:rFonts w:ascii="Arial Narrow" w:hAnsi="Arial Narrow"/>
          <w:b/>
          <w:color w:val="1F497D" w:themeColor="text2"/>
          <w:sz w:val="28"/>
          <w:szCs w:val="28"/>
        </w:rPr>
        <w:t>Ο</w:t>
      </w:r>
      <w:r w:rsidR="00275B05" w:rsidRPr="00BA4531">
        <w:rPr>
          <w:rFonts w:ascii="Arial Narrow" w:hAnsi="Arial Narrow"/>
          <w:b/>
          <w:color w:val="1F497D" w:themeColor="text2"/>
          <w:sz w:val="28"/>
          <w:szCs w:val="28"/>
        </w:rPr>
        <w:t>ΙΚΟΝΟΜΙΚΕΣ ΣΧΕΣΕΙΣ</w:t>
      </w:r>
      <w:r w:rsidR="00B3162C" w:rsidRPr="00BA4531">
        <w:rPr>
          <w:rFonts w:ascii="Arial Narrow" w:hAnsi="Arial Narrow"/>
          <w:b/>
          <w:color w:val="1F497D" w:themeColor="text2"/>
          <w:sz w:val="28"/>
          <w:szCs w:val="28"/>
        </w:rPr>
        <w:t xml:space="preserve"> Ε</w:t>
      </w:r>
      <w:r w:rsidR="00275B05" w:rsidRPr="00BA4531">
        <w:rPr>
          <w:rFonts w:ascii="Arial Narrow" w:hAnsi="Arial Narrow"/>
          <w:b/>
          <w:color w:val="1F497D" w:themeColor="text2"/>
          <w:sz w:val="28"/>
          <w:szCs w:val="28"/>
        </w:rPr>
        <w:t>ΛΛΑΔΑΣ</w:t>
      </w:r>
      <w:r w:rsidR="00B3162C" w:rsidRPr="00BA4531">
        <w:rPr>
          <w:rFonts w:ascii="Arial Narrow" w:hAnsi="Arial Narrow"/>
          <w:b/>
          <w:color w:val="1F497D" w:themeColor="text2"/>
          <w:sz w:val="28"/>
          <w:szCs w:val="28"/>
        </w:rPr>
        <w:t xml:space="preserve"> – </w:t>
      </w:r>
      <w:r w:rsidR="00E77DDB" w:rsidRPr="00BA4531">
        <w:rPr>
          <w:rFonts w:ascii="Arial Narrow" w:hAnsi="Arial Narrow"/>
          <w:b/>
          <w:color w:val="1F497D" w:themeColor="text2"/>
          <w:sz w:val="28"/>
          <w:szCs w:val="28"/>
        </w:rPr>
        <w:t>ΗΑΕ</w:t>
      </w:r>
      <w:bookmarkEnd w:id="46"/>
    </w:p>
    <w:p w14:paraId="026EC7DE" w14:textId="77777777" w:rsidR="00A52932" w:rsidRDefault="00BA4531" w:rsidP="00A52932">
      <w:pPr>
        <w:ind w:firstLine="851"/>
        <w:jc w:val="both"/>
        <w:rPr>
          <w:rFonts w:ascii="Times New Roman" w:hAnsi="Times New Roman" w:cs="Times New Roman"/>
        </w:rPr>
      </w:pPr>
      <w:r>
        <w:rPr>
          <w:rFonts w:ascii="Arial Narrow" w:hAnsi="Arial Narrow"/>
          <w:sz w:val="24"/>
          <w:szCs w:val="24"/>
          <w:lang w:val="en-US"/>
        </w:rPr>
        <w:t>T</w:t>
      </w:r>
      <w:r>
        <w:rPr>
          <w:rFonts w:ascii="Arial Narrow" w:hAnsi="Arial Narrow"/>
          <w:sz w:val="24"/>
          <w:szCs w:val="24"/>
        </w:rPr>
        <w:t xml:space="preserve">ο διμερές εμπόριο Ελλάδος – Ηνωμένων Αραβικών Εμιράτων τα τελευταία χρόνια χαρακτηρίζεται από σταθερά ελλειμματικό ισοζύγιο με την Ελλάδα (λόγω εισαγωγών πετρελαιοειδών &amp; ενεργειακών προϊόντων), σημαντική αύξηση των ελληνικών εξαγωγών σε τρόφιμα, φαρμακευτικά και χημικά, δομικά υλικά, μηχανήματα και </w:t>
      </w:r>
      <w:r w:rsidR="000D3D64">
        <w:rPr>
          <w:rFonts w:ascii="Arial Narrow" w:hAnsi="Arial Narrow"/>
          <w:sz w:val="24"/>
          <w:szCs w:val="24"/>
        </w:rPr>
        <w:t xml:space="preserve">ναυτιλιακό εξοπλισμό και ενίσχυση της επενδυτικής συνεργασίας σε τομείς, όπως </w:t>
      </w:r>
      <w:r w:rsidR="00A52932">
        <w:rPr>
          <w:rFonts w:ascii="Arial Narrow" w:hAnsi="Arial Narrow"/>
          <w:sz w:val="24"/>
          <w:szCs w:val="24"/>
          <w:lang w:val="en-US"/>
        </w:rPr>
        <w:t>real</w:t>
      </w:r>
      <w:r w:rsidR="00A52932" w:rsidRPr="00A52932">
        <w:rPr>
          <w:rFonts w:ascii="Arial Narrow" w:hAnsi="Arial Narrow"/>
          <w:sz w:val="24"/>
          <w:szCs w:val="24"/>
        </w:rPr>
        <w:t xml:space="preserve"> </w:t>
      </w:r>
      <w:r w:rsidR="00A52932">
        <w:rPr>
          <w:rFonts w:ascii="Arial Narrow" w:hAnsi="Arial Narrow"/>
          <w:sz w:val="24"/>
          <w:szCs w:val="24"/>
          <w:lang w:val="en-US"/>
        </w:rPr>
        <w:t>estate</w:t>
      </w:r>
      <w:r w:rsidR="00A52932" w:rsidRPr="00A52932">
        <w:rPr>
          <w:rFonts w:ascii="Arial Narrow" w:hAnsi="Arial Narrow"/>
          <w:sz w:val="24"/>
          <w:szCs w:val="24"/>
        </w:rPr>
        <w:t xml:space="preserve">, </w:t>
      </w:r>
      <w:r w:rsidR="00A52932">
        <w:rPr>
          <w:rFonts w:ascii="Arial Narrow" w:hAnsi="Arial Narrow"/>
          <w:sz w:val="24"/>
          <w:szCs w:val="24"/>
        </w:rPr>
        <w:t xml:space="preserve">ενέργεια και </w:t>
      </w:r>
      <w:r w:rsidR="00A52932">
        <w:rPr>
          <w:rFonts w:ascii="Arial Narrow" w:hAnsi="Arial Narrow"/>
          <w:sz w:val="24"/>
          <w:szCs w:val="24"/>
          <w:lang w:val="en-US"/>
        </w:rPr>
        <w:t>logistics</w:t>
      </w:r>
      <w:r w:rsidR="00A52932" w:rsidRPr="00A52932">
        <w:rPr>
          <w:rFonts w:ascii="Arial Narrow" w:hAnsi="Arial Narrow"/>
          <w:sz w:val="24"/>
          <w:szCs w:val="24"/>
        </w:rPr>
        <w:t xml:space="preserve">. </w:t>
      </w:r>
      <w:r w:rsidR="00A52932" w:rsidRPr="003805B9">
        <w:rPr>
          <w:rFonts w:ascii="Times New Roman" w:hAnsi="Times New Roman" w:cs="Times New Roman"/>
        </w:rPr>
        <w:t>Ο παρακάτω Πίνακας αποτυπώνει συνοπτικά τα ανωτέρω:</w:t>
      </w:r>
    </w:p>
    <w:p w14:paraId="6EF636E9" w14:textId="39EAD5D2" w:rsidR="00A52932" w:rsidRPr="00864EE2" w:rsidRDefault="00A52932" w:rsidP="00A52932">
      <w:pPr>
        <w:pStyle w:val="Caption"/>
        <w:jc w:val="center"/>
        <w:rPr>
          <w:rFonts w:ascii="Arial Narrow" w:hAnsi="Arial Narrow"/>
          <w:sz w:val="28"/>
          <w:szCs w:val="28"/>
        </w:rPr>
      </w:pPr>
      <w:r w:rsidRPr="00864EE2">
        <w:rPr>
          <w:rFonts w:ascii="Arial Narrow" w:hAnsi="Arial Narrow"/>
          <w:sz w:val="28"/>
          <w:szCs w:val="28"/>
        </w:rPr>
        <w:t xml:space="preserve">Πίνακας </w:t>
      </w:r>
      <w:r w:rsidR="00451B2E">
        <w:rPr>
          <w:rFonts w:ascii="Arial Narrow" w:hAnsi="Arial Narrow"/>
          <w:sz w:val="28"/>
          <w:szCs w:val="28"/>
        </w:rPr>
        <w:t xml:space="preserve">17 </w:t>
      </w:r>
      <w:r w:rsidR="00026058" w:rsidRPr="00026058">
        <w:rPr>
          <w:rFonts w:ascii="Arial Narrow" w:hAnsi="Arial Narrow"/>
          <w:sz w:val="28"/>
          <w:szCs w:val="28"/>
        </w:rPr>
        <w:t xml:space="preserve"> </w:t>
      </w:r>
      <w:r w:rsidR="00864EE2" w:rsidRPr="00864EE2">
        <w:rPr>
          <w:rFonts w:ascii="Arial Narrow" w:hAnsi="Arial Narrow"/>
          <w:sz w:val="28"/>
          <w:szCs w:val="28"/>
        </w:rPr>
        <w:t xml:space="preserve"> - </w:t>
      </w:r>
      <w:r w:rsidRPr="00864EE2">
        <w:rPr>
          <w:rFonts w:ascii="Arial Narrow" w:hAnsi="Arial Narrow"/>
          <w:sz w:val="28"/>
          <w:szCs w:val="28"/>
        </w:rPr>
        <w:t>Εμπορικό Ισοζύγιο Ελλάδας – ΗΑΕ -  Αξία σε Ευρώ</w:t>
      </w:r>
    </w:p>
    <w:p w14:paraId="03466F2E" w14:textId="1DA21EE5" w:rsidR="00BA4531" w:rsidRDefault="00BA4531" w:rsidP="00BA4531">
      <w:pPr>
        <w:jc w:val="both"/>
        <w:rPr>
          <w:rFonts w:ascii="Arial Narrow" w:hAnsi="Arial Narrow"/>
          <w:sz w:val="24"/>
          <w:szCs w:val="24"/>
        </w:rPr>
      </w:pPr>
    </w:p>
    <w:tbl>
      <w:tblPr>
        <w:tblW w:w="10324" w:type="dxa"/>
        <w:tblLook w:val="04A0" w:firstRow="1" w:lastRow="0" w:firstColumn="1" w:lastColumn="0" w:noHBand="0" w:noVBand="1"/>
      </w:tblPr>
      <w:tblGrid>
        <w:gridCol w:w="1925"/>
        <w:gridCol w:w="1338"/>
        <w:gridCol w:w="1338"/>
        <w:gridCol w:w="1332"/>
        <w:gridCol w:w="1407"/>
        <w:gridCol w:w="1613"/>
        <w:gridCol w:w="1371"/>
      </w:tblGrid>
      <w:tr w:rsidR="00A52932" w:rsidRPr="0064703D" w14:paraId="13C93517" w14:textId="77777777" w:rsidTr="00095555">
        <w:trPr>
          <w:trHeight w:val="570"/>
        </w:trPr>
        <w:tc>
          <w:tcPr>
            <w:tcW w:w="1925" w:type="dxa"/>
            <w:tcBorders>
              <w:top w:val="single" w:sz="8" w:space="0" w:color="95B3D7"/>
              <w:left w:val="nil"/>
              <w:bottom w:val="nil"/>
              <w:right w:val="nil"/>
            </w:tcBorders>
            <w:shd w:val="clear" w:color="000000" w:fill="DCE6F1"/>
            <w:vAlign w:val="center"/>
            <w:hideMark/>
          </w:tcPr>
          <w:p w14:paraId="66903A5B" w14:textId="77777777" w:rsidR="00A52932" w:rsidRPr="0064703D" w:rsidRDefault="00A52932" w:rsidP="00375BAC">
            <w:pPr>
              <w:jc w:val="center"/>
              <w:rPr>
                <w:b/>
                <w:bCs/>
                <w:color w:val="000000"/>
                <w:lang w:val="en-AE" w:eastAsia="en-AE"/>
              </w:rPr>
            </w:pPr>
            <w:r w:rsidRPr="0064703D">
              <w:rPr>
                <w:b/>
                <w:bCs/>
                <w:color w:val="000000"/>
                <w:lang w:eastAsia="en-AE"/>
              </w:rPr>
              <w:t>Χώρα Αναφοράς: Ελλάδα,</w:t>
            </w:r>
          </w:p>
        </w:tc>
        <w:tc>
          <w:tcPr>
            <w:tcW w:w="1338" w:type="dxa"/>
            <w:vMerge w:val="restart"/>
            <w:tcBorders>
              <w:top w:val="single" w:sz="8" w:space="0" w:color="95B3D7"/>
              <w:left w:val="nil"/>
              <w:bottom w:val="single" w:sz="8" w:space="0" w:color="95B3D7"/>
              <w:right w:val="nil"/>
            </w:tcBorders>
            <w:shd w:val="clear" w:color="000000" w:fill="DCE6F1"/>
            <w:vAlign w:val="center"/>
            <w:hideMark/>
          </w:tcPr>
          <w:p w14:paraId="461BA573" w14:textId="659D2574" w:rsidR="00A52932" w:rsidRPr="0064703D" w:rsidRDefault="00A52932" w:rsidP="00375BAC">
            <w:pPr>
              <w:jc w:val="center"/>
              <w:rPr>
                <w:b/>
                <w:bCs/>
                <w:color w:val="000000"/>
                <w:lang w:val="en-AE" w:eastAsia="en-AE"/>
              </w:rPr>
            </w:pPr>
            <w:r>
              <w:rPr>
                <w:b/>
                <w:bCs/>
                <w:color w:val="000000"/>
                <w:lang w:val="en-AE" w:eastAsia="en-AE"/>
              </w:rPr>
              <w:t>2024</w:t>
            </w:r>
          </w:p>
        </w:tc>
        <w:tc>
          <w:tcPr>
            <w:tcW w:w="1338" w:type="dxa"/>
            <w:vMerge w:val="restart"/>
            <w:tcBorders>
              <w:top w:val="single" w:sz="8" w:space="0" w:color="95B3D7"/>
              <w:left w:val="nil"/>
              <w:bottom w:val="single" w:sz="8" w:space="0" w:color="95B3D7"/>
              <w:right w:val="nil"/>
            </w:tcBorders>
            <w:shd w:val="clear" w:color="000000" w:fill="DCE6F1"/>
            <w:vAlign w:val="center"/>
            <w:hideMark/>
          </w:tcPr>
          <w:p w14:paraId="2DA7184D" w14:textId="5EAAB0EA" w:rsidR="00A52932" w:rsidRPr="0064703D" w:rsidRDefault="00A52932" w:rsidP="00375BAC">
            <w:pPr>
              <w:jc w:val="center"/>
              <w:rPr>
                <w:b/>
                <w:bCs/>
                <w:color w:val="000000"/>
                <w:lang w:val="en-AE" w:eastAsia="en-AE"/>
              </w:rPr>
            </w:pPr>
            <w:r w:rsidRPr="0064703D">
              <w:rPr>
                <w:b/>
                <w:bCs/>
                <w:color w:val="000000"/>
                <w:lang w:val="en-US" w:eastAsia="en-AE"/>
              </w:rPr>
              <w:t>202</w:t>
            </w:r>
            <w:r>
              <w:rPr>
                <w:b/>
                <w:bCs/>
                <w:color w:val="000000"/>
                <w:lang w:val="en-US" w:eastAsia="en-AE"/>
              </w:rPr>
              <w:t>5</w:t>
            </w:r>
          </w:p>
        </w:tc>
        <w:tc>
          <w:tcPr>
            <w:tcW w:w="1332" w:type="dxa"/>
            <w:vMerge w:val="restart"/>
            <w:tcBorders>
              <w:top w:val="single" w:sz="8" w:space="0" w:color="95B3D7"/>
              <w:left w:val="nil"/>
              <w:bottom w:val="single" w:sz="8" w:space="0" w:color="95B3D7"/>
              <w:right w:val="nil"/>
            </w:tcBorders>
            <w:shd w:val="clear" w:color="000000" w:fill="DCE6F1"/>
            <w:vAlign w:val="center"/>
            <w:hideMark/>
          </w:tcPr>
          <w:p w14:paraId="7E5C0E8C" w14:textId="62983F61" w:rsidR="00A52932" w:rsidRPr="00A52932" w:rsidRDefault="00A52932" w:rsidP="00375BAC">
            <w:pPr>
              <w:jc w:val="center"/>
              <w:rPr>
                <w:b/>
                <w:bCs/>
                <w:color w:val="000000"/>
                <w:lang w:eastAsia="en-AE"/>
              </w:rPr>
            </w:pPr>
            <w:r>
              <w:rPr>
                <w:b/>
                <w:bCs/>
                <w:color w:val="000000"/>
                <w:lang w:eastAsia="en-AE"/>
              </w:rPr>
              <w:t>Μεταβολή % 2024/2025</w:t>
            </w:r>
          </w:p>
        </w:tc>
        <w:tc>
          <w:tcPr>
            <w:tcW w:w="1407" w:type="dxa"/>
            <w:vMerge w:val="restart"/>
            <w:tcBorders>
              <w:top w:val="single" w:sz="8" w:space="0" w:color="95B3D7"/>
              <w:left w:val="nil"/>
              <w:bottom w:val="single" w:sz="8" w:space="0" w:color="95B3D7"/>
              <w:right w:val="nil"/>
            </w:tcBorders>
            <w:shd w:val="clear" w:color="000000" w:fill="DCE6F1"/>
            <w:vAlign w:val="center"/>
            <w:hideMark/>
          </w:tcPr>
          <w:p w14:paraId="2CA70320" w14:textId="4709310C" w:rsidR="00A52932" w:rsidRPr="00A52932" w:rsidRDefault="00A52932" w:rsidP="00A52932">
            <w:pPr>
              <w:jc w:val="center"/>
              <w:rPr>
                <w:b/>
                <w:bCs/>
                <w:color w:val="000000"/>
                <w:lang w:eastAsia="en-AE"/>
              </w:rPr>
            </w:pPr>
            <w:r>
              <w:rPr>
                <w:b/>
                <w:bCs/>
                <w:color w:val="000000"/>
                <w:lang w:eastAsia="en-AE"/>
              </w:rPr>
              <w:t>2026 (Α΄ τρίμηνο)</w:t>
            </w:r>
          </w:p>
        </w:tc>
        <w:tc>
          <w:tcPr>
            <w:tcW w:w="1613" w:type="dxa"/>
            <w:vMerge w:val="restart"/>
            <w:tcBorders>
              <w:top w:val="single" w:sz="8" w:space="0" w:color="95B3D7"/>
              <w:left w:val="nil"/>
              <w:bottom w:val="single" w:sz="8" w:space="0" w:color="95B3D7"/>
              <w:right w:val="nil"/>
            </w:tcBorders>
            <w:shd w:val="clear" w:color="000000" w:fill="DCE6F1"/>
            <w:vAlign w:val="center"/>
            <w:hideMark/>
          </w:tcPr>
          <w:p w14:paraId="1E2FBC9E" w14:textId="4EAF6BDB" w:rsidR="00A52932" w:rsidRPr="0064703D" w:rsidRDefault="00A52932" w:rsidP="00A52932">
            <w:pPr>
              <w:jc w:val="center"/>
              <w:rPr>
                <w:b/>
                <w:bCs/>
                <w:color w:val="000000"/>
                <w:lang w:val="en-AE" w:eastAsia="en-AE"/>
              </w:rPr>
            </w:pPr>
            <w:r>
              <w:rPr>
                <w:b/>
                <w:bCs/>
                <w:color w:val="000000"/>
                <w:lang w:eastAsia="en-AE"/>
              </w:rPr>
              <w:t>Μ</w:t>
            </w:r>
            <w:r w:rsidRPr="0064703D">
              <w:rPr>
                <w:b/>
                <w:bCs/>
                <w:color w:val="000000"/>
                <w:lang w:val="en-GB" w:eastAsia="en-AE"/>
              </w:rPr>
              <w:t>εταβολή</w:t>
            </w:r>
            <w:r>
              <w:rPr>
                <w:b/>
                <w:bCs/>
                <w:color w:val="000000"/>
                <w:lang w:eastAsia="en-AE"/>
              </w:rPr>
              <w:t xml:space="preserve"> (Α΄Τρίμηνο 2026</w:t>
            </w:r>
            <w:r w:rsidR="00823377">
              <w:rPr>
                <w:b/>
                <w:bCs/>
                <w:color w:val="000000"/>
                <w:lang w:eastAsia="en-AE"/>
              </w:rPr>
              <w:t>/2025)</w:t>
            </w:r>
          </w:p>
        </w:tc>
        <w:tc>
          <w:tcPr>
            <w:tcW w:w="1371" w:type="dxa"/>
            <w:vMerge w:val="restart"/>
            <w:tcBorders>
              <w:top w:val="single" w:sz="8" w:space="0" w:color="95B3D7"/>
              <w:left w:val="nil"/>
              <w:bottom w:val="single" w:sz="8" w:space="0" w:color="95B3D7"/>
              <w:right w:val="nil"/>
            </w:tcBorders>
            <w:shd w:val="clear" w:color="000000" w:fill="DCE6F1"/>
            <w:vAlign w:val="center"/>
            <w:hideMark/>
          </w:tcPr>
          <w:p w14:paraId="2863B2A5" w14:textId="52B95540" w:rsidR="00823377" w:rsidRPr="00823377" w:rsidRDefault="00823377" w:rsidP="00823377">
            <w:pPr>
              <w:jc w:val="center"/>
              <w:rPr>
                <w:b/>
                <w:bCs/>
                <w:color w:val="000000"/>
                <w:lang w:eastAsia="en-AE"/>
              </w:rPr>
            </w:pPr>
            <w:r>
              <w:rPr>
                <w:b/>
                <w:bCs/>
                <w:color w:val="000000"/>
                <w:lang w:eastAsia="en-AE"/>
              </w:rPr>
              <w:t>Μ</w:t>
            </w:r>
            <w:r w:rsidR="00A52932" w:rsidRPr="0064703D">
              <w:rPr>
                <w:b/>
                <w:bCs/>
                <w:color w:val="000000"/>
                <w:lang w:val="en-GB" w:eastAsia="en-AE"/>
              </w:rPr>
              <w:t>εταβολή</w:t>
            </w:r>
            <w:r>
              <w:rPr>
                <w:b/>
                <w:bCs/>
                <w:color w:val="000000"/>
                <w:lang w:eastAsia="en-AE"/>
              </w:rPr>
              <w:t xml:space="preserve"> Α΄Τρίμηνο </w:t>
            </w:r>
            <w:r w:rsidR="00A52932" w:rsidRPr="0064703D">
              <w:rPr>
                <w:b/>
                <w:bCs/>
                <w:color w:val="000000"/>
                <w:lang w:val="en-GB" w:eastAsia="en-AE"/>
              </w:rPr>
              <w:t xml:space="preserve"> </w:t>
            </w:r>
            <w:r>
              <w:rPr>
                <w:b/>
                <w:bCs/>
                <w:color w:val="000000"/>
                <w:lang w:eastAsia="en-AE"/>
              </w:rPr>
              <w:t>2026/2024</w:t>
            </w:r>
          </w:p>
        </w:tc>
      </w:tr>
      <w:tr w:rsidR="00823377" w:rsidRPr="0064703D" w14:paraId="464E8C3E" w14:textId="77777777" w:rsidTr="00095555">
        <w:trPr>
          <w:trHeight w:val="570"/>
        </w:trPr>
        <w:tc>
          <w:tcPr>
            <w:tcW w:w="1925" w:type="dxa"/>
            <w:tcBorders>
              <w:top w:val="single" w:sz="8" w:space="0" w:color="95B3D7"/>
              <w:left w:val="nil"/>
              <w:bottom w:val="nil"/>
              <w:right w:val="nil"/>
            </w:tcBorders>
            <w:shd w:val="clear" w:color="000000" w:fill="DCE6F1"/>
            <w:vAlign w:val="center"/>
          </w:tcPr>
          <w:p w14:paraId="20043FA9" w14:textId="77777777" w:rsidR="00823377" w:rsidRPr="0064703D" w:rsidRDefault="00823377" w:rsidP="00375BAC">
            <w:pPr>
              <w:jc w:val="center"/>
              <w:rPr>
                <w:b/>
                <w:bCs/>
                <w:color w:val="000000"/>
                <w:lang w:eastAsia="en-AE"/>
              </w:rPr>
            </w:pPr>
          </w:p>
        </w:tc>
        <w:tc>
          <w:tcPr>
            <w:tcW w:w="1338" w:type="dxa"/>
            <w:vMerge/>
            <w:tcBorders>
              <w:top w:val="single" w:sz="8" w:space="0" w:color="95B3D7"/>
              <w:left w:val="nil"/>
              <w:bottom w:val="single" w:sz="8" w:space="0" w:color="95B3D7"/>
              <w:right w:val="nil"/>
            </w:tcBorders>
            <w:shd w:val="clear" w:color="000000" w:fill="DCE6F1"/>
            <w:vAlign w:val="center"/>
          </w:tcPr>
          <w:p w14:paraId="5E0AE885" w14:textId="77777777" w:rsidR="00823377" w:rsidRDefault="00823377" w:rsidP="00375BAC">
            <w:pPr>
              <w:jc w:val="center"/>
              <w:rPr>
                <w:b/>
                <w:bCs/>
                <w:color w:val="000000"/>
                <w:lang w:val="en-AE" w:eastAsia="en-AE"/>
              </w:rPr>
            </w:pPr>
          </w:p>
        </w:tc>
        <w:tc>
          <w:tcPr>
            <w:tcW w:w="1338" w:type="dxa"/>
            <w:vMerge/>
            <w:tcBorders>
              <w:top w:val="single" w:sz="8" w:space="0" w:color="95B3D7"/>
              <w:left w:val="nil"/>
              <w:bottom w:val="single" w:sz="8" w:space="0" w:color="95B3D7"/>
              <w:right w:val="nil"/>
            </w:tcBorders>
            <w:shd w:val="clear" w:color="000000" w:fill="DCE6F1"/>
            <w:vAlign w:val="center"/>
          </w:tcPr>
          <w:p w14:paraId="63872402" w14:textId="77777777" w:rsidR="00823377" w:rsidRPr="0064703D" w:rsidRDefault="00823377" w:rsidP="00375BAC">
            <w:pPr>
              <w:jc w:val="center"/>
              <w:rPr>
                <w:b/>
                <w:bCs/>
                <w:color w:val="000000"/>
                <w:lang w:val="en-US" w:eastAsia="en-AE"/>
              </w:rPr>
            </w:pPr>
          </w:p>
        </w:tc>
        <w:tc>
          <w:tcPr>
            <w:tcW w:w="1332" w:type="dxa"/>
            <w:vMerge/>
            <w:tcBorders>
              <w:top w:val="single" w:sz="8" w:space="0" w:color="95B3D7"/>
              <w:left w:val="nil"/>
              <w:bottom w:val="single" w:sz="8" w:space="0" w:color="95B3D7"/>
              <w:right w:val="nil"/>
            </w:tcBorders>
            <w:shd w:val="clear" w:color="000000" w:fill="DCE6F1"/>
            <w:vAlign w:val="center"/>
          </w:tcPr>
          <w:p w14:paraId="527D5DEE" w14:textId="77777777" w:rsidR="00823377" w:rsidRDefault="00823377" w:rsidP="00375BAC">
            <w:pPr>
              <w:jc w:val="center"/>
              <w:rPr>
                <w:b/>
                <w:bCs/>
                <w:color w:val="000000"/>
                <w:lang w:eastAsia="en-AE"/>
              </w:rPr>
            </w:pPr>
          </w:p>
        </w:tc>
        <w:tc>
          <w:tcPr>
            <w:tcW w:w="1407" w:type="dxa"/>
            <w:vMerge/>
            <w:tcBorders>
              <w:top w:val="single" w:sz="8" w:space="0" w:color="95B3D7"/>
              <w:left w:val="nil"/>
              <w:bottom w:val="single" w:sz="8" w:space="0" w:color="95B3D7"/>
              <w:right w:val="nil"/>
            </w:tcBorders>
            <w:shd w:val="clear" w:color="000000" w:fill="DCE6F1"/>
            <w:vAlign w:val="center"/>
          </w:tcPr>
          <w:p w14:paraId="2E89614F" w14:textId="77777777" w:rsidR="00823377" w:rsidRDefault="00823377" w:rsidP="00A52932">
            <w:pPr>
              <w:jc w:val="center"/>
              <w:rPr>
                <w:b/>
                <w:bCs/>
                <w:color w:val="000000"/>
                <w:lang w:eastAsia="en-AE"/>
              </w:rPr>
            </w:pPr>
          </w:p>
        </w:tc>
        <w:tc>
          <w:tcPr>
            <w:tcW w:w="1613" w:type="dxa"/>
            <w:vMerge/>
            <w:tcBorders>
              <w:top w:val="single" w:sz="8" w:space="0" w:color="95B3D7"/>
              <w:left w:val="nil"/>
              <w:bottom w:val="single" w:sz="8" w:space="0" w:color="95B3D7"/>
              <w:right w:val="nil"/>
            </w:tcBorders>
            <w:shd w:val="clear" w:color="000000" w:fill="DCE6F1"/>
            <w:vAlign w:val="center"/>
          </w:tcPr>
          <w:p w14:paraId="6766D21D" w14:textId="77777777" w:rsidR="00823377" w:rsidRDefault="00823377" w:rsidP="00A52932">
            <w:pPr>
              <w:jc w:val="center"/>
              <w:rPr>
                <w:b/>
                <w:bCs/>
                <w:color w:val="000000"/>
                <w:lang w:eastAsia="en-AE"/>
              </w:rPr>
            </w:pPr>
          </w:p>
        </w:tc>
        <w:tc>
          <w:tcPr>
            <w:tcW w:w="1371" w:type="dxa"/>
            <w:vMerge/>
            <w:tcBorders>
              <w:top w:val="single" w:sz="8" w:space="0" w:color="95B3D7"/>
              <w:left w:val="nil"/>
              <w:bottom w:val="single" w:sz="8" w:space="0" w:color="95B3D7"/>
              <w:right w:val="nil"/>
            </w:tcBorders>
            <w:shd w:val="clear" w:color="000000" w:fill="DCE6F1"/>
            <w:vAlign w:val="center"/>
          </w:tcPr>
          <w:p w14:paraId="6E978823" w14:textId="77777777" w:rsidR="00823377" w:rsidRDefault="00823377" w:rsidP="00823377">
            <w:pPr>
              <w:jc w:val="center"/>
              <w:rPr>
                <w:b/>
                <w:bCs/>
                <w:color w:val="000000"/>
                <w:lang w:eastAsia="en-AE"/>
              </w:rPr>
            </w:pPr>
          </w:p>
        </w:tc>
      </w:tr>
      <w:tr w:rsidR="00A52932" w:rsidRPr="0064703D" w14:paraId="542E1E87" w14:textId="77777777" w:rsidTr="00095555">
        <w:trPr>
          <w:trHeight w:val="315"/>
        </w:trPr>
        <w:tc>
          <w:tcPr>
            <w:tcW w:w="1925" w:type="dxa"/>
            <w:tcBorders>
              <w:top w:val="nil"/>
              <w:left w:val="nil"/>
              <w:bottom w:val="nil"/>
              <w:right w:val="nil"/>
            </w:tcBorders>
            <w:shd w:val="clear" w:color="000000" w:fill="DCE6F1"/>
            <w:vAlign w:val="center"/>
            <w:hideMark/>
          </w:tcPr>
          <w:p w14:paraId="29068255" w14:textId="77777777" w:rsidR="00A52932" w:rsidRPr="0064703D" w:rsidRDefault="00A52932" w:rsidP="00375BAC">
            <w:pPr>
              <w:jc w:val="center"/>
              <w:rPr>
                <w:b/>
                <w:bCs/>
                <w:color w:val="000000"/>
                <w:lang w:val="en-AE" w:eastAsia="en-AE"/>
              </w:rPr>
            </w:pPr>
            <w:r w:rsidRPr="0064703D">
              <w:rPr>
                <w:b/>
                <w:bCs/>
                <w:color w:val="000000"/>
                <w:lang w:eastAsia="en-AE"/>
              </w:rPr>
              <w:t xml:space="preserve"> σε </w:t>
            </w:r>
            <w:r>
              <w:rPr>
                <w:b/>
                <w:bCs/>
                <w:color w:val="000000"/>
                <w:lang w:eastAsia="en-AE"/>
              </w:rPr>
              <w:t>Ευρώ</w:t>
            </w:r>
          </w:p>
        </w:tc>
        <w:tc>
          <w:tcPr>
            <w:tcW w:w="1338" w:type="dxa"/>
            <w:vMerge/>
            <w:tcBorders>
              <w:top w:val="single" w:sz="8" w:space="0" w:color="95B3D7"/>
              <w:left w:val="nil"/>
              <w:bottom w:val="single" w:sz="8" w:space="0" w:color="95B3D7"/>
              <w:right w:val="nil"/>
            </w:tcBorders>
            <w:vAlign w:val="center"/>
            <w:hideMark/>
          </w:tcPr>
          <w:p w14:paraId="79C2BB96" w14:textId="77777777" w:rsidR="00A52932" w:rsidRPr="0064703D" w:rsidRDefault="00A52932" w:rsidP="00375BAC">
            <w:pPr>
              <w:rPr>
                <w:b/>
                <w:bCs/>
                <w:color w:val="000000"/>
                <w:lang w:val="en-AE" w:eastAsia="en-AE"/>
              </w:rPr>
            </w:pPr>
          </w:p>
        </w:tc>
        <w:tc>
          <w:tcPr>
            <w:tcW w:w="1338" w:type="dxa"/>
            <w:vMerge/>
            <w:tcBorders>
              <w:top w:val="single" w:sz="8" w:space="0" w:color="95B3D7"/>
              <w:left w:val="nil"/>
              <w:bottom w:val="single" w:sz="8" w:space="0" w:color="95B3D7"/>
              <w:right w:val="nil"/>
            </w:tcBorders>
            <w:vAlign w:val="center"/>
            <w:hideMark/>
          </w:tcPr>
          <w:p w14:paraId="3EA358FC" w14:textId="77777777" w:rsidR="00A52932" w:rsidRPr="0064703D" w:rsidRDefault="00A52932" w:rsidP="00375BAC">
            <w:pPr>
              <w:rPr>
                <w:b/>
                <w:bCs/>
                <w:color w:val="000000"/>
                <w:lang w:val="en-AE" w:eastAsia="en-AE"/>
              </w:rPr>
            </w:pPr>
          </w:p>
        </w:tc>
        <w:tc>
          <w:tcPr>
            <w:tcW w:w="1332" w:type="dxa"/>
            <w:vMerge/>
            <w:tcBorders>
              <w:top w:val="single" w:sz="8" w:space="0" w:color="95B3D7"/>
              <w:left w:val="nil"/>
              <w:bottom w:val="single" w:sz="8" w:space="0" w:color="95B3D7"/>
              <w:right w:val="nil"/>
            </w:tcBorders>
            <w:vAlign w:val="center"/>
            <w:hideMark/>
          </w:tcPr>
          <w:p w14:paraId="1B99A02E" w14:textId="77777777" w:rsidR="00A52932" w:rsidRPr="0064703D" w:rsidRDefault="00A52932" w:rsidP="00375BAC">
            <w:pPr>
              <w:rPr>
                <w:b/>
                <w:bCs/>
                <w:color w:val="000000"/>
                <w:lang w:val="en-AE" w:eastAsia="en-AE"/>
              </w:rPr>
            </w:pPr>
          </w:p>
        </w:tc>
        <w:tc>
          <w:tcPr>
            <w:tcW w:w="1407" w:type="dxa"/>
            <w:vMerge/>
            <w:tcBorders>
              <w:top w:val="single" w:sz="8" w:space="0" w:color="95B3D7"/>
              <w:left w:val="nil"/>
              <w:bottom w:val="single" w:sz="8" w:space="0" w:color="95B3D7"/>
              <w:right w:val="nil"/>
            </w:tcBorders>
            <w:vAlign w:val="center"/>
            <w:hideMark/>
          </w:tcPr>
          <w:p w14:paraId="6FA2B603" w14:textId="77777777" w:rsidR="00A52932" w:rsidRPr="0064703D" w:rsidRDefault="00A52932" w:rsidP="00375BAC">
            <w:pPr>
              <w:rPr>
                <w:b/>
                <w:bCs/>
                <w:color w:val="000000"/>
                <w:lang w:val="en-AE" w:eastAsia="en-AE"/>
              </w:rPr>
            </w:pPr>
          </w:p>
        </w:tc>
        <w:tc>
          <w:tcPr>
            <w:tcW w:w="1613" w:type="dxa"/>
            <w:vMerge/>
            <w:tcBorders>
              <w:top w:val="single" w:sz="8" w:space="0" w:color="95B3D7"/>
              <w:left w:val="nil"/>
              <w:bottom w:val="single" w:sz="8" w:space="0" w:color="95B3D7"/>
              <w:right w:val="nil"/>
            </w:tcBorders>
            <w:vAlign w:val="center"/>
            <w:hideMark/>
          </w:tcPr>
          <w:p w14:paraId="502D7EDC" w14:textId="77777777" w:rsidR="00A52932" w:rsidRPr="0064703D" w:rsidRDefault="00A52932" w:rsidP="00375BAC">
            <w:pPr>
              <w:rPr>
                <w:b/>
                <w:bCs/>
                <w:color w:val="000000"/>
                <w:lang w:val="en-AE" w:eastAsia="en-AE"/>
              </w:rPr>
            </w:pPr>
          </w:p>
        </w:tc>
        <w:tc>
          <w:tcPr>
            <w:tcW w:w="1371" w:type="dxa"/>
            <w:vMerge/>
            <w:tcBorders>
              <w:top w:val="single" w:sz="8" w:space="0" w:color="95B3D7"/>
              <w:left w:val="nil"/>
              <w:bottom w:val="single" w:sz="8" w:space="0" w:color="95B3D7"/>
              <w:right w:val="nil"/>
            </w:tcBorders>
            <w:vAlign w:val="center"/>
            <w:hideMark/>
          </w:tcPr>
          <w:p w14:paraId="7C689BCE" w14:textId="77777777" w:rsidR="00A52932" w:rsidRPr="0064703D" w:rsidRDefault="00A52932" w:rsidP="00375BAC">
            <w:pPr>
              <w:rPr>
                <w:b/>
                <w:bCs/>
                <w:color w:val="000000"/>
                <w:lang w:val="en-AE" w:eastAsia="en-AE"/>
              </w:rPr>
            </w:pPr>
          </w:p>
        </w:tc>
      </w:tr>
      <w:tr w:rsidR="00A52932" w:rsidRPr="0064703D" w14:paraId="5A4A6633" w14:textId="77777777" w:rsidTr="00095555">
        <w:trPr>
          <w:trHeight w:val="315"/>
        </w:trPr>
        <w:tc>
          <w:tcPr>
            <w:tcW w:w="1925" w:type="dxa"/>
            <w:tcBorders>
              <w:top w:val="single" w:sz="8" w:space="0" w:color="95B3D7"/>
              <w:left w:val="nil"/>
              <w:bottom w:val="nil"/>
              <w:right w:val="nil"/>
            </w:tcBorders>
            <w:shd w:val="clear" w:color="000000" w:fill="DCE6F1"/>
            <w:vAlign w:val="center"/>
            <w:hideMark/>
          </w:tcPr>
          <w:p w14:paraId="08560214" w14:textId="77777777" w:rsidR="00A52932" w:rsidRPr="0064703D" w:rsidRDefault="00A52932" w:rsidP="00375BAC">
            <w:pPr>
              <w:rPr>
                <w:b/>
                <w:bCs/>
                <w:color w:val="000000"/>
                <w:lang w:val="en-AE" w:eastAsia="en-AE"/>
              </w:rPr>
            </w:pPr>
            <w:r w:rsidRPr="0064703D">
              <w:rPr>
                <w:b/>
                <w:bCs/>
                <w:color w:val="000000"/>
                <w:lang w:val="en-GB" w:eastAsia="en-AE"/>
              </w:rPr>
              <w:t>Εξαγωγές</w:t>
            </w:r>
          </w:p>
        </w:tc>
        <w:tc>
          <w:tcPr>
            <w:tcW w:w="1338" w:type="dxa"/>
            <w:tcBorders>
              <w:top w:val="nil"/>
              <w:left w:val="nil"/>
              <w:bottom w:val="nil"/>
              <w:right w:val="nil"/>
            </w:tcBorders>
            <w:shd w:val="clear" w:color="000000" w:fill="DCE6F1"/>
            <w:vAlign w:val="center"/>
            <w:hideMark/>
          </w:tcPr>
          <w:p w14:paraId="669A755B" w14:textId="40138243" w:rsidR="00A52932" w:rsidRPr="00823377" w:rsidRDefault="00823377" w:rsidP="00823377">
            <w:pPr>
              <w:jc w:val="center"/>
              <w:rPr>
                <w:b/>
                <w:bCs/>
                <w:color w:val="000000"/>
                <w:lang w:eastAsia="en-AE"/>
              </w:rPr>
            </w:pPr>
            <w:r>
              <w:rPr>
                <w:b/>
                <w:bCs/>
                <w:color w:val="000000"/>
                <w:lang w:eastAsia="en-AE"/>
              </w:rPr>
              <w:t>368.229.278</w:t>
            </w:r>
          </w:p>
        </w:tc>
        <w:tc>
          <w:tcPr>
            <w:tcW w:w="1338" w:type="dxa"/>
            <w:tcBorders>
              <w:top w:val="nil"/>
              <w:left w:val="nil"/>
              <w:bottom w:val="nil"/>
              <w:right w:val="nil"/>
            </w:tcBorders>
            <w:shd w:val="clear" w:color="000000" w:fill="DCE6F1"/>
            <w:vAlign w:val="center"/>
            <w:hideMark/>
          </w:tcPr>
          <w:p w14:paraId="4E9517D2" w14:textId="28DA0190" w:rsidR="00A52932" w:rsidRPr="00823377" w:rsidRDefault="00823377" w:rsidP="00375BAC">
            <w:pPr>
              <w:jc w:val="right"/>
              <w:rPr>
                <w:b/>
                <w:bCs/>
                <w:color w:val="000000"/>
                <w:lang w:eastAsia="en-AE"/>
              </w:rPr>
            </w:pPr>
            <w:r>
              <w:rPr>
                <w:b/>
                <w:bCs/>
                <w:color w:val="000000"/>
                <w:lang w:eastAsia="en-AE"/>
              </w:rPr>
              <w:t>351.785.890</w:t>
            </w:r>
          </w:p>
        </w:tc>
        <w:tc>
          <w:tcPr>
            <w:tcW w:w="1332" w:type="dxa"/>
            <w:tcBorders>
              <w:top w:val="nil"/>
              <w:left w:val="nil"/>
              <w:bottom w:val="nil"/>
              <w:right w:val="nil"/>
            </w:tcBorders>
            <w:shd w:val="clear" w:color="000000" w:fill="DCE6F1"/>
            <w:vAlign w:val="center"/>
            <w:hideMark/>
          </w:tcPr>
          <w:p w14:paraId="48BFC57B" w14:textId="73BCD71B" w:rsidR="00A52932" w:rsidRPr="00823377" w:rsidRDefault="00823377" w:rsidP="00823377">
            <w:pPr>
              <w:jc w:val="center"/>
              <w:rPr>
                <w:b/>
                <w:bCs/>
                <w:color w:val="000000"/>
                <w:lang w:eastAsia="en-AE"/>
              </w:rPr>
            </w:pPr>
            <w:r>
              <w:rPr>
                <w:b/>
                <w:bCs/>
                <w:color w:val="000000"/>
                <w:lang w:eastAsia="en-AE"/>
              </w:rPr>
              <w:t>95,5%</w:t>
            </w:r>
          </w:p>
        </w:tc>
        <w:tc>
          <w:tcPr>
            <w:tcW w:w="1407" w:type="dxa"/>
            <w:tcBorders>
              <w:top w:val="nil"/>
              <w:left w:val="nil"/>
              <w:bottom w:val="nil"/>
              <w:right w:val="nil"/>
            </w:tcBorders>
            <w:shd w:val="clear" w:color="000000" w:fill="DCE6F1"/>
            <w:vAlign w:val="center"/>
            <w:hideMark/>
          </w:tcPr>
          <w:p w14:paraId="0007D2A2" w14:textId="3DAA0A5D" w:rsidR="00A52932" w:rsidRPr="00823377" w:rsidRDefault="00823377" w:rsidP="00823377">
            <w:pPr>
              <w:jc w:val="center"/>
              <w:rPr>
                <w:b/>
                <w:bCs/>
                <w:color w:val="000000"/>
                <w:lang w:eastAsia="en-AE"/>
              </w:rPr>
            </w:pPr>
            <w:r>
              <w:rPr>
                <w:b/>
                <w:bCs/>
                <w:color w:val="000000"/>
                <w:lang w:eastAsia="en-AE"/>
              </w:rPr>
              <w:t>70.346.219 (προσωρινά)</w:t>
            </w:r>
          </w:p>
        </w:tc>
        <w:tc>
          <w:tcPr>
            <w:tcW w:w="1613" w:type="dxa"/>
            <w:tcBorders>
              <w:top w:val="nil"/>
              <w:left w:val="nil"/>
              <w:bottom w:val="nil"/>
              <w:right w:val="nil"/>
            </w:tcBorders>
            <w:shd w:val="clear" w:color="000000" w:fill="DCE6F1"/>
            <w:vAlign w:val="center"/>
            <w:hideMark/>
          </w:tcPr>
          <w:p w14:paraId="47284740" w14:textId="1BBBAD3B" w:rsidR="00A52932" w:rsidRPr="00823377" w:rsidRDefault="00823377" w:rsidP="00823377">
            <w:pPr>
              <w:jc w:val="center"/>
              <w:rPr>
                <w:b/>
                <w:bCs/>
                <w:color w:val="000000"/>
                <w:lang w:eastAsia="en-AE"/>
              </w:rPr>
            </w:pPr>
            <w:r>
              <w:rPr>
                <w:b/>
                <w:bCs/>
                <w:color w:val="000000"/>
                <w:lang w:eastAsia="en-AE"/>
              </w:rPr>
              <w:t>19,9%</w:t>
            </w:r>
          </w:p>
        </w:tc>
        <w:tc>
          <w:tcPr>
            <w:tcW w:w="1371" w:type="dxa"/>
            <w:tcBorders>
              <w:top w:val="nil"/>
              <w:left w:val="nil"/>
              <w:bottom w:val="nil"/>
              <w:right w:val="nil"/>
            </w:tcBorders>
            <w:shd w:val="clear" w:color="000000" w:fill="DCE6F1"/>
            <w:vAlign w:val="center"/>
            <w:hideMark/>
          </w:tcPr>
          <w:p w14:paraId="6F423725" w14:textId="3AAF20FC" w:rsidR="00A52932" w:rsidRPr="00823377" w:rsidRDefault="00823377" w:rsidP="00823377">
            <w:pPr>
              <w:jc w:val="center"/>
              <w:rPr>
                <w:b/>
                <w:bCs/>
                <w:color w:val="000000"/>
                <w:lang w:eastAsia="en-AE"/>
              </w:rPr>
            </w:pPr>
            <w:r>
              <w:rPr>
                <w:b/>
                <w:bCs/>
                <w:color w:val="000000"/>
                <w:lang w:eastAsia="en-AE"/>
              </w:rPr>
              <w:t>19,10%</w:t>
            </w:r>
          </w:p>
        </w:tc>
      </w:tr>
      <w:tr w:rsidR="00A52932" w:rsidRPr="0064703D" w14:paraId="54ACDB64" w14:textId="77777777" w:rsidTr="00095555">
        <w:trPr>
          <w:trHeight w:val="315"/>
        </w:trPr>
        <w:tc>
          <w:tcPr>
            <w:tcW w:w="1925" w:type="dxa"/>
            <w:tcBorders>
              <w:top w:val="single" w:sz="8" w:space="0" w:color="95B3D7"/>
              <w:left w:val="nil"/>
              <w:bottom w:val="nil"/>
              <w:right w:val="nil"/>
            </w:tcBorders>
            <w:shd w:val="clear" w:color="000000" w:fill="DCE6F1"/>
            <w:vAlign w:val="center"/>
            <w:hideMark/>
          </w:tcPr>
          <w:p w14:paraId="733F91C2" w14:textId="77777777" w:rsidR="00A52932" w:rsidRPr="0064703D" w:rsidRDefault="00A52932" w:rsidP="00375BAC">
            <w:pPr>
              <w:rPr>
                <w:b/>
                <w:bCs/>
                <w:color w:val="000000"/>
                <w:lang w:val="en-AE" w:eastAsia="en-AE"/>
              </w:rPr>
            </w:pPr>
            <w:r w:rsidRPr="0064703D">
              <w:rPr>
                <w:b/>
                <w:bCs/>
                <w:color w:val="000000"/>
                <w:lang w:val="en-GB" w:eastAsia="en-AE"/>
              </w:rPr>
              <w:t>Εισαγωγές</w:t>
            </w:r>
          </w:p>
        </w:tc>
        <w:tc>
          <w:tcPr>
            <w:tcW w:w="1338" w:type="dxa"/>
            <w:tcBorders>
              <w:top w:val="single" w:sz="8" w:space="0" w:color="95B3D7"/>
              <w:left w:val="nil"/>
              <w:bottom w:val="nil"/>
              <w:right w:val="nil"/>
            </w:tcBorders>
            <w:shd w:val="clear" w:color="000000" w:fill="DCE6F1"/>
            <w:vAlign w:val="center"/>
            <w:hideMark/>
          </w:tcPr>
          <w:p w14:paraId="68C7BA82" w14:textId="4B4A0595" w:rsidR="00A52932" w:rsidRPr="00823377" w:rsidRDefault="00823377" w:rsidP="00823377">
            <w:pPr>
              <w:jc w:val="center"/>
              <w:rPr>
                <w:b/>
                <w:bCs/>
                <w:color w:val="000000"/>
                <w:lang w:eastAsia="en-AE"/>
              </w:rPr>
            </w:pPr>
            <w:r>
              <w:rPr>
                <w:b/>
                <w:bCs/>
                <w:color w:val="000000"/>
                <w:lang w:eastAsia="en-AE"/>
              </w:rPr>
              <w:t>108.159.423</w:t>
            </w:r>
          </w:p>
        </w:tc>
        <w:tc>
          <w:tcPr>
            <w:tcW w:w="1338" w:type="dxa"/>
            <w:tcBorders>
              <w:top w:val="single" w:sz="8" w:space="0" w:color="95B3D7"/>
              <w:left w:val="nil"/>
              <w:bottom w:val="nil"/>
              <w:right w:val="nil"/>
            </w:tcBorders>
            <w:shd w:val="clear" w:color="000000" w:fill="DCE6F1"/>
            <w:vAlign w:val="center"/>
            <w:hideMark/>
          </w:tcPr>
          <w:p w14:paraId="514AF0F5" w14:textId="2067A2DA" w:rsidR="00A52932" w:rsidRPr="00823377" w:rsidRDefault="00823377" w:rsidP="00375BAC">
            <w:pPr>
              <w:jc w:val="right"/>
              <w:rPr>
                <w:b/>
                <w:bCs/>
                <w:color w:val="000000"/>
                <w:lang w:eastAsia="en-AE"/>
              </w:rPr>
            </w:pPr>
            <w:r>
              <w:rPr>
                <w:b/>
                <w:bCs/>
                <w:color w:val="000000"/>
                <w:lang w:eastAsia="en-AE"/>
              </w:rPr>
              <w:t>191.213.732</w:t>
            </w:r>
          </w:p>
        </w:tc>
        <w:tc>
          <w:tcPr>
            <w:tcW w:w="1332" w:type="dxa"/>
            <w:tcBorders>
              <w:top w:val="single" w:sz="8" w:space="0" w:color="95B3D7"/>
              <w:left w:val="nil"/>
              <w:bottom w:val="nil"/>
              <w:right w:val="nil"/>
            </w:tcBorders>
            <w:shd w:val="clear" w:color="000000" w:fill="DCE6F1"/>
            <w:vAlign w:val="center"/>
            <w:hideMark/>
          </w:tcPr>
          <w:p w14:paraId="430AB7C7" w14:textId="68BBA4A9" w:rsidR="00A52932" w:rsidRPr="00823377" w:rsidRDefault="00823377" w:rsidP="00823377">
            <w:pPr>
              <w:jc w:val="center"/>
              <w:rPr>
                <w:b/>
                <w:bCs/>
                <w:color w:val="000000"/>
                <w:lang w:eastAsia="en-AE"/>
              </w:rPr>
            </w:pPr>
            <w:r>
              <w:rPr>
                <w:b/>
                <w:bCs/>
                <w:color w:val="000000"/>
                <w:lang w:eastAsia="en-AE"/>
              </w:rPr>
              <w:t>56,5%</w:t>
            </w:r>
          </w:p>
        </w:tc>
        <w:tc>
          <w:tcPr>
            <w:tcW w:w="1407" w:type="dxa"/>
            <w:tcBorders>
              <w:top w:val="single" w:sz="8" w:space="0" w:color="95B3D7"/>
              <w:left w:val="nil"/>
              <w:bottom w:val="nil"/>
              <w:right w:val="nil"/>
            </w:tcBorders>
            <w:shd w:val="clear" w:color="000000" w:fill="DCE6F1"/>
            <w:vAlign w:val="center"/>
            <w:hideMark/>
          </w:tcPr>
          <w:p w14:paraId="0D391FCB" w14:textId="7EEC2E5D" w:rsidR="00A52932" w:rsidRPr="00823377" w:rsidRDefault="00823377" w:rsidP="00375BAC">
            <w:pPr>
              <w:jc w:val="right"/>
              <w:rPr>
                <w:b/>
                <w:bCs/>
                <w:color w:val="000000"/>
                <w:lang w:eastAsia="en-AE"/>
              </w:rPr>
            </w:pPr>
            <w:r>
              <w:rPr>
                <w:b/>
                <w:bCs/>
                <w:color w:val="000000"/>
                <w:lang w:eastAsia="en-AE"/>
              </w:rPr>
              <w:t>29.144.617 (προσωρινά)</w:t>
            </w:r>
          </w:p>
        </w:tc>
        <w:tc>
          <w:tcPr>
            <w:tcW w:w="1613" w:type="dxa"/>
            <w:tcBorders>
              <w:top w:val="single" w:sz="8" w:space="0" w:color="95B3D7"/>
              <w:left w:val="nil"/>
              <w:bottom w:val="nil"/>
              <w:right w:val="nil"/>
            </w:tcBorders>
            <w:shd w:val="clear" w:color="000000" w:fill="DCE6F1"/>
            <w:vAlign w:val="center"/>
            <w:hideMark/>
          </w:tcPr>
          <w:p w14:paraId="638561B2" w14:textId="3BE27DC9" w:rsidR="00A52932" w:rsidRPr="00823377" w:rsidRDefault="00823377" w:rsidP="00375BAC">
            <w:pPr>
              <w:jc w:val="center"/>
              <w:rPr>
                <w:b/>
                <w:bCs/>
                <w:color w:val="000000"/>
                <w:lang w:eastAsia="en-AE"/>
              </w:rPr>
            </w:pPr>
            <w:r>
              <w:rPr>
                <w:b/>
                <w:bCs/>
                <w:color w:val="000000"/>
                <w:lang w:eastAsia="en-AE"/>
              </w:rPr>
              <w:t>15,24%</w:t>
            </w:r>
          </w:p>
        </w:tc>
        <w:tc>
          <w:tcPr>
            <w:tcW w:w="1371" w:type="dxa"/>
            <w:tcBorders>
              <w:top w:val="single" w:sz="8" w:space="0" w:color="95B3D7"/>
              <w:left w:val="nil"/>
              <w:bottom w:val="nil"/>
              <w:right w:val="nil"/>
            </w:tcBorders>
            <w:shd w:val="clear" w:color="000000" w:fill="DCE6F1"/>
            <w:vAlign w:val="center"/>
            <w:hideMark/>
          </w:tcPr>
          <w:p w14:paraId="0F01D74A" w14:textId="6C6119A0" w:rsidR="00A52932" w:rsidRPr="00823377" w:rsidRDefault="00823377" w:rsidP="00375BAC">
            <w:pPr>
              <w:jc w:val="center"/>
              <w:rPr>
                <w:b/>
                <w:bCs/>
                <w:color w:val="000000"/>
                <w:lang w:eastAsia="en-AE"/>
              </w:rPr>
            </w:pPr>
            <w:r>
              <w:rPr>
                <w:b/>
                <w:bCs/>
                <w:color w:val="000000"/>
                <w:lang w:eastAsia="en-AE"/>
              </w:rPr>
              <w:t>26,9%</w:t>
            </w:r>
          </w:p>
        </w:tc>
      </w:tr>
      <w:tr w:rsidR="00A52932" w:rsidRPr="0064703D" w14:paraId="4905403F" w14:textId="77777777" w:rsidTr="00095555">
        <w:trPr>
          <w:trHeight w:val="585"/>
        </w:trPr>
        <w:tc>
          <w:tcPr>
            <w:tcW w:w="1925" w:type="dxa"/>
            <w:tcBorders>
              <w:top w:val="single" w:sz="8" w:space="0" w:color="95B3D7"/>
              <w:left w:val="nil"/>
              <w:bottom w:val="nil"/>
              <w:right w:val="nil"/>
            </w:tcBorders>
            <w:shd w:val="clear" w:color="000000" w:fill="DCE6F1"/>
            <w:vAlign w:val="center"/>
            <w:hideMark/>
          </w:tcPr>
          <w:p w14:paraId="06697D4C" w14:textId="77777777" w:rsidR="00A52932" w:rsidRPr="0064703D" w:rsidRDefault="00A52932" w:rsidP="00375BAC">
            <w:pPr>
              <w:rPr>
                <w:b/>
                <w:bCs/>
                <w:color w:val="000000"/>
                <w:lang w:val="en-AE" w:eastAsia="en-AE"/>
              </w:rPr>
            </w:pPr>
            <w:r w:rsidRPr="0064703D">
              <w:rPr>
                <w:b/>
                <w:bCs/>
                <w:color w:val="000000"/>
                <w:lang w:val="en-GB" w:eastAsia="en-AE"/>
              </w:rPr>
              <w:t>Αξία Διμερούς Εμπορίου</w:t>
            </w:r>
          </w:p>
        </w:tc>
        <w:tc>
          <w:tcPr>
            <w:tcW w:w="1338" w:type="dxa"/>
            <w:tcBorders>
              <w:top w:val="single" w:sz="8" w:space="0" w:color="95B3D7"/>
              <w:left w:val="nil"/>
              <w:bottom w:val="nil"/>
              <w:right w:val="nil"/>
            </w:tcBorders>
            <w:shd w:val="clear" w:color="000000" w:fill="DCE6F1"/>
            <w:vAlign w:val="center"/>
            <w:hideMark/>
          </w:tcPr>
          <w:p w14:paraId="17F88AA7" w14:textId="6543D0AF" w:rsidR="00A52932" w:rsidRPr="00823377" w:rsidRDefault="00823377" w:rsidP="00823377">
            <w:pPr>
              <w:rPr>
                <w:b/>
                <w:bCs/>
                <w:color w:val="000000"/>
                <w:lang w:eastAsia="en-AE"/>
              </w:rPr>
            </w:pPr>
            <w:r>
              <w:rPr>
                <w:b/>
                <w:bCs/>
                <w:color w:val="000000"/>
                <w:lang w:eastAsia="en-AE"/>
              </w:rPr>
              <w:t>476.388.701</w:t>
            </w:r>
          </w:p>
        </w:tc>
        <w:tc>
          <w:tcPr>
            <w:tcW w:w="1338" w:type="dxa"/>
            <w:tcBorders>
              <w:top w:val="single" w:sz="8" w:space="0" w:color="95B3D7"/>
              <w:left w:val="nil"/>
              <w:bottom w:val="nil"/>
              <w:right w:val="nil"/>
            </w:tcBorders>
            <w:shd w:val="clear" w:color="000000" w:fill="DCE6F1"/>
            <w:vAlign w:val="center"/>
            <w:hideMark/>
          </w:tcPr>
          <w:p w14:paraId="34EBEB6E" w14:textId="79087886" w:rsidR="00A52932" w:rsidRPr="006D3111" w:rsidRDefault="006D3111" w:rsidP="00375BAC">
            <w:pPr>
              <w:jc w:val="right"/>
              <w:rPr>
                <w:b/>
                <w:bCs/>
                <w:color w:val="000000"/>
                <w:lang w:eastAsia="en-AE"/>
              </w:rPr>
            </w:pPr>
            <w:r>
              <w:rPr>
                <w:b/>
                <w:bCs/>
                <w:color w:val="000000"/>
                <w:lang w:eastAsia="en-AE"/>
              </w:rPr>
              <w:t>542.999.622</w:t>
            </w:r>
          </w:p>
        </w:tc>
        <w:tc>
          <w:tcPr>
            <w:tcW w:w="1332" w:type="dxa"/>
            <w:tcBorders>
              <w:top w:val="single" w:sz="8" w:space="0" w:color="95B3D7"/>
              <w:left w:val="nil"/>
              <w:bottom w:val="nil"/>
              <w:right w:val="nil"/>
            </w:tcBorders>
            <w:shd w:val="clear" w:color="000000" w:fill="DCE6F1"/>
            <w:vAlign w:val="center"/>
            <w:hideMark/>
          </w:tcPr>
          <w:p w14:paraId="59B3AEBB" w14:textId="3046DD03" w:rsidR="00A52932" w:rsidRPr="0064703D" w:rsidRDefault="00A52932" w:rsidP="006D3111">
            <w:pPr>
              <w:rPr>
                <w:b/>
                <w:bCs/>
                <w:color w:val="000000"/>
                <w:lang w:val="en-AE" w:eastAsia="en-AE"/>
              </w:rPr>
            </w:pPr>
          </w:p>
        </w:tc>
        <w:tc>
          <w:tcPr>
            <w:tcW w:w="1407" w:type="dxa"/>
            <w:tcBorders>
              <w:top w:val="single" w:sz="8" w:space="0" w:color="95B3D7"/>
              <w:left w:val="nil"/>
              <w:bottom w:val="nil"/>
              <w:right w:val="nil"/>
            </w:tcBorders>
            <w:shd w:val="clear" w:color="000000" w:fill="DCE6F1"/>
            <w:vAlign w:val="center"/>
            <w:hideMark/>
          </w:tcPr>
          <w:p w14:paraId="5D43189E" w14:textId="0796C7A8" w:rsidR="00A52932" w:rsidRPr="006D3111" w:rsidRDefault="006D3111" w:rsidP="006D3111">
            <w:pPr>
              <w:jc w:val="center"/>
              <w:rPr>
                <w:b/>
                <w:bCs/>
                <w:color w:val="000000"/>
                <w:lang w:eastAsia="en-AE"/>
              </w:rPr>
            </w:pPr>
            <w:r>
              <w:rPr>
                <w:b/>
                <w:bCs/>
                <w:color w:val="000000"/>
                <w:lang w:eastAsia="en-AE"/>
              </w:rPr>
              <w:t>99.490.836</w:t>
            </w:r>
          </w:p>
        </w:tc>
        <w:tc>
          <w:tcPr>
            <w:tcW w:w="1613" w:type="dxa"/>
            <w:tcBorders>
              <w:top w:val="single" w:sz="8" w:space="0" w:color="95B3D7"/>
              <w:left w:val="nil"/>
              <w:bottom w:val="nil"/>
              <w:right w:val="nil"/>
            </w:tcBorders>
            <w:shd w:val="clear" w:color="000000" w:fill="DCE6F1"/>
            <w:vAlign w:val="center"/>
            <w:hideMark/>
          </w:tcPr>
          <w:p w14:paraId="721459AF" w14:textId="2FE5ECDA" w:rsidR="00A52932" w:rsidRPr="0064703D" w:rsidRDefault="00A52932" w:rsidP="00375BAC">
            <w:pPr>
              <w:jc w:val="center"/>
              <w:rPr>
                <w:b/>
                <w:bCs/>
                <w:color w:val="000000"/>
                <w:lang w:val="en-AE" w:eastAsia="en-AE"/>
              </w:rPr>
            </w:pPr>
          </w:p>
        </w:tc>
        <w:tc>
          <w:tcPr>
            <w:tcW w:w="1371" w:type="dxa"/>
            <w:tcBorders>
              <w:top w:val="single" w:sz="8" w:space="0" w:color="95B3D7"/>
              <w:left w:val="nil"/>
              <w:bottom w:val="nil"/>
              <w:right w:val="nil"/>
            </w:tcBorders>
            <w:shd w:val="clear" w:color="000000" w:fill="DCE6F1"/>
            <w:vAlign w:val="center"/>
            <w:hideMark/>
          </w:tcPr>
          <w:p w14:paraId="11C18B2F" w14:textId="19767146" w:rsidR="00A52932" w:rsidRPr="0064703D" w:rsidRDefault="00A52932" w:rsidP="00375BAC">
            <w:pPr>
              <w:jc w:val="center"/>
              <w:rPr>
                <w:b/>
                <w:bCs/>
                <w:color w:val="000000"/>
                <w:lang w:val="en-AE" w:eastAsia="en-AE"/>
              </w:rPr>
            </w:pPr>
          </w:p>
        </w:tc>
      </w:tr>
      <w:tr w:rsidR="00A52932" w:rsidRPr="0064703D" w14:paraId="08E7969B" w14:textId="77777777" w:rsidTr="00095555">
        <w:trPr>
          <w:trHeight w:val="315"/>
        </w:trPr>
        <w:tc>
          <w:tcPr>
            <w:tcW w:w="1925" w:type="dxa"/>
            <w:tcBorders>
              <w:top w:val="single" w:sz="8" w:space="0" w:color="95B3D7"/>
              <w:left w:val="nil"/>
              <w:bottom w:val="nil"/>
              <w:right w:val="nil"/>
            </w:tcBorders>
            <w:shd w:val="clear" w:color="000000" w:fill="DCE6F1"/>
            <w:vAlign w:val="center"/>
            <w:hideMark/>
          </w:tcPr>
          <w:p w14:paraId="697E973D" w14:textId="77777777" w:rsidR="00A52932" w:rsidRPr="0064703D" w:rsidRDefault="00A52932" w:rsidP="00375BAC">
            <w:pPr>
              <w:rPr>
                <w:b/>
                <w:bCs/>
                <w:color w:val="000000"/>
                <w:lang w:val="en-AE" w:eastAsia="en-AE"/>
              </w:rPr>
            </w:pPr>
            <w:r w:rsidRPr="0064703D">
              <w:rPr>
                <w:b/>
                <w:bCs/>
                <w:color w:val="000000"/>
                <w:lang w:val="en-GB" w:eastAsia="en-AE"/>
              </w:rPr>
              <w:t>Πλεόνασμα</w:t>
            </w:r>
          </w:p>
        </w:tc>
        <w:tc>
          <w:tcPr>
            <w:tcW w:w="1338" w:type="dxa"/>
            <w:tcBorders>
              <w:top w:val="single" w:sz="8" w:space="0" w:color="95B3D7"/>
              <w:left w:val="nil"/>
              <w:bottom w:val="nil"/>
              <w:right w:val="nil"/>
            </w:tcBorders>
            <w:shd w:val="clear" w:color="000000" w:fill="DCE6F1"/>
            <w:vAlign w:val="center"/>
            <w:hideMark/>
          </w:tcPr>
          <w:p w14:paraId="387CDDA5" w14:textId="69835777" w:rsidR="00A52932" w:rsidRPr="006D3111" w:rsidRDefault="006D3111" w:rsidP="00823377">
            <w:pPr>
              <w:jc w:val="center"/>
              <w:rPr>
                <w:b/>
                <w:bCs/>
                <w:color w:val="000000"/>
                <w:lang w:eastAsia="en-AE"/>
              </w:rPr>
            </w:pPr>
            <w:r>
              <w:rPr>
                <w:b/>
                <w:bCs/>
                <w:color w:val="000000"/>
                <w:lang w:eastAsia="en-AE"/>
              </w:rPr>
              <w:t>260.069.855</w:t>
            </w:r>
          </w:p>
        </w:tc>
        <w:tc>
          <w:tcPr>
            <w:tcW w:w="1338" w:type="dxa"/>
            <w:tcBorders>
              <w:top w:val="single" w:sz="8" w:space="0" w:color="95B3D7"/>
              <w:left w:val="nil"/>
              <w:bottom w:val="nil"/>
              <w:right w:val="nil"/>
            </w:tcBorders>
            <w:shd w:val="clear" w:color="000000" w:fill="DCE6F1"/>
            <w:vAlign w:val="center"/>
            <w:hideMark/>
          </w:tcPr>
          <w:p w14:paraId="294FDEA8" w14:textId="21D6D93C" w:rsidR="00A52932" w:rsidRPr="006D3111" w:rsidRDefault="006D3111" w:rsidP="00375BAC">
            <w:pPr>
              <w:jc w:val="right"/>
              <w:rPr>
                <w:b/>
                <w:bCs/>
                <w:color w:val="000000"/>
                <w:lang w:eastAsia="en-AE"/>
              </w:rPr>
            </w:pPr>
            <w:r>
              <w:rPr>
                <w:b/>
                <w:bCs/>
                <w:color w:val="000000"/>
                <w:lang w:eastAsia="en-AE"/>
              </w:rPr>
              <w:t>160.572.158</w:t>
            </w:r>
          </w:p>
        </w:tc>
        <w:tc>
          <w:tcPr>
            <w:tcW w:w="1332" w:type="dxa"/>
            <w:tcBorders>
              <w:top w:val="single" w:sz="8" w:space="0" w:color="95B3D7"/>
              <w:left w:val="nil"/>
              <w:bottom w:val="nil"/>
              <w:right w:val="nil"/>
            </w:tcBorders>
            <w:shd w:val="clear" w:color="000000" w:fill="DCE6F1"/>
            <w:vAlign w:val="center"/>
            <w:hideMark/>
          </w:tcPr>
          <w:p w14:paraId="781D9318" w14:textId="77777777" w:rsidR="00A52932" w:rsidRPr="0064703D" w:rsidRDefault="00A52932" w:rsidP="00375BAC">
            <w:pPr>
              <w:jc w:val="right"/>
              <w:rPr>
                <w:b/>
                <w:bCs/>
                <w:color w:val="000000"/>
                <w:lang w:val="en-AE" w:eastAsia="en-AE"/>
              </w:rPr>
            </w:pPr>
            <w:r w:rsidRPr="0064703D">
              <w:rPr>
                <w:b/>
                <w:bCs/>
                <w:color w:val="000000"/>
                <w:lang w:val="en-GB" w:eastAsia="en-AE"/>
              </w:rPr>
              <w:t>18.525.270</w:t>
            </w:r>
          </w:p>
        </w:tc>
        <w:tc>
          <w:tcPr>
            <w:tcW w:w="1407" w:type="dxa"/>
            <w:tcBorders>
              <w:top w:val="single" w:sz="8" w:space="0" w:color="95B3D7"/>
              <w:left w:val="nil"/>
              <w:bottom w:val="nil"/>
              <w:right w:val="nil"/>
            </w:tcBorders>
            <w:shd w:val="clear" w:color="000000" w:fill="DCE6F1"/>
            <w:vAlign w:val="center"/>
            <w:hideMark/>
          </w:tcPr>
          <w:p w14:paraId="21A0E52D" w14:textId="380C0127" w:rsidR="00A52932" w:rsidRPr="006D3111" w:rsidRDefault="006D3111" w:rsidP="006D3111">
            <w:pPr>
              <w:jc w:val="center"/>
              <w:rPr>
                <w:b/>
                <w:bCs/>
                <w:color w:val="000000"/>
                <w:lang w:eastAsia="en-AE"/>
              </w:rPr>
            </w:pPr>
            <w:r>
              <w:rPr>
                <w:b/>
                <w:bCs/>
                <w:color w:val="000000"/>
                <w:lang w:eastAsia="en-AE"/>
              </w:rPr>
              <w:t>41.201.602</w:t>
            </w:r>
          </w:p>
        </w:tc>
        <w:tc>
          <w:tcPr>
            <w:tcW w:w="1613" w:type="dxa"/>
            <w:tcBorders>
              <w:top w:val="single" w:sz="8" w:space="0" w:color="95B3D7"/>
              <w:left w:val="nil"/>
              <w:bottom w:val="nil"/>
              <w:right w:val="nil"/>
            </w:tcBorders>
            <w:shd w:val="clear" w:color="000000" w:fill="DCE6F1"/>
            <w:vAlign w:val="center"/>
            <w:hideMark/>
          </w:tcPr>
          <w:p w14:paraId="3484A0BA" w14:textId="6CD6C0FF" w:rsidR="00A52932" w:rsidRPr="006D3111" w:rsidRDefault="00A52932" w:rsidP="00375BAC">
            <w:pPr>
              <w:jc w:val="center"/>
              <w:rPr>
                <w:b/>
                <w:bCs/>
                <w:color w:val="000000"/>
                <w:lang w:eastAsia="en-AE"/>
              </w:rPr>
            </w:pPr>
            <w:r w:rsidRPr="0064703D">
              <w:rPr>
                <w:b/>
                <w:bCs/>
                <w:color w:val="000000"/>
                <w:lang w:val="en-GB" w:eastAsia="en-AE"/>
              </w:rPr>
              <w:t> </w:t>
            </w:r>
            <w:r w:rsidR="006D3111">
              <w:rPr>
                <w:b/>
                <w:bCs/>
                <w:color w:val="000000"/>
                <w:lang w:eastAsia="en-AE"/>
              </w:rPr>
              <w:t>25,7%</w:t>
            </w:r>
          </w:p>
        </w:tc>
        <w:tc>
          <w:tcPr>
            <w:tcW w:w="1371" w:type="dxa"/>
            <w:tcBorders>
              <w:top w:val="single" w:sz="8" w:space="0" w:color="95B3D7"/>
              <w:left w:val="nil"/>
              <w:bottom w:val="nil"/>
              <w:right w:val="nil"/>
            </w:tcBorders>
            <w:shd w:val="clear" w:color="000000" w:fill="DCE6F1"/>
            <w:vAlign w:val="center"/>
            <w:hideMark/>
          </w:tcPr>
          <w:p w14:paraId="5F16CDF2" w14:textId="4925A344" w:rsidR="00A52932" w:rsidRPr="006D3111" w:rsidRDefault="006D3111" w:rsidP="006D3111">
            <w:pPr>
              <w:jc w:val="center"/>
              <w:rPr>
                <w:b/>
                <w:bCs/>
                <w:color w:val="000000"/>
                <w:lang w:eastAsia="en-AE"/>
              </w:rPr>
            </w:pPr>
            <w:r>
              <w:rPr>
                <w:b/>
                <w:bCs/>
                <w:color w:val="000000"/>
                <w:lang w:eastAsia="en-AE"/>
              </w:rPr>
              <w:t>15,9%</w:t>
            </w:r>
          </w:p>
        </w:tc>
      </w:tr>
    </w:tbl>
    <w:p w14:paraId="6F8803D7" w14:textId="34E87C9B" w:rsidR="00A52932" w:rsidRPr="00673AE7" w:rsidRDefault="00673AE7" w:rsidP="00BA4531">
      <w:pPr>
        <w:jc w:val="both"/>
        <w:rPr>
          <w:rFonts w:ascii="Arial Narrow" w:hAnsi="Arial Narrow"/>
          <w:i/>
          <w:color w:val="1F497D" w:themeColor="text2"/>
          <w:sz w:val="24"/>
          <w:szCs w:val="24"/>
        </w:rPr>
      </w:pPr>
      <w:r w:rsidRPr="00673AE7">
        <w:rPr>
          <w:rFonts w:ascii="Arial Narrow" w:hAnsi="Arial Narrow"/>
          <w:i/>
          <w:color w:val="1F497D" w:themeColor="text2"/>
          <w:sz w:val="24"/>
          <w:szCs w:val="24"/>
        </w:rPr>
        <w:t xml:space="preserve">Πηγές: ΕΛΣΤΑΤ – Επεξεργασία Γραφείου ΟΕΥ Ντουμπάϊ </w:t>
      </w:r>
    </w:p>
    <w:p w14:paraId="3FAE25C3" w14:textId="586A98C0" w:rsidR="009E351D" w:rsidRDefault="009E351D" w:rsidP="009E351D">
      <w:pPr>
        <w:pStyle w:val="Heading2"/>
        <w:numPr>
          <w:ilvl w:val="0"/>
          <w:numId w:val="0"/>
        </w:numPr>
        <w:ind w:left="576" w:hanging="576"/>
        <w:rPr>
          <w:rFonts w:ascii="Arial Narrow" w:hAnsi="Arial Narrow"/>
          <w:color w:val="1F497D" w:themeColor="text2"/>
          <w:sz w:val="28"/>
          <w:szCs w:val="28"/>
        </w:rPr>
      </w:pPr>
      <w:r>
        <w:rPr>
          <w:rFonts w:ascii="Arial Narrow" w:hAnsi="Arial Narrow"/>
          <w:color w:val="1F497D" w:themeColor="text2"/>
          <w:sz w:val="28"/>
          <w:szCs w:val="28"/>
        </w:rPr>
        <w:t xml:space="preserve">4.1. </w:t>
      </w:r>
      <w:r w:rsidRPr="009E351D">
        <w:rPr>
          <w:rFonts w:ascii="Arial Narrow" w:hAnsi="Arial Narrow"/>
          <w:color w:val="1F497D" w:themeColor="text2"/>
          <w:sz w:val="28"/>
          <w:szCs w:val="28"/>
        </w:rPr>
        <w:t>Εξωτερικό Εμπόριο Ελλάδος – ΗΑΕ</w:t>
      </w:r>
    </w:p>
    <w:p w14:paraId="374A1110" w14:textId="2D2504F2" w:rsidR="0017623E" w:rsidRDefault="0017623E" w:rsidP="0017623E">
      <w:pPr>
        <w:jc w:val="both"/>
        <w:rPr>
          <w:rFonts w:ascii="Arial Narrow" w:hAnsi="Arial Narrow"/>
          <w:sz w:val="24"/>
          <w:szCs w:val="24"/>
        </w:rPr>
      </w:pPr>
      <w:r>
        <w:rPr>
          <w:rFonts w:ascii="Arial Narrow" w:hAnsi="Arial Narrow"/>
          <w:sz w:val="24"/>
          <w:szCs w:val="24"/>
        </w:rPr>
        <w:t>Η δομή των ελληνικών εξαγωγών προς τα Ηνωμένα Αραβικά Εμιράτα συμπεριλαμβάνει τα εξής: οι κύριες κατηγορίες προϊόντων είναι τα τρόφιμα &amp; αγροτικά προϊόντα (ελαιόλαδο, γαλακτοκομικά, φρούτα &amp; λαχανικά και ιχθυηρά – προϊόντα που αποτελούν τη μεγαλύτερη κατηγορία προϊόντων, φαρμακευτικά &amp; χημικά (</w:t>
      </w:r>
      <w:r>
        <w:rPr>
          <w:rFonts w:ascii="Arial Narrow" w:hAnsi="Arial Narrow"/>
          <w:sz w:val="24"/>
          <w:szCs w:val="24"/>
          <w:lang w:val="en-US"/>
        </w:rPr>
        <w:t>generics</w:t>
      </w:r>
      <w:r w:rsidRPr="0017623E">
        <w:rPr>
          <w:rFonts w:ascii="Arial Narrow" w:hAnsi="Arial Narrow"/>
          <w:sz w:val="24"/>
          <w:szCs w:val="24"/>
        </w:rPr>
        <w:t xml:space="preserve">, </w:t>
      </w:r>
      <w:r>
        <w:rPr>
          <w:rFonts w:ascii="Arial Narrow" w:hAnsi="Arial Narrow"/>
          <w:sz w:val="24"/>
          <w:szCs w:val="24"/>
        </w:rPr>
        <w:t xml:space="preserve">καλλυντικά &amp; ειδικά χημικά προϊόντα), Μηχανήματα και Βιομηχανικά Προϊόντα (εξοπλισμός ενέργειας, μηχανολογικός εξοπλισμός &amp; κατασκευαστικά υλικά), Ναυτιλία &amp; τεχνικός εξοπλισμός (υπηρεσίες και ανταλλακτικά, </w:t>
      </w:r>
      <w:r w:rsidR="00BE2B6B">
        <w:rPr>
          <w:rFonts w:ascii="Arial Narrow" w:hAnsi="Arial Narrow"/>
          <w:sz w:val="24"/>
          <w:szCs w:val="24"/>
          <w:lang w:val="en-US"/>
        </w:rPr>
        <w:t>maritime</w:t>
      </w:r>
      <w:r w:rsidR="00BE2B6B" w:rsidRPr="00BE2B6B">
        <w:rPr>
          <w:rFonts w:ascii="Arial Narrow" w:hAnsi="Arial Narrow"/>
          <w:sz w:val="24"/>
          <w:szCs w:val="24"/>
        </w:rPr>
        <w:t xml:space="preserve"> </w:t>
      </w:r>
      <w:r w:rsidR="00BE2B6B">
        <w:rPr>
          <w:rFonts w:ascii="Arial Narrow" w:hAnsi="Arial Narrow"/>
          <w:sz w:val="24"/>
          <w:szCs w:val="24"/>
          <w:lang w:val="en-US"/>
        </w:rPr>
        <w:t>technology</w:t>
      </w:r>
      <w:r w:rsidR="00BE2B6B" w:rsidRPr="00BE2B6B">
        <w:rPr>
          <w:rFonts w:ascii="Arial Narrow" w:hAnsi="Arial Narrow"/>
          <w:sz w:val="24"/>
          <w:szCs w:val="24"/>
        </w:rPr>
        <w:t xml:space="preserve">). </w:t>
      </w:r>
    </w:p>
    <w:p w14:paraId="003B7F40" w14:textId="063CFD55" w:rsidR="00BE2B6B" w:rsidRPr="006F09B9" w:rsidRDefault="006F09B9" w:rsidP="00202743">
      <w:pPr>
        <w:jc w:val="center"/>
        <w:rPr>
          <w:rFonts w:ascii="Arial Narrow" w:hAnsi="Arial Narrow"/>
          <w:b/>
          <w:color w:val="4F81BD" w:themeColor="accent1"/>
          <w:sz w:val="28"/>
          <w:szCs w:val="28"/>
        </w:rPr>
      </w:pPr>
      <w:r w:rsidRPr="006F09B9">
        <w:rPr>
          <w:rFonts w:ascii="Arial Narrow" w:hAnsi="Arial Narrow"/>
          <w:b/>
          <w:color w:val="4F81BD" w:themeColor="accent1"/>
          <w:sz w:val="28"/>
          <w:szCs w:val="28"/>
        </w:rPr>
        <w:t xml:space="preserve">ΠΙΝΑΚΑΣ </w:t>
      </w:r>
      <w:r w:rsidR="00451B2E">
        <w:rPr>
          <w:rFonts w:ascii="Arial Narrow" w:hAnsi="Arial Narrow"/>
          <w:b/>
          <w:color w:val="4F81BD" w:themeColor="accent1"/>
          <w:sz w:val="28"/>
          <w:szCs w:val="28"/>
        </w:rPr>
        <w:t xml:space="preserve">18 </w:t>
      </w:r>
      <w:r w:rsidR="00026058" w:rsidRPr="00026058">
        <w:rPr>
          <w:rFonts w:ascii="Arial Narrow" w:hAnsi="Arial Narrow"/>
          <w:b/>
          <w:color w:val="4F81BD" w:themeColor="accent1"/>
          <w:sz w:val="28"/>
          <w:szCs w:val="28"/>
        </w:rPr>
        <w:t xml:space="preserve"> </w:t>
      </w:r>
      <w:r w:rsidRPr="006F09B9">
        <w:rPr>
          <w:rFonts w:ascii="Arial Narrow" w:hAnsi="Arial Narrow"/>
          <w:b/>
          <w:color w:val="4F81BD" w:themeColor="accent1"/>
          <w:sz w:val="28"/>
          <w:szCs w:val="28"/>
        </w:rPr>
        <w:t xml:space="preserve"> - </w:t>
      </w:r>
      <w:r w:rsidR="00BE2B6B" w:rsidRPr="006F09B9">
        <w:rPr>
          <w:rFonts w:ascii="Arial Narrow" w:hAnsi="Arial Narrow"/>
          <w:b/>
          <w:color w:val="4F81BD" w:themeColor="accent1"/>
          <w:sz w:val="28"/>
          <w:szCs w:val="28"/>
        </w:rPr>
        <w:t>ΠΕΝΤΕ ΚΥΡΙΟΤΕΡΕΣ ΚΑΤΗΓΟΡΙΕΣ ΕΞΑΓΩΓΩΝ ΑΠΟ ΤΗΝ ΕΛΛΔΑ ΠΡΟΣ ΗΑΕ</w:t>
      </w:r>
    </w:p>
    <w:p w14:paraId="442D8016" w14:textId="73EB34D2" w:rsidR="00202743" w:rsidRPr="006F09B9" w:rsidRDefault="00202743" w:rsidP="00202743">
      <w:pPr>
        <w:jc w:val="center"/>
        <w:rPr>
          <w:rFonts w:ascii="Arial Narrow" w:hAnsi="Arial Narrow"/>
          <w:b/>
          <w:color w:val="4F81BD" w:themeColor="accent1"/>
          <w:sz w:val="24"/>
          <w:szCs w:val="24"/>
        </w:rPr>
      </w:pPr>
      <w:r w:rsidRPr="006F09B9">
        <w:rPr>
          <w:rFonts w:ascii="Arial Narrow" w:hAnsi="Arial Narrow"/>
          <w:b/>
          <w:color w:val="4F81BD" w:themeColor="accent1"/>
          <w:sz w:val="24"/>
          <w:szCs w:val="24"/>
        </w:rPr>
        <w:t>2ψήφιο κεφάλαιο συνδυασμένης ονοματολογίας – Αξία σε €</w:t>
      </w:r>
    </w:p>
    <w:tbl>
      <w:tblPr>
        <w:tblStyle w:val="TableGrid"/>
        <w:tblW w:w="0" w:type="auto"/>
        <w:tblInd w:w="-185" w:type="dxa"/>
        <w:tblLook w:val="04A0" w:firstRow="1" w:lastRow="0" w:firstColumn="1" w:lastColumn="0" w:noHBand="0" w:noVBand="1"/>
      </w:tblPr>
      <w:tblGrid>
        <w:gridCol w:w="598"/>
        <w:gridCol w:w="984"/>
        <w:gridCol w:w="936"/>
        <w:gridCol w:w="691"/>
        <w:gridCol w:w="597"/>
        <w:gridCol w:w="1239"/>
        <w:gridCol w:w="936"/>
        <w:gridCol w:w="691"/>
        <w:gridCol w:w="597"/>
        <w:gridCol w:w="1033"/>
        <w:gridCol w:w="963"/>
        <w:gridCol w:w="691"/>
      </w:tblGrid>
      <w:tr w:rsidR="001861F4" w:rsidRPr="006F09B9" w14:paraId="6CABF409" w14:textId="77777777" w:rsidTr="00202743">
        <w:tc>
          <w:tcPr>
            <w:tcW w:w="999" w:type="dxa"/>
          </w:tcPr>
          <w:p w14:paraId="54DF4807" w14:textId="13CCFEE2" w:rsidR="00BE2B6B" w:rsidRPr="006F09B9" w:rsidRDefault="00202743" w:rsidP="0017623E">
            <w:pPr>
              <w:jc w:val="both"/>
              <w:rPr>
                <w:rFonts w:ascii="Arial Narrow" w:hAnsi="Arial Narrow"/>
                <w:b/>
                <w:color w:val="4F81BD" w:themeColor="accent1"/>
                <w:lang w:val="en-US"/>
              </w:rPr>
            </w:pPr>
            <w:r w:rsidRPr="006F09B9">
              <w:rPr>
                <w:rFonts w:ascii="Arial Narrow" w:hAnsi="Arial Narrow"/>
                <w:b/>
                <w:color w:val="4F81BD" w:themeColor="accent1"/>
                <w:lang w:val="en-US"/>
              </w:rPr>
              <w:t>HS CODE</w:t>
            </w:r>
          </w:p>
        </w:tc>
        <w:tc>
          <w:tcPr>
            <w:tcW w:w="814" w:type="dxa"/>
          </w:tcPr>
          <w:p w14:paraId="14DB2756" w14:textId="09EE65FF" w:rsidR="00BE2B6B" w:rsidRPr="006F09B9" w:rsidRDefault="00202743" w:rsidP="0017623E">
            <w:pPr>
              <w:jc w:val="both"/>
              <w:rPr>
                <w:rFonts w:ascii="Arial Narrow" w:hAnsi="Arial Narrow"/>
                <w:b/>
                <w:color w:val="4F81BD" w:themeColor="accent1"/>
              </w:rPr>
            </w:pPr>
            <w:r w:rsidRPr="006F09B9">
              <w:rPr>
                <w:rFonts w:ascii="Arial Narrow" w:hAnsi="Arial Narrow"/>
                <w:b/>
                <w:color w:val="4F81BD" w:themeColor="accent1"/>
                <w:lang w:val="en-US"/>
              </w:rPr>
              <w:t>KA</w:t>
            </w:r>
            <w:r w:rsidRPr="006F09B9">
              <w:rPr>
                <w:rFonts w:ascii="Arial Narrow" w:hAnsi="Arial Narrow"/>
                <w:b/>
                <w:color w:val="4F81BD" w:themeColor="accent1"/>
              </w:rPr>
              <w:t xml:space="preserve">ΤΗΓΟΡΙΑ </w:t>
            </w:r>
          </w:p>
        </w:tc>
        <w:tc>
          <w:tcPr>
            <w:tcW w:w="814" w:type="dxa"/>
          </w:tcPr>
          <w:p w14:paraId="3680CC35" w14:textId="21F4E3DA" w:rsidR="00BE2B6B" w:rsidRPr="006F09B9" w:rsidRDefault="00202743" w:rsidP="0017623E">
            <w:pPr>
              <w:jc w:val="both"/>
              <w:rPr>
                <w:rFonts w:ascii="Arial Narrow" w:hAnsi="Arial Narrow"/>
                <w:b/>
                <w:color w:val="4F81BD" w:themeColor="accent1"/>
              </w:rPr>
            </w:pPr>
            <w:r w:rsidRPr="006F09B9">
              <w:rPr>
                <w:rFonts w:ascii="Arial Narrow" w:hAnsi="Arial Narrow"/>
                <w:b/>
                <w:color w:val="4F81BD" w:themeColor="accent1"/>
              </w:rPr>
              <w:t>2024</w:t>
            </w:r>
          </w:p>
        </w:tc>
        <w:tc>
          <w:tcPr>
            <w:tcW w:w="814" w:type="dxa"/>
          </w:tcPr>
          <w:p w14:paraId="0626EF6A" w14:textId="10FCF8E6" w:rsidR="00BE2B6B" w:rsidRPr="006F09B9" w:rsidRDefault="00202743" w:rsidP="0017623E">
            <w:pPr>
              <w:jc w:val="both"/>
              <w:rPr>
                <w:rFonts w:ascii="Arial Narrow" w:hAnsi="Arial Narrow"/>
                <w:b/>
                <w:color w:val="4F81BD" w:themeColor="accent1"/>
              </w:rPr>
            </w:pPr>
            <w:r w:rsidRPr="006F09B9">
              <w:rPr>
                <w:rFonts w:ascii="Arial Narrow" w:hAnsi="Arial Narrow"/>
                <w:b/>
                <w:color w:val="4F81BD" w:themeColor="accent1"/>
              </w:rPr>
              <w:t xml:space="preserve">% στο σύνολο </w:t>
            </w:r>
          </w:p>
        </w:tc>
        <w:tc>
          <w:tcPr>
            <w:tcW w:w="814" w:type="dxa"/>
          </w:tcPr>
          <w:p w14:paraId="1EBB670A" w14:textId="42E0FF78" w:rsidR="00BE2B6B" w:rsidRPr="006F09B9" w:rsidRDefault="00C94147" w:rsidP="0017623E">
            <w:pPr>
              <w:jc w:val="both"/>
              <w:rPr>
                <w:rFonts w:ascii="Arial Narrow" w:hAnsi="Arial Narrow"/>
                <w:b/>
                <w:color w:val="4F81BD" w:themeColor="accent1"/>
                <w:lang w:val="en-US"/>
              </w:rPr>
            </w:pPr>
            <w:r w:rsidRPr="006F09B9">
              <w:rPr>
                <w:rFonts w:ascii="Arial Narrow" w:hAnsi="Arial Narrow"/>
                <w:b/>
                <w:color w:val="4F81BD" w:themeColor="accent1"/>
                <w:lang w:val="en-US"/>
              </w:rPr>
              <w:t>HS CODE</w:t>
            </w:r>
          </w:p>
        </w:tc>
        <w:tc>
          <w:tcPr>
            <w:tcW w:w="814" w:type="dxa"/>
          </w:tcPr>
          <w:p w14:paraId="166CA096" w14:textId="4DF0F0E8" w:rsidR="00BE2B6B" w:rsidRPr="006F09B9" w:rsidRDefault="00C94147" w:rsidP="0017623E">
            <w:pPr>
              <w:jc w:val="both"/>
              <w:rPr>
                <w:rFonts w:ascii="Arial Narrow" w:hAnsi="Arial Narrow"/>
                <w:b/>
                <w:color w:val="4F81BD" w:themeColor="accent1"/>
              </w:rPr>
            </w:pPr>
            <w:r w:rsidRPr="006F09B9">
              <w:rPr>
                <w:rFonts w:ascii="Arial Narrow" w:hAnsi="Arial Narrow"/>
                <w:b/>
                <w:color w:val="4F81BD" w:themeColor="accent1"/>
              </w:rPr>
              <w:t xml:space="preserve">ΚΑΤΗΓΟΡΙΑ </w:t>
            </w:r>
          </w:p>
        </w:tc>
        <w:tc>
          <w:tcPr>
            <w:tcW w:w="814" w:type="dxa"/>
          </w:tcPr>
          <w:p w14:paraId="60594593" w14:textId="200E44CA" w:rsidR="00BE2B6B" w:rsidRPr="006F09B9" w:rsidRDefault="00C94147" w:rsidP="0017623E">
            <w:pPr>
              <w:jc w:val="both"/>
              <w:rPr>
                <w:rFonts w:ascii="Arial Narrow" w:hAnsi="Arial Narrow"/>
                <w:b/>
                <w:color w:val="4F81BD" w:themeColor="accent1"/>
              </w:rPr>
            </w:pPr>
            <w:r w:rsidRPr="006F09B9">
              <w:rPr>
                <w:rFonts w:ascii="Arial Narrow" w:hAnsi="Arial Narrow"/>
                <w:b/>
                <w:color w:val="4F81BD" w:themeColor="accent1"/>
              </w:rPr>
              <w:t>2025</w:t>
            </w:r>
          </w:p>
        </w:tc>
        <w:tc>
          <w:tcPr>
            <w:tcW w:w="814" w:type="dxa"/>
          </w:tcPr>
          <w:p w14:paraId="5BCF0340" w14:textId="56C431FC" w:rsidR="00BE2B6B" w:rsidRPr="006F09B9" w:rsidRDefault="00C94147" w:rsidP="0017623E">
            <w:pPr>
              <w:jc w:val="both"/>
              <w:rPr>
                <w:rFonts w:ascii="Arial Narrow" w:hAnsi="Arial Narrow"/>
                <w:b/>
                <w:color w:val="4F81BD" w:themeColor="accent1"/>
              </w:rPr>
            </w:pPr>
            <w:r w:rsidRPr="006F09B9">
              <w:rPr>
                <w:rFonts w:ascii="Arial Narrow" w:hAnsi="Arial Narrow"/>
                <w:b/>
                <w:color w:val="4F81BD" w:themeColor="accent1"/>
              </w:rPr>
              <w:t xml:space="preserve">% στο σύνολο </w:t>
            </w:r>
          </w:p>
        </w:tc>
        <w:tc>
          <w:tcPr>
            <w:tcW w:w="814" w:type="dxa"/>
          </w:tcPr>
          <w:p w14:paraId="2FBC88D7" w14:textId="380D6818" w:rsidR="00BE2B6B" w:rsidRPr="006F09B9" w:rsidRDefault="00C94147" w:rsidP="0017623E">
            <w:pPr>
              <w:jc w:val="both"/>
              <w:rPr>
                <w:rFonts w:ascii="Arial Narrow" w:hAnsi="Arial Narrow"/>
                <w:b/>
                <w:color w:val="4F81BD" w:themeColor="accent1"/>
                <w:lang w:val="en-US"/>
              </w:rPr>
            </w:pPr>
            <w:r w:rsidRPr="006F09B9">
              <w:rPr>
                <w:rFonts w:ascii="Arial Narrow" w:hAnsi="Arial Narrow"/>
                <w:b/>
                <w:color w:val="4F81BD" w:themeColor="accent1"/>
                <w:lang w:val="en-US"/>
              </w:rPr>
              <w:t>HS CODE</w:t>
            </w:r>
          </w:p>
        </w:tc>
        <w:tc>
          <w:tcPr>
            <w:tcW w:w="815" w:type="dxa"/>
          </w:tcPr>
          <w:p w14:paraId="6EDA6ABB" w14:textId="52E20526" w:rsidR="00BE2B6B" w:rsidRPr="006F09B9" w:rsidRDefault="00C94147" w:rsidP="0017623E">
            <w:pPr>
              <w:jc w:val="both"/>
              <w:rPr>
                <w:rFonts w:ascii="Arial Narrow" w:hAnsi="Arial Narrow"/>
                <w:b/>
                <w:color w:val="4F81BD" w:themeColor="accent1"/>
              </w:rPr>
            </w:pPr>
            <w:r w:rsidRPr="006F09B9">
              <w:rPr>
                <w:rFonts w:ascii="Arial Narrow" w:hAnsi="Arial Narrow"/>
                <w:b/>
                <w:color w:val="4F81BD" w:themeColor="accent1"/>
                <w:lang w:val="en-US"/>
              </w:rPr>
              <w:t>KATH</w:t>
            </w:r>
            <w:r w:rsidRPr="006F09B9">
              <w:rPr>
                <w:rFonts w:ascii="Arial Narrow" w:hAnsi="Arial Narrow"/>
                <w:b/>
                <w:color w:val="4F81BD" w:themeColor="accent1"/>
              </w:rPr>
              <w:t xml:space="preserve">ΓΟΡΙΑ </w:t>
            </w:r>
          </w:p>
        </w:tc>
        <w:tc>
          <w:tcPr>
            <w:tcW w:w="815" w:type="dxa"/>
          </w:tcPr>
          <w:p w14:paraId="4C3D84D7" w14:textId="36043DE8" w:rsidR="00BE2B6B" w:rsidRPr="006F09B9" w:rsidRDefault="00C94147" w:rsidP="0017623E">
            <w:pPr>
              <w:jc w:val="both"/>
              <w:rPr>
                <w:rFonts w:ascii="Arial Narrow" w:hAnsi="Arial Narrow"/>
                <w:b/>
                <w:color w:val="4F81BD" w:themeColor="accent1"/>
              </w:rPr>
            </w:pPr>
            <w:r w:rsidRPr="006F09B9">
              <w:rPr>
                <w:rFonts w:ascii="Arial Narrow" w:hAnsi="Arial Narrow"/>
                <w:b/>
                <w:color w:val="4F81BD" w:themeColor="accent1"/>
              </w:rPr>
              <w:t>Α΄ΤΡΙΜΗΝΟ 2026</w:t>
            </w:r>
          </w:p>
        </w:tc>
        <w:tc>
          <w:tcPr>
            <w:tcW w:w="815" w:type="dxa"/>
          </w:tcPr>
          <w:p w14:paraId="6F1DFE26" w14:textId="130D79F1" w:rsidR="00BE2B6B" w:rsidRPr="006F09B9" w:rsidRDefault="00C94147" w:rsidP="0017623E">
            <w:pPr>
              <w:jc w:val="both"/>
              <w:rPr>
                <w:rFonts w:ascii="Arial Narrow" w:hAnsi="Arial Narrow"/>
                <w:b/>
                <w:color w:val="4F81BD" w:themeColor="accent1"/>
              </w:rPr>
            </w:pPr>
            <w:r w:rsidRPr="006F09B9">
              <w:rPr>
                <w:rFonts w:ascii="Arial Narrow" w:hAnsi="Arial Narrow"/>
                <w:b/>
                <w:color w:val="4F81BD" w:themeColor="accent1"/>
              </w:rPr>
              <w:t xml:space="preserve">% στο σύνολο </w:t>
            </w:r>
          </w:p>
        </w:tc>
      </w:tr>
      <w:tr w:rsidR="001861F4" w:rsidRPr="006F09B9" w14:paraId="071C424E" w14:textId="77777777" w:rsidTr="00202743">
        <w:trPr>
          <w:trHeight w:val="350"/>
        </w:trPr>
        <w:tc>
          <w:tcPr>
            <w:tcW w:w="999" w:type="dxa"/>
          </w:tcPr>
          <w:p w14:paraId="1BBDDD68" w14:textId="393D541E" w:rsidR="00BE2B6B" w:rsidRPr="006F09B9" w:rsidRDefault="00C94147" w:rsidP="0017623E">
            <w:pPr>
              <w:jc w:val="both"/>
              <w:rPr>
                <w:rFonts w:ascii="Arial Narrow" w:hAnsi="Arial Narrow"/>
                <w:b/>
                <w:color w:val="4F81BD" w:themeColor="accent1"/>
              </w:rPr>
            </w:pPr>
            <w:r w:rsidRPr="006F09B9">
              <w:rPr>
                <w:rFonts w:ascii="Arial Narrow" w:hAnsi="Arial Narrow"/>
                <w:b/>
                <w:color w:val="4F81BD" w:themeColor="accent1"/>
              </w:rPr>
              <w:t>2402</w:t>
            </w:r>
          </w:p>
        </w:tc>
        <w:tc>
          <w:tcPr>
            <w:tcW w:w="814" w:type="dxa"/>
          </w:tcPr>
          <w:p w14:paraId="5DE3940E" w14:textId="0DE9150A" w:rsidR="00BE2B6B" w:rsidRPr="006F09B9" w:rsidRDefault="00C94147" w:rsidP="0017623E">
            <w:pPr>
              <w:jc w:val="both"/>
              <w:rPr>
                <w:rFonts w:ascii="Arial Narrow" w:hAnsi="Arial Narrow"/>
                <w:b/>
                <w:color w:val="4F81BD" w:themeColor="accent1"/>
              </w:rPr>
            </w:pPr>
            <w:r w:rsidRPr="006F09B9">
              <w:rPr>
                <w:rFonts w:ascii="Arial Narrow" w:hAnsi="Arial Narrow"/>
                <w:b/>
                <w:color w:val="4F81BD" w:themeColor="accent1"/>
              </w:rPr>
              <w:t xml:space="preserve">Πούρα &amp; Τσιγάρα </w:t>
            </w:r>
          </w:p>
        </w:tc>
        <w:tc>
          <w:tcPr>
            <w:tcW w:w="814" w:type="dxa"/>
          </w:tcPr>
          <w:p w14:paraId="7EB3BC8B" w14:textId="5845EBE9" w:rsidR="00BE2B6B" w:rsidRPr="006F09B9" w:rsidRDefault="00C94147" w:rsidP="0017623E">
            <w:pPr>
              <w:jc w:val="both"/>
              <w:rPr>
                <w:rFonts w:ascii="Arial Narrow" w:hAnsi="Arial Narrow"/>
                <w:b/>
                <w:color w:val="4F81BD" w:themeColor="accent1"/>
              </w:rPr>
            </w:pPr>
            <w:r w:rsidRPr="006F09B9">
              <w:rPr>
                <w:rFonts w:ascii="Arial Narrow" w:hAnsi="Arial Narrow"/>
                <w:b/>
                <w:color w:val="4F81BD" w:themeColor="accent1"/>
              </w:rPr>
              <w:t>50.808.822</w:t>
            </w:r>
          </w:p>
        </w:tc>
        <w:tc>
          <w:tcPr>
            <w:tcW w:w="814" w:type="dxa"/>
          </w:tcPr>
          <w:p w14:paraId="50550A12" w14:textId="30AB0F33" w:rsidR="00BE2B6B" w:rsidRPr="006F09B9" w:rsidRDefault="00C94147" w:rsidP="0017623E">
            <w:pPr>
              <w:jc w:val="both"/>
              <w:rPr>
                <w:rFonts w:ascii="Arial Narrow" w:hAnsi="Arial Narrow"/>
                <w:b/>
                <w:color w:val="4F81BD" w:themeColor="accent1"/>
              </w:rPr>
            </w:pPr>
            <w:r w:rsidRPr="006F09B9">
              <w:rPr>
                <w:rFonts w:ascii="Arial Narrow" w:hAnsi="Arial Narrow"/>
                <w:b/>
                <w:color w:val="4F81BD" w:themeColor="accent1"/>
              </w:rPr>
              <w:t>19,6%</w:t>
            </w:r>
          </w:p>
        </w:tc>
        <w:tc>
          <w:tcPr>
            <w:tcW w:w="814" w:type="dxa"/>
          </w:tcPr>
          <w:p w14:paraId="69702BD4" w14:textId="56DE6A66" w:rsidR="00BE2B6B" w:rsidRPr="006F09B9" w:rsidRDefault="00C94147" w:rsidP="0017623E">
            <w:pPr>
              <w:jc w:val="both"/>
              <w:rPr>
                <w:rFonts w:ascii="Arial Narrow" w:hAnsi="Arial Narrow"/>
                <w:b/>
                <w:color w:val="4F81BD" w:themeColor="accent1"/>
              </w:rPr>
            </w:pPr>
            <w:r w:rsidRPr="006F09B9">
              <w:rPr>
                <w:rFonts w:ascii="Arial Narrow" w:hAnsi="Arial Narrow"/>
                <w:b/>
                <w:color w:val="4F81BD" w:themeColor="accent1"/>
              </w:rPr>
              <w:t>2710</w:t>
            </w:r>
          </w:p>
        </w:tc>
        <w:tc>
          <w:tcPr>
            <w:tcW w:w="814" w:type="dxa"/>
          </w:tcPr>
          <w:p w14:paraId="0F4E554F" w14:textId="0A8497B8" w:rsidR="00BE2B6B" w:rsidRPr="006F09B9" w:rsidRDefault="00C94147" w:rsidP="0017623E">
            <w:pPr>
              <w:jc w:val="both"/>
              <w:rPr>
                <w:rFonts w:ascii="Arial Narrow" w:hAnsi="Arial Narrow"/>
                <w:b/>
                <w:color w:val="4F81BD" w:themeColor="accent1"/>
              </w:rPr>
            </w:pPr>
            <w:r w:rsidRPr="006F09B9">
              <w:rPr>
                <w:rFonts w:ascii="Arial Narrow" w:hAnsi="Arial Narrow"/>
                <w:b/>
                <w:color w:val="4F81BD" w:themeColor="accent1"/>
              </w:rPr>
              <w:t>Λάδια από πετρέλαιο</w:t>
            </w:r>
          </w:p>
        </w:tc>
        <w:tc>
          <w:tcPr>
            <w:tcW w:w="814" w:type="dxa"/>
          </w:tcPr>
          <w:p w14:paraId="4B2B83C0" w14:textId="5EF675AD"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51.048.03</w:t>
            </w:r>
          </w:p>
        </w:tc>
        <w:tc>
          <w:tcPr>
            <w:tcW w:w="814" w:type="dxa"/>
          </w:tcPr>
          <w:p w14:paraId="5F6A4499" w14:textId="7246B314"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14,6%</w:t>
            </w:r>
          </w:p>
        </w:tc>
        <w:tc>
          <w:tcPr>
            <w:tcW w:w="814" w:type="dxa"/>
          </w:tcPr>
          <w:p w14:paraId="0AD69859" w14:textId="13FCC693"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2402</w:t>
            </w:r>
          </w:p>
        </w:tc>
        <w:tc>
          <w:tcPr>
            <w:tcW w:w="815" w:type="dxa"/>
          </w:tcPr>
          <w:p w14:paraId="659F3DFC" w14:textId="70B3C02C"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Πούρα &amp; Τσιγάρα</w:t>
            </w:r>
          </w:p>
        </w:tc>
        <w:tc>
          <w:tcPr>
            <w:tcW w:w="815" w:type="dxa"/>
          </w:tcPr>
          <w:p w14:paraId="2919DA78" w14:textId="0B40AB79"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9.919.389</w:t>
            </w:r>
          </w:p>
        </w:tc>
        <w:tc>
          <w:tcPr>
            <w:tcW w:w="815" w:type="dxa"/>
          </w:tcPr>
          <w:p w14:paraId="5FDEF2FA" w14:textId="0731440E"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14,1%</w:t>
            </w:r>
          </w:p>
        </w:tc>
      </w:tr>
      <w:tr w:rsidR="001861F4" w:rsidRPr="006F09B9" w14:paraId="2C3EC28F" w14:textId="77777777" w:rsidTr="00202743">
        <w:tc>
          <w:tcPr>
            <w:tcW w:w="999" w:type="dxa"/>
          </w:tcPr>
          <w:p w14:paraId="622869E0" w14:textId="5708FEC6" w:rsidR="00BE2B6B" w:rsidRPr="006F09B9" w:rsidRDefault="00C94147" w:rsidP="0017623E">
            <w:pPr>
              <w:jc w:val="both"/>
              <w:rPr>
                <w:rFonts w:ascii="Arial Narrow" w:hAnsi="Arial Narrow"/>
                <w:b/>
                <w:color w:val="4F81BD" w:themeColor="accent1"/>
              </w:rPr>
            </w:pPr>
            <w:r w:rsidRPr="006F09B9">
              <w:rPr>
                <w:rFonts w:ascii="Arial Narrow" w:hAnsi="Arial Narrow"/>
                <w:b/>
                <w:color w:val="4F81BD" w:themeColor="accent1"/>
              </w:rPr>
              <w:t>2710</w:t>
            </w:r>
          </w:p>
        </w:tc>
        <w:tc>
          <w:tcPr>
            <w:tcW w:w="814" w:type="dxa"/>
          </w:tcPr>
          <w:p w14:paraId="4372916A" w14:textId="34A844B9" w:rsidR="00BE2B6B" w:rsidRPr="006F09B9" w:rsidRDefault="00C94147" w:rsidP="0017623E">
            <w:pPr>
              <w:jc w:val="both"/>
              <w:rPr>
                <w:rFonts w:ascii="Arial Narrow" w:hAnsi="Arial Narrow"/>
                <w:b/>
                <w:color w:val="4F81BD" w:themeColor="accent1"/>
              </w:rPr>
            </w:pPr>
            <w:r w:rsidRPr="006F09B9">
              <w:rPr>
                <w:rFonts w:ascii="Arial Narrow" w:hAnsi="Arial Narrow"/>
                <w:b/>
                <w:color w:val="4F81BD" w:themeColor="accent1"/>
              </w:rPr>
              <w:t xml:space="preserve">Λάδια από πετρέλαιο </w:t>
            </w:r>
          </w:p>
        </w:tc>
        <w:tc>
          <w:tcPr>
            <w:tcW w:w="814" w:type="dxa"/>
          </w:tcPr>
          <w:p w14:paraId="1D415D96" w14:textId="0F2A217D" w:rsidR="00BE2B6B" w:rsidRPr="006F09B9" w:rsidRDefault="00C94147" w:rsidP="0017623E">
            <w:pPr>
              <w:jc w:val="both"/>
              <w:rPr>
                <w:rFonts w:ascii="Arial Narrow" w:hAnsi="Arial Narrow"/>
                <w:b/>
                <w:color w:val="4F81BD" w:themeColor="accent1"/>
              </w:rPr>
            </w:pPr>
            <w:r w:rsidRPr="006F09B9">
              <w:rPr>
                <w:rFonts w:ascii="Arial Narrow" w:hAnsi="Arial Narrow"/>
                <w:b/>
                <w:color w:val="4F81BD" w:themeColor="accent1"/>
              </w:rPr>
              <w:t>44.760.364</w:t>
            </w:r>
          </w:p>
        </w:tc>
        <w:tc>
          <w:tcPr>
            <w:tcW w:w="814" w:type="dxa"/>
          </w:tcPr>
          <w:p w14:paraId="6FB0014E" w14:textId="4DD14988" w:rsidR="00BE2B6B" w:rsidRPr="006F09B9" w:rsidRDefault="00C94147" w:rsidP="0017623E">
            <w:pPr>
              <w:jc w:val="both"/>
              <w:rPr>
                <w:rFonts w:ascii="Arial Narrow" w:hAnsi="Arial Narrow"/>
                <w:b/>
                <w:color w:val="4F81BD" w:themeColor="accent1"/>
              </w:rPr>
            </w:pPr>
            <w:r w:rsidRPr="006F09B9">
              <w:rPr>
                <w:rFonts w:ascii="Arial Narrow" w:hAnsi="Arial Narrow"/>
                <w:b/>
                <w:color w:val="4F81BD" w:themeColor="accent1"/>
              </w:rPr>
              <w:t>12,16%</w:t>
            </w:r>
          </w:p>
        </w:tc>
        <w:tc>
          <w:tcPr>
            <w:tcW w:w="814" w:type="dxa"/>
          </w:tcPr>
          <w:p w14:paraId="4E2F07EB" w14:textId="2CE5992E"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2402</w:t>
            </w:r>
          </w:p>
        </w:tc>
        <w:tc>
          <w:tcPr>
            <w:tcW w:w="814" w:type="dxa"/>
          </w:tcPr>
          <w:p w14:paraId="7D4FA280" w14:textId="43732863"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 xml:space="preserve">Πούρα &amp; Τσιγάρα </w:t>
            </w:r>
          </w:p>
        </w:tc>
        <w:tc>
          <w:tcPr>
            <w:tcW w:w="814" w:type="dxa"/>
          </w:tcPr>
          <w:p w14:paraId="731A0A6C" w14:textId="16F1DB68"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29.837.76</w:t>
            </w:r>
          </w:p>
        </w:tc>
        <w:tc>
          <w:tcPr>
            <w:tcW w:w="814" w:type="dxa"/>
          </w:tcPr>
          <w:p w14:paraId="490ED03D" w14:textId="40FF8283"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8,9%</w:t>
            </w:r>
          </w:p>
        </w:tc>
        <w:tc>
          <w:tcPr>
            <w:tcW w:w="814" w:type="dxa"/>
          </w:tcPr>
          <w:p w14:paraId="58578981" w14:textId="1B8744AC"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2710</w:t>
            </w:r>
          </w:p>
        </w:tc>
        <w:tc>
          <w:tcPr>
            <w:tcW w:w="815" w:type="dxa"/>
          </w:tcPr>
          <w:p w14:paraId="3142EF6F" w14:textId="630A93D1"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 xml:space="preserve">Λάδια από πετρέλαιο </w:t>
            </w:r>
          </w:p>
        </w:tc>
        <w:tc>
          <w:tcPr>
            <w:tcW w:w="815" w:type="dxa"/>
          </w:tcPr>
          <w:p w14:paraId="6FE8396E" w14:textId="597C90F6"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9.393.923</w:t>
            </w:r>
          </w:p>
        </w:tc>
        <w:tc>
          <w:tcPr>
            <w:tcW w:w="815" w:type="dxa"/>
          </w:tcPr>
          <w:p w14:paraId="3AF0356F" w14:textId="604D87B5"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13,3%</w:t>
            </w:r>
          </w:p>
        </w:tc>
      </w:tr>
      <w:tr w:rsidR="001861F4" w:rsidRPr="006F09B9" w14:paraId="0907B6BB" w14:textId="77777777" w:rsidTr="00202743">
        <w:tc>
          <w:tcPr>
            <w:tcW w:w="999" w:type="dxa"/>
          </w:tcPr>
          <w:p w14:paraId="7EBABC9D" w14:textId="20E1697D"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6802</w:t>
            </w:r>
          </w:p>
        </w:tc>
        <w:tc>
          <w:tcPr>
            <w:tcW w:w="814" w:type="dxa"/>
          </w:tcPr>
          <w:p w14:paraId="5CE2DCFA" w14:textId="587DA53F"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Πέτρες κατάλληλες για λάξευση</w:t>
            </w:r>
          </w:p>
        </w:tc>
        <w:tc>
          <w:tcPr>
            <w:tcW w:w="814" w:type="dxa"/>
          </w:tcPr>
          <w:p w14:paraId="06444C19" w14:textId="0EF0FD6A"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21.631.59</w:t>
            </w:r>
          </w:p>
        </w:tc>
        <w:tc>
          <w:tcPr>
            <w:tcW w:w="814" w:type="dxa"/>
          </w:tcPr>
          <w:p w14:paraId="0528166E" w14:textId="41661E1E"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11%</w:t>
            </w:r>
          </w:p>
        </w:tc>
        <w:tc>
          <w:tcPr>
            <w:tcW w:w="814" w:type="dxa"/>
          </w:tcPr>
          <w:p w14:paraId="6DF1280A" w14:textId="7DF05A19"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6802</w:t>
            </w:r>
          </w:p>
        </w:tc>
        <w:tc>
          <w:tcPr>
            <w:tcW w:w="814" w:type="dxa"/>
          </w:tcPr>
          <w:p w14:paraId="5799FCAB" w14:textId="64C751E8"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Πέτρες κατάλληλες για λάξευση</w:t>
            </w:r>
          </w:p>
        </w:tc>
        <w:tc>
          <w:tcPr>
            <w:tcW w:w="814" w:type="dxa"/>
          </w:tcPr>
          <w:p w14:paraId="497F21D5" w14:textId="2A326B47"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19.579.303</w:t>
            </w:r>
          </w:p>
        </w:tc>
        <w:tc>
          <w:tcPr>
            <w:tcW w:w="814" w:type="dxa"/>
          </w:tcPr>
          <w:p w14:paraId="2D41CFEE" w14:textId="0269E0DD"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5,6%</w:t>
            </w:r>
          </w:p>
        </w:tc>
        <w:tc>
          <w:tcPr>
            <w:tcW w:w="814" w:type="dxa"/>
          </w:tcPr>
          <w:p w14:paraId="50D2B859" w14:textId="57F70670"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8433</w:t>
            </w:r>
          </w:p>
        </w:tc>
        <w:tc>
          <w:tcPr>
            <w:tcW w:w="815" w:type="dxa"/>
          </w:tcPr>
          <w:p w14:paraId="3EF714D6" w14:textId="746A857F"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Μηχανές, συσκευές &amp; μηχανήματα</w:t>
            </w:r>
          </w:p>
        </w:tc>
        <w:tc>
          <w:tcPr>
            <w:tcW w:w="815" w:type="dxa"/>
          </w:tcPr>
          <w:p w14:paraId="27E71BCD" w14:textId="125132B3"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4.217.072</w:t>
            </w:r>
          </w:p>
        </w:tc>
        <w:tc>
          <w:tcPr>
            <w:tcW w:w="815" w:type="dxa"/>
          </w:tcPr>
          <w:p w14:paraId="68225AF1" w14:textId="05CBCD0A"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5,6%</w:t>
            </w:r>
          </w:p>
        </w:tc>
      </w:tr>
      <w:tr w:rsidR="001861F4" w:rsidRPr="006F09B9" w14:paraId="76CD2713" w14:textId="77777777" w:rsidTr="00202743">
        <w:tc>
          <w:tcPr>
            <w:tcW w:w="999" w:type="dxa"/>
          </w:tcPr>
          <w:p w14:paraId="07F9DBFC" w14:textId="7B13C3C2"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8419</w:t>
            </w:r>
          </w:p>
        </w:tc>
        <w:tc>
          <w:tcPr>
            <w:tcW w:w="814" w:type="dxa"/>
          </w:tcPr>
          <w:p w14:paraId="177900EE" w14:textId="095132B5"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 xml:space="preserve">Συσκευές και Διατάξεις </w:t>
            </w:r>
          </w:p>
        </w:tc>
        <w:tc>
          <w:tcPr>
            <w:tcW w:w="814" w:type="dxa"/>
          </w:tcPr>
          <w:p w14:paraId="18256EA6" w14:textId="18340795"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19.018.662</w:t>
            </w:r>
          </w:p>
        </w:tc>
        <w:tc>
          <w:tcPr>
            <w:tcW w:w="814" w:type="dxa"/>
          </w:tcPr>
          <w:p w14:paraId="6F129504" w14:textId="4CB29891"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6%</w:t>
            </w:r>
          </w:p>
        </w:tc>
        <w:tc>
          <w:tcPr>
            <w:tcW w:w="814" w:type="dxa"/>
          </w:tcPr>
          <w:p w14:paraId="36EBBBEE" w14:textId="5A81485F"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8419</w:t>
            </w:r>
          </w:p>
        </w:tc>
        <w:tc>
          <w:tcPr>
            <w:tcW w:w="814" w:type="dxa"/>
          </w:tcPr>
          <w:p w14:paraId="0C956E82" w14:textId="6664F300"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 xml:space="preserve">Συσκευές &amp; Διατάξεις </w:t>
            </w:r>
          </w:p>
        </w:tc>
        <w:tc>
          <w:tcPr>
            <w:tcW w:w="814" w:type="dxa"/>
          </w:tcPr>
          <w:p w14:paraId="5BBD2AEC" w14:textId="7825FA25"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14.102.751</w:t>
            </w:r>
          </w:p>
        </w:tc>
        <w:tc>
          <w:tcPr>
            <w:tcW w:w="814" w:type="dxa"/>
          </w:tcPr>
          <w:p w14:paraId="03247455" w14:textId="55D116E7"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4,0%</w:t>
            </w:r>
          </w:p>
        </w:tc>
        <w:tc>
          <w:tcPr>
            <w:tcW w:w="814" w:type="dxa"/>
          </w:tcPr>
          <w:p w14:paraId="288F9721" w14:textId="73F4042A"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8517</w:t>
            </w:r>
          </w:p>
        </w:tc>
        <w:tc>
          <w:tcPr>
            <w:tcW w:w="815" w:type="dxa"/>
          </w:tcPr>
          <w:p w14:paraId="27A593F3" w14:textId="7831603C"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 xml:space="preserve">Τηλεφωνικές Συσκευές </w:t>
            </w:r>
          </w:p>
        </w:tc>
        <w:tc>
          <w:tcPr>
            <w:tcW w:w="815" w:type="dxa"/>
          </w:tcPr>
          <w:p w14:paraId="16299C49" w14:textId="62A81D3F"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3.474.390</w:t>
            </w:r>
          </w:p>
        </w:tc>
        <w:tc>
          <w:tcPr>
            <w:tcW w:w="815" w:type="dxa"/>
          </w:tcPr>
          <w:p w14:paraId="555D492D" w14:textId="5C9B8448" w:rsidR="00BE2B6B" w:rsidRPr="006F09B9" w:rsidRDefault="007D4BFE" w:rsidP="0017623E">
            <w:pPr>
              <w:jc w:val="both"/>
              <w:rPr>
                <w:rFonts w:ascii="Arial Narrow" w:hAnsi="Arial Narrow"/>
                <w:b/>
                <w:color w:val="4F81BD" w:themeColor="accent1"/>
              </w:rPr>
            </w:pPr>
            <w:r w:rsidRPr="006F09B9">
              <w:rPr>
                <w:rFonts w:ascii="Arial Narrow" w:hAnsi="Arial Narrow"/>
                <w:b/>
                <w:color w:val="4F81BD" w:themeColor="accent1"/>
              </w:rPr>
              <w:t>4,9%</w:t>
            </w:r>
          </w:p>
        </w:tc>
      </w:tr>
      <w:tr w:rsidR="001861F4" w:rsidRPr="006F09B9" w14:paraId="59EB50C0" w14:textId="77777777" w:rsidTr="00202743">
        <w:tc>
          <w:tcPr>
            <w:tcW w:w="999" w:type="dxa"/>
          </w:tcPr>
          <w:p w14:paraId="3760FB0A" w14:textId="6C9D3093" w:rsidR="00BE2B6B" w:rsidRPr="006F09B9" w:rsidRDefault="007D4BFE" w:rsidP="0017623E">
            <w:pPr>
              <w:jc w:val="both"/>
              <w:rPr>
                <w:rFonts w:ascii="Arial Narrow" w:hAnsi="Arial Narrow"/>
                <w:b/>
                <w:color w:val="4F81BD" w:themeColor="accent1"/>
                <w:sz w:val="24"/>
                <w:szCs w:val="24"/>
              </w:rPr>
            </w:pPr>
            <w:r w:rsidRPr="006F09B9">
              <w:rPr>
                <w:rFonts w:ascii="Arial Narrow" w:hAnsi="Arial Narrow"/>
                <w:b/>
                <w:color w:val="4F81BD" w:themeColor="accent1"/>
                <w:sz w:val="24"/>
                <w:szCs w:val="24"/>
              </w:rPr>
              <w:t>7606</w:t>
            </w:r>
          </w:p>
        </w:tc>
        <w:tc>
          <w:tcPr>
            <w:tcW w:w="814" w:type="dxa"/>
          </w:tcPr>
          <w:p w14:paraId="1E8B8148" w14:textId="20397D6E" w:rsidR="00BE2B6B" w:rsidRPr="006F09B9" w:rsidRDefault="007D4BFE" w:rsidP="0017623E">
            <w:pPr>
              <w:jc w:val="both"/>
              <w:rPr>
                <w:rFonts w:ascii="Arial Narrow" w:hAnsi="Arial Narrow"/>
                <w:b/>
                <w:color w:val="4F81BD" w:themeColor="accent1"/>
                <w:sz w:val="24"/>
                <w:szCs w:val="24"/>
              </w:rPr>
            </w:pPr>
            <w:r w:rsidRPr="006F09B9">
              <w:rPr>
                <w:rFonts w:ascii="Arial Narrow" w:hAnsi="Arial Narrow"/>
                <w:b/>
                <w:color w:val="4F81BD" w:themeColor="accent1"/>
                <w:sz w:val="24"/>
                <w:szCs w:val="24"/>
              </w:rPr>
              <w:t xml:space="preserve">Πλάκες, Ταινίες &amp; Φύλλα </w:t>
            </w:r>
          </w:p>
        </w:tc>
        <w:tc>
          <w:tcPr>
            <w:tcW w:w="814" w:type="dxa"/>
          </w:tcPr>
          <w:p w14:paraId="68EB680B" w14:textId="21349D6E" w:rsidR="00BE2B6B" w:rsidRPr="006F09B9" w:rsidRDefault="007D4BFE" w:rsidP="0017623E">
            <w:pPr>
              <w:jc w:val="both"/>
              <w:rPr>
                <w:rFonts w:ascii="Arial Narrow" w:hAnsi="Arial Narrow"/>
                <w:b/>
                <w:color w:val="4F81BD" w:themeColor="accent1"/>
                <w:sz w:val="24"/>
                <w:szCs w:val="24"/>
              </w:rPr>
            </w:pPr>
            <w:r w:rsidRPr="006F09B9">
              <w:rPr>
                <w:rFonts w:ascii="Arial Narrow" w:hAnsi="Arial Narrow"/>
                <w:b/>
                <w:color w:val="4F81BD" w:themeColor="accent1"/>
                <w:sz w:val="24"/>
                <w:szCs w:val="24"/>
              </w:rPr>
              <w:t>14.760.605</w:t>
            </w:r>
          </w:p>
        </w:tc>
        <w:tc>
          <w:tcPr>
            <w:tcW w:w="814" w:type="dxa"/>
          </w:tcPr>
          <w:p w14:paraId="2A035360" w14:textId="2B238478" w:rsidR="00BE2B6B" w:rsidRPr="006F09B9" w:rsidRDefault="007D4BFE" w:rsidP="0017623E">
            <w:pPr>
              <w:jc w:val="both"/>
              <w:rPr>
                <w:rFonts w:ascii="Arial Narrow" w:hAnsi="Arial Narrow"/>
                <w:b/>
                <w:color w:val="4F81BD" w:themeColor="accent1"/>
                <w:sz w:val="24"/>
                <w:szCs w:val="24"/>
              </w:rPr>
            </w:pPr>
            <w:r w:rsidRPr="006F09B9">
              <w:rPr>
                <w:rFonts w:ascii="Arial Narrow" w:hAnsi="Arial Narrow"/>
                <w:b/>
                <w:color w:val="4F81BD" w:themeColor="accent1"/>
                <w:sz w:val="24"/>
                <w:szCs w:val="24"/>
              </w:rPr>
              <w:t>4,19%</w:t>
            </w:r>
          </w:p>
        </w:tc>
        <w:tc>
          <w:tcPr>
            <w:tcW w:w="814" w:type="dxa"/>
          </w:tcPr>
          <w:p w14:paraId="5CA25A7F" w14:textId="4C7FC189" w:rsidR="00BE2B6B" w:rsidRPr="006F09B9" w:rsidRDefault="001861F4" w:rsidP="0017623E">
            <w:pPr>
              <w:jc w:val="both"/>
              <w:rPr>
                <w:rFonts w:ascii="Arial Narrow" w:hAnsi="Arial Narrow"/>
                <w:b/>
                <w:color w:val="4F81BD" w:themeColor="accent1"/>
                <w:sz w:val="24"/>
                <w:szCs w:val="24"/>
              </w:rPr>
            </w:pPr>
            <w:r w:rsidRPr="006F09B9">
              <w:rPr>
                <w:rFonts w:ascii="Arial Narrow" w:hAnsi="Arial Narrow"/>
                <w:b/>
                <w:color w:val="4F81BD" w:themeColor="accent1"/>
                <w:sz w:val="24"/>
                <w:szCs w:val="24"/>
              </w:rPr>
              <w:t>8302</w:t>
            </w:r>
          </w:p>
        </w:tc>
        <w:tc>
          <w:tcPr>
            <w:tcW w:w="814" w:type="dxa"/>
          </w:tcPr>
          <w:p w14:paraId="5B76A50F" w14:textId="7C544271" w:rsidR="00BE2B6B" w:rsidRPr="006F09B9" w:rsidRDefault="001861F4" w:rsidP="0017623E">
            <w:pPr>
              <w:jc w:val="both"/>
              <w:rPr>
                <w:rFonts w:ascii="Arial Narrow" w:hAnsi="Arial Narrow"/>
                <w:b/>
                <w:color w:val="4F81BD" w:themeColor="accent1"/>
                <w:sz w:val="24"/>
                <w:szCs w:val="24"/>
              </w:rPr>
            </w:pPr>
            <w:r w:rsidRPr="006F09B9">
              <w:rPr>
                <w:rFonts w:ascii="Arial Narrow" w:hAnsi="Arial Narrow"/>
                <w:b/>
                <w:color w:val="4F81BD" w:themeColor="accent1"/>
                <w:sz w:val="24"/>
                <w:szCs w:val="24"/>
              </w:rPr>
              <w:t xml:space="preserve">Προσαρτήματς και Σιδερικά </w:t>
            </w:r>
          </w:p>
        </w:tc>
        <w:tc>
          <w:tcPr>
            <w:tcW w:w="814" w:type="dxa"/>
          </w:tcPr>
          <w:p w14:paraId="71A71201" w14:textId="060E6726" w:rsidR="00BE2B6B" w:rsidRPr="006F09B9" w:rsidRDefault="001861F4" w:rsidP="0017623E">
            <w:pPr>
              <w:jc w:val="both"/>
              <w:rPr>
                <w:rFonts w:ascii="Arial Narrow" w:hAnsi="Arial Narrow"/>
                <w:b/>
                <w:color w:val="4F81BD" w:themeColor="accent1"/>
                <w:sz w:val="24"/>
                <w:szCs w:val="24"/>
              </w:rPr>
            </w:pPr>
            <w:r w:rsidRPr="006F09B9">
              <w:rPr>
                <w:rFonts w:ascii="Arial Narrow" w:hAnsi="Arial Narrow"/>
                <w:b/>
                <w:color w:val="4F81BD" w:themeColor="accent1"/>
                <w:sz w:val="24"/>
                <w:szCs w:val="24"/>
              </w:rPr>
              <w:t>13.654.215</w:t>
            </w:r>
          </w:p>
        </w:tc>
        <w:tc>
          <w:tcPr>
            <w:tcW w:w="814" w:type="dxa"/>
          </w:tcPr>
          <w:p w14:paraId="316A9D3C" w14:textId="6FCF526B" w:rsidR="00BE2B6B" w:rsidRPr="006F09B9" w:rsidRDefault="001861F4" w:rsidP="0017623E">
            <w:pPr>
              <w:jc w:val="both"/>
              <w:rPr>
                <w:rFonts w:ascii="Arial Narrow" w:hAnsi="Arial Narrow"/>
                <w:b/>
                <w:color w:val="4F81BD" w:themeColor="accent1"/>
                <w:sz w:val="24"/>
                <w:szCs w:val="24"/>
              </w:rPr>
            </w:pPr>
            <w:r w:rsidRPr="006F09B9">
              <w:rPr>
                <w:rFonts w:ascii="Arial Narrow" w:hAnsi="Arial Narrow"/>
                <w:b/>
                <w:color w:val="4F81BD" w:themeColor="accent1"/>
                <w:sz w:val="24"/>
                <w:szCs w:val="24"/>
              </w:rPr>
              <w:t>3,71%</w:t>
            </w:r>
          </w:p>
        </w:tc>
        <w:tc>
          <w:tcPr>
            <w:tcW w:w="814" w:type="dxa"/>
          </w:tcPr>
          <w:p w14:paraId="621EDDC9" w14:textId="480D35DE" w:rsidR="00BE2B6B" w:rsidRPr="006F09B9" w:rsidRDefault="001861F4" w:rsidP="0017623E">
            <w:pPr>
              <w:jc w:val="both"/>
              <w:rPr>
                <w:rFonts w:ascii="Arial Narrow" w:hAnsi="Arial Narrow"/>
                <w:b/>
                <w:color w:val="4F81BD" w:themeColor="accent1"/>
                <w:sz w:val="24"/>
                <w:szCs w:val="24"/>
              </w:rPr>
            </w:pPr>
            <w:r w:rsidRPr="006F09B9">
              <w:rPr>
                <w:rFonts w:ascii="Arial Narrow" w:hAnsi="Arial Narrow"/>
                <w:b/>
                <w:color w:val="4F81BD" w:themeColor="accent1"/>
                <w:sz w:val="24"/>
                <w:szCs w:val="24"/>
              </w:rPr>
              <w:t>6802</w:t>
            </w:r>
          </w:p>
        </w:tc>
        <w:tc>
          <w:tcPr>
            <w:tcW w:w="815" w:type="dxa"/>
          </w:tcPr>
          <w:p w14:paraId="552F63CD" w14:textId="33B111B4" w:rsidR="00BE2B6B" w:rsidRPr="006F09B9" w:rsidRDefault="005D0D10" w:rsidP="0017623E">
            <w:pPr>
              <w:jc w:val="both"/>
              <w:rPr>
                <w:rFonts w:ascii="Arial Narrow" w:hAnsi="Arial Narrow"/>
                <w:b/>
                <w:color w:val="4F81BD" w:themeColor="accent1"/>
                <w:sz w:val="24"/>
                <w:szCs w:val="24"/>
              </w:rPr>
            </w:pPr>
            <w:r w:rsidRPr="006F09B9">
              <w:rPr>
                <w:rFonts w:ascii="Arial Narrow" w:hAnsi="Arial Narrow"/>
                <w:b/>
                <w:color w:val="4F81BD" w:themeColor="accent1"/>
                <w:sz w:val="24"/>
                <w:szCs w:val="24"/>
              </w:rPr>
              <w:t xml:space="preserve">Πέτρες κατάλληλες για λάξευση </w:t>
            </w:r>
          </w:p>
        </w:tc>
        <w:tc>
          <w:tcPr>
            <w:tcW w:w="815" w:type="dxa"/>
          </w:tcPr>
          <w:p w14:paraId="16148C03" w14:textId="4DE9F6CF" w:rsidR="00BE2B6B" w:rsidRPr="006F09B9" w:rsidRDefault="005D0D10" w:rsidP="0017623E">
            <w:pPr>
              <w:jc w:val="both"/>
              <w:rPr>
                <w:rFonts w:ascii="Arial Narrow" w:hAnsi="Arial Narrow"/>
                <w:b/>
                <w:color w:val="4F81BD" w:themeColor="accent1"/>
                <w:sz w:val="24"/>
                <w:szCs w:val="24"/>
              </w:rPr>
            </w:pPr>
            <w:r w:rsidRPr="006F09B9">
              <w:rPr>
                <w:rFonts w:ascii="Arial Narrow" w:hAnsi="Arial Narrow"/>
                <w:b/>
                <w:color w:val="4F81BD" w:themeColor="accent1"/>
                <w:sz w:val="24"/>
                <w:szCs w:val="24"/>
              </w:rPr>
              <w:t>3.130.764</w:t>
            </w:r>
          </w:p>
        </w:tc>
        <w:tc>
          <w:tcPr>
            <w:tcW w:w="815" w:type="dxa"/>
          </w:tcPr>
          <w:p w14:paraId="2D4C0F14" w14:textId="2DC0C5AC" w:rsidR="00BE2B6B" w:rsidRPr="006F09B9" w:rsidRDefault="005D0D10" w:rsidP="0017623E">
            <w:pPr>
              <w:jc w:val="both"/>
              <w:rPr>
                <w:rFonts w:ascii="Arial Narrow" w:hAnsi="Arial Narrow"/>
                <w:b/>
                <w:color w:val="4F81BD" w:themeColor="accent1"/>
                <w:sz w:val="24"/>
                <w:szCs w:val="24"/>
              </w:rPr>
            </w:pPr>
            <w:r w:rsidRPr="006F09B9">
              <w:rPr>
                <w:rFonts w:ascii="Arial Narrow" w:hAnsi="Arial Narrow"/>
                <w:b/>
                <w:color w:val="4F81BD" w:themeColor="accent1"/>
                <w:sz w:val="24"/>
                <w:szCs w:val="24"/>
              </w:rPr>
              <w:t>4,45%</w:t>
            </w:r>
          </w:p>
        </w:tc>
      </w:tr>
    </w:tbl>
    <w:p w14:paraId="7579F321" w14:textId="3CBA01AF" w:rsidR="005D0D10" w:rsidRPr="006F09B9" w:rsidRDefault="005D0D10" w:rsidP="0017623E">
      <w:pPr>
        <w:jc w:val="both"/>
        <w:rPr>
          <w:rFonts w:ascii="Arial Narrow" w:hAnsi="Arial Narrow"/>
          <w:b/>
          <w:color w:val="4F81BD" w:themeColor="accent1"/>
          <w:sz w:val="24"/>
          <w:szCs w:val="24"/>
        </w:rPr>
      </w:pPr>
      <w:r w:rsidRPr="006F09B9">
        <w:rPr>
          <w:rFonts w:ascii="Arial Narrow" w:hAnsi="Arial Narrow"/>
          <w:b/>
          <w:color w:val="4F81BD" w:themeColor="accent1"/>
          <w:sz w:val="24"/>
          <w:szCs w:val="24"/>
        </w:rPr>
        <w:t xml:space="preserve">Πηγή: ΕΛ.ΣΤΑΤ, </w:t>
      </w:r>
      <w:r w:rsidRPr="006F09B9">
        <w:rPr>
          <w:rFonts w:ascii="Arial Narrow" w:hAnsi="Arial Narrow"/>
          <w:b/>
          <w:color w:val="4F81BD" w:themeColor="accent1"/>
          <w:sz w:val="24"/>
          <w:szCs w:val="24"/>
          <w:lang w:val="en-US"/>
        </w:rPr>
        <w:t>UN</w:t>
      </w:r>
      <w:r w:rsidRPr="006F09B9">
        <w:rPr>
          <w:rFonts w:ascii="Arial Narrow" w:hAnsi="Arial Narrow"/>
          <w:b/>
          <w:color w:val="4F81BD" w:themeColor="accent1"/>
          <w:sz w:val="24"/>
          <w:szCs w:val="24"/>
        </w:rPr>
        <w:t xml:space="preserve"> </w:t>
      </w:r>
      <w:r w:rsidRPr="006F09B9">
        <w:rPr>
          <w:rFonts w:ascii="Arial Narrow" w:hAnsi="Arial Narrow"/>
          <w:b/>
          <w:color w:val="4F81BD" w:themeColor="accent1"/>
          <w:sz w:val="24"/>
          <w:szCs w:val="24"/>
          <w:lang w:val="en-US"/>
        </w:rPr>
        <w:t>COMTRADE</w:t>
      </w:r>
      <w:r w:rsidRPr="006F09B9">
        <w:rPr>
          <w:rFonts w:ascii="Arial Narrow" w:hAnsi="Arial Narrow"/>
          <w:b/>
          <w:color w:val="4F81BD" w:themeColor="accent1"/>
          <w:sz w:val="24"/>
          <w:szCs w:val="24"/>
        </w:rPr>
        <w:t xml:space="preserve"> &amp; Επεξεργασία από Γραφείο ΟΕΥ Ντουμπάϊ</w:t>
      </w:r>
    </w:p>
    <w:p w14:paraId="74C5B7AF" w14:textId="5994411A" w:rsidR="00E815D5" w:rsidRPr="006F09B9" w:rsidRDefault="006F09B9" w:rsidP="00E815D5">
      <w:pPr>
        <w:jc w:val="center"/>
        <w:rPr>
          <w:rFonts w:ascii="Arial Narrow" w:hAnsi="Arial Narrow"/>
          <w:b/>
          <w:color w:val="4F81BD" w:themeColor="accent1"/>
          <w:sz w:val="28"/>
          <w:szCs w:val="28"/>
        </w:rPr>
      </w:pPr>
      <w:r>
        <w:rPr>
          <w:rFonts w:ascii="Arial Narrow" w:hAnsi="Arial Narrow"/>
          <w:b/>
          <w:color w:val="4F81BD" w:themeColor="accent1"/>
          <w:sz w:val="28"/>
          <w:szCs w:val="28"/>
        </w:rPr>
        <w:t xml:space="preserve">ΠΙΝΑΚΑΣ </w:t>
      </w:r>
      <w:r w:rsidR="00451B2E">
        <w:rPr>
          <w:rFonts w:ascii="Arial Narrow" w:hAnsi="Arial Narrow"/>
          <w:b/>
          <w:color w:val="4F81BD" w:themeColor="accent1"/>
          <w:sz w:val="28"/>
          <w:szCs w:val="28"/>
        </w:rPr>
        <w:t xml:space="preserve">19 </w:t>
      </w:r>
      <w:r w:rsidR="00026058" w:rsidRPr="00026058">
        <w:rPr>
          <w:rFonts w:ascii="Arial Narrow" w:hAnsi="Arial Narrow"/>
          <w:b/>
          <w:color w:val="4F81BD" w:themeColor="accent1"/>
          <w:sz w:val="28"/>
          <w:szCs w:val="28"/>
        </w:rPr>
        <w:t xml:space="preserve"> </w:t>
      </w:r>
      <w:r>
        <w:rPr>
          <w:rFonts w:ascii="Arial Narrow" w:hAnsi="Arial Narrow"/>
          <w:b/>
          <w:color w:val="4F81BD" w:themeColor="accent1"/>
          <w:sz w:val="28"/>
          <w:szCs w:val="28"/>
        </w:rPr>
        <w:t xml:space="preserve"> - </w:t>
      </w:r>
      <w:r w:rsidR="005D0D10" w:rsidRPr="006F09B9">
        <w:rPr>
          <w:rFonts w:ascii="Arial Narrow" w:hAnsi="Arial Narrow"/>
          <w:b/>
          <w:color w:val="4F81BD" w:themeColor="accent1"/>
          <w:sz w:val="28"/>
          <w:szCs w:val="28"/>
        </w:rPr>
        <w:t>ΠΕΝΤΕ ΚΥΡΙΟΤΕΡΕΣ ΚΑΤΗΓΟΡΙΕΣ ΕΙΣΑΓΩΓΩΝ ΕΛΛΑΔΟΣ ΑΠΟ ΗΑΕ</w:t>
      </w:r>
    </w:p>
    <w:tbl>
      <w:tblPr>
        <w:tblStyle w:val="TableGrid"/>
        <w:tblW w:w="0" w:type="auto"/>
        <w:tblInd w:w="-5" w:type="dxa"/>
        <w:tblLook w:val="04A0" w:firstRow="1" w:lastRow="0" w:firstColumn="1" w:lastColumn="0" w:noHBand="0" w:noVBand="1"/>
      </w:tblPr>
      <w:tblGrid>
        <w:gridCol w:w="575"/>
        <w:gridCol w:w="1024"/>
        <w:gridCol w:w="836"/>
        <w:gridCol w:w="662"/>
        <w:gridCol w:w="746"/>
        <w:gridCol w:w="1023"/>
        <w:gridCol w:w="905"/>
        <w:gridCol w:w="662"/>
        <w:gridCol w:w="746"/>
        <w:gridCol w:w="1023"/>
        <w:gridCol w:w="912"/>
        <w:gridCol w:w="662"/>
      </w:tblGrid>
      <w:tr w:rsidR="00375BAC" w:rsidRPr="006F09B9" w14:paraId="4363817F" w14:textId="77777777" w:rsidTr="00E815D5">
        <w:tc>
          <w:tcPr>
            <w:tcW w:w="738" w:type="dxa"/>
          </w:tcPr>
          <w:p w14:paraId="531D3CEC" w14:textId="3509BEFC" w:rsidR="005D0D10" w:rsidRPr="006F09B9" w:rsidRDefault="000721F6" w:rsidP="005D0D10">
            <w:pPr>
              <w:rPr>
                <w:rFonts w:ascii="Arial Narrow" w:hAnsi="Arial Narrow"/>
                <w:b/>
                <w:color w:val="4F81BD" w:themeColor="accent1"/>
                <w:lang w:val="en-US"/>
              </w:rPr>
            </w:pPr>
            <w:r w:rsidRPr="006F09B9">
              <w:rPr>
                <w:rFonts w:ascii="Arial Narrow" w:hAnsi="Arial Narrow"/>
                <w:b/>
                <w:color w:val="4F81BD" w:themeColor="accent1"/>
                <w:lang w:val="en-US"/>
              </w:rPr>
              <w:t>HS CODE</w:t>
            </w:r>
          </w:p>
        </w:tc>
        <w:tc>
          <w:tcPr>
            <w:tcW w:w="1267" w:type="dxa"/>
          </w:tcPr>
          <w:p w14:paraId="23B70BD1" w14:textId="2D8414E3" w:rsidR="005D0D10" w:rsidRPr="006F09B9" w:rsidRDefault="00E815D5" w:rsidP="005D0D10">
            <w:pPr>
              <w:rPr>
                <w:rFonts w:ascii="Arial Narrow" w:hAnsi="Arial Narrow"/>
                <w:b/>
                <w:color w:val="4F81BD" w:themeColor="accent1"/>
              </w:rPr>
            </w:pPr>
            <w:r w:rsidRPr="006F09B9">
              <w:rPr>
                <w:rFonts w:ascii="Arial Narrow" w:hAnsi="Arial Narrow"/>
                <w:b/>
                <w:color w:val="4F81BD" w:themeColor="accent1"/>
              </w:rPr>
              <w:t xml:space="preserve">ΚΑΤΗΓΟΡΙΑ </w:t>
            </w:r>
          </w:p>
        </w:tc>
        <w:tc>
          <w:tcPr>
            <w:tcW w:w="699" w:type="dxa"/>
          </w:tcPr>
          <w:p w14:paraId="404D21D9" w14:textId="0E0B75E0" w:rsidR="005D0D10" w:rsidRPr="006F09B9" w:rsidRDefault="00E815D5" w:rsidP="005D0D10">
            <w:pPr>
              <w:rPr>
                <w:rFonts w:ascii="Arial Narrow" w:hAnsi="Arial Narrow"/>
                <w:b/>
                <w:color w:val="4F81BD" w:themeColor="accent1"/>
              </w:rPr>
            </w:pPr>
            <w:r w:rsidRPr="006F09B9">
              <w:rPr>
                <w:rFonts w:ascii="Arial Narrow" w:hAnsi="Arial Narrow"/>
                <w:b/>
                <w:color w:val="4F81BD" w:themeColor="accent1"/>
              </w:rPr>
              <w:t>2024</w:t>
            </w:r>
          </w:p>
        </w:tc>
        <w:tc>
          <w:tcPr>
            <w:tcW w:w="866" w:type="dxa"/>
          </w:tcPr>
          <w:p w14:paraId="6A186243" w14:textId="56FB8178" w:rsidR="005D0D10" w:rsidRPr="006F09B9" w:rsidRDefault="00E815D5" w:rsidP="005D0D10">
            <w:pPr>
              <w:rPr>
                <w:rFonts w:ascii="Arial Narrow" w:hAnsi="Arial Narrow"/>
                <w:b/>
                <w:color w:val="4F81BD" w:themeColor="accent1"/>
              </w:rPr>
            </w:pPr>
            <w:r w:rsidRPr="006F09B9">
              <w:rPr>
                <w:rFonts w:ascii="Arial Narrow" w:hAnsi="Arial Narrow"/>
                <w:b/>
                <w:color w:val="4F81BD" w:themeColor="accent1"/>
              </w:rPr>
              <w:t xml:space="preserve">%  στο σύνολο </w:t>
            </w:r>
          </w:p>
        </w:tc>
        <w:tc>
          <w:tcPr>
            <w:tcW w:w="988" w:type="dxa"/>
          </w:tcPr>
          <w:p w14:paraId="447E9BC7" w14:textId="4BF88497" w:rsidR="005D0D10" w:rsidRPr="006F09B9" w:rsidRDefault="00E815D5" w:rsidP="005D0D10">
            <w:pPr>
              <w:rPr>
                <w:rFonts w:ascii="Arial Narrow" w:hAnsi="Arial Narrow"/>
                <w:b/>
                <w:color w:val="4F81BD" w:themeColor="accent1"/>
                <w:lang w:val="en-US"/>
              </w:rPr>
            </w:pPr>
            <w:r w:rsidRPr="006F09B9">
              <w:rPr>
                <w:rFonts w:ascii="Arial Narrow" w:hAnsi="Arial Narrow"/>
                <w:b/>
                <w:color w:val="4F81BD" w:themeColor="accent1"/>
                <w:lang w:val="en-US"/>
              </w:rPr>
              <w:t>HSCODE</w:t>
            </w:r>
          </w:p>
        </w:tc>
        <w:tc>
          <w:tcPr>
            <w:tcW w:w="1267" w:type="dxa"/>
          </w:tcPr>
          <w:p w14:paraId="482AE94D" w14:textId="191B1BB7" w:rsidR="005D0D10" w:rsidRPr="006F09B9" w:rsidRDefault="00E815D5" w:rsidP="005D0D10">
            <w:pPr>
              <w:rPr>
                <w:rFonts w:ascii="Arial Narrow" w:hAnsi="Arial Narrow"/>
                <w:b/>
                <w:color w:val="4F81BD" w:themeColor="accent1"/>
              </w:rPr>
            </w:pPr>
            <w:r w:rsidRPr="006F09B9">
              <w:rPr>
                <w:rFonts w:ascii="Arial Narrow" w:hAnsi="Arial Narrow"/>
                <w:b/>
                <w:color w:val="4F81BD" w:themeColor="accent1"/>
              </w:rPr>
              <w:t xml:space="preserve">ΚΑΤΗΓΟΡΙΑ </w:t>
            </w:r>
          </w:p>
        </w:tc>
        <w:tc>
          <w:tcPr>
            <w:tcW w:w="699" w:type="dxa"/>
          </w:tcPr>
          <w:p w14:paraId="3144F7CE" w14:textId="22ADEB8C" w:rsidR="005D0D10" w:rsidRPr="006F09B9" w:rsidRDefault="00E815D5" w:rsidP="005D0D10">
            <w:pPr>
              <w:rPr>
                <w:rFonts w:ascii="Arial Narrow" w:hAnsi="Arial Narrow"/>
                <w:b/>
                <w:color w:val="4F81BD" w:themeColor="accent1"/>
              </w:rPr>
            </w:pPr>
            <w:r w:rsidRPr="006F09B9">
              <w:rPr>
                <w:rFonts w:ascii="Arial Narrow" w:hAnsi="Arial Narrow"/>
                <w:b/>
                <w:color w:val="4F81BD" w:themeColor="accent1"/>
              </w:rPr>
              <w:t>2025</w:t>
            </w:r>
          </w:p>
        </w:tc>
        <w:tc>
          <w:tcPr>
            <w:tcW w:w="866" w:type="dxa"/>
          </w:tcPr>
          <w:p w14:paraId="3DE36297" w14:textId="04F4B015" w:rsidR="005D0D10" w:rsidRPr="006F09B9" w:rsidRDefault="00E815D5" w:rsidP="005D0D10">
            <w:pPr>
              <w:rPr>
                <w:rFonts w:ascii="Arial Narrow" w:hAnsi="Arial Narrow"/>
                <w:b/>
                <w:color w:val="4F81BD" w:themeColor="accent1"/>
              </w:rPr>
            </w:pPr>
            <w:r w:rsidRPr="006F09B9">
              <w:rPr>
                <w:rFonts w:ascii="Arial Narrow" w:hAnsi="Arial Narrow"/>
                <w:b/>
                <w:color w:val="4F81BD" w:themeColor="accent1"/>
              </w:rPr>
              <w:t xml:space="preserve">% στο σύνολο </w:t>
            </w:r>
          </w:p>
        </w:tc>
        <w:tc>
          <w:tcPr>
            <w:tcW w:w="988" w:type="dxa"/>
          </w:tcPr>
          <w:p w14:paraId="574A2301" w14:textId="1C9E022A" w:rsidR="005D0D10" w:rsidRPr="006F09B9" w:rsidRDefault="00E815D5" w:rsidP="005D0D10">
            <w:pPr>
              <w:rPr>
                <w:rFonts w:ascii="Arial Narrow" w:hAnsi="Arial Narrow"/>
                <w:b/>
                <w:color w:val="4F81BD" w:themeColor="accent1"/>
                <w:lang w:val="en-US"/>
              </w:rPr>
            </w:pPr>
            <w:r w:rsidRPr="006F09B9">
              <w:rPr>
                <w:rFonts w:ascii="Arial Narrow" w:hAnsi="Arial Narrow"/>
                <w:b/>
                <w:color w:val="4F81BD" w:themeColor="accent1"/>
                <w:lang w:val="en-US"/>
              </w:rPr>
              <w:t>HSCODE</w:t>
            </w:r>
          </w:p>
        </w:tc>
        <w:tc>
          <w:tcPr>
            <w:tcW w:w="466" w:type="dxa"/>
          </w:tcPr>
          <w:p w14:paraId="522DC9A2" w14:textId="7D90D012" w:rsidR="005D0D10" w:rsidRPr="006F09B9" w:rsidRDefault="00E815D5" w:rsidP="005D0D10">
            <w:pPr>
              <w:rPr>
                <w:rFonts w:ascii="Arial Narrow" w:hAnsi="Arial Narrow"/>
                <w:b/>
                <w:color w:val="4F81BD" w:themeColor="accent1"/>
              </w:rPr>
            </w:pPr>
            <w:r w:rsidRPr="006F09B9">
              <w:rPr>
                <w:rFonts w:ascii="Arial Narrow" w:hAnsi="Arial Narrow"/>
                <w:b/>
                <w:color w:val="4F81BD" w:themeColor="accent1"/>
              </w:rPr>
              <w:t xml:space="preserve">ΚΑΤΗΓΟΡΙΑ </w:t>
            </w:r>
          </w:p>
        </w:tc>
        <w:tc>
          <w:tcPr>
            <w:tcW w:w="466" w:type="dxa"/>
          </w:tcPr>
          <w:p w14:paraId="419D37C0" w14:textId="26748154" w:rsidR="005D0D10" w:rsidRPr="006F09B9" w:rsidRDefault="00E815D5" w:rsidP="005D0D10">
            <w:pPr>
              <w:rPr>
                <w:rFonts w:ascii="Arial Narrow" w:hAnsi="Arial Narrow"/>
                <w:b/>
                <w:color w:val="4F81BD" w:themeColor="accent1"/>
              </w:rPr>
            </w:pPr>
            <w:r w:rsidRPr="006F09B9">
              <w:rPr>
                <w:rFonts w:ascii="Arial Narrow" w:hAnsi="Arial Narrow"/>
                <w:b/>
                <w:color w:val="4F81BD" w:themeColor="accent1"/>
              </w:rPr>
              <w:t>Α’ΤΡΙΜΗΝΟ  2026</w:t>
            </w:r>
          </w:p>
        </w:tc>
        <w:tc>
          <w:tcPr>
            <w:tcW w:w="466" w:type="dxa"/>
          </w:tcPr>
          <w:p w14:paraId="477089CE" w14:textId="7AC78698" w:rsidR="005D0D10" w:rsidRPr="006F09B9" w:rsidRDefault="00E815D5" w:rsidP="005D0D10">
            <w:pPr>
              <w:rPr>
                <w:rFonts w:ascii="Arial Narrow" w:hAnsi="Arial Narrow"/>
                <w:b/>
                <w:color w:val="4F81BD" w:themeColor="accent1"/>
              </w:rPr>
            </w:pPr>
            <w:r w:rsidRPr="006F09B9">
              <w:rPr>
                <w:rFonts w:ascii="Arial Narrow" w:hAnsi="Arial Narrow"/>
                <w:b/>
                <w:color w:val="4F81BD" w:themeColor="accent1"/>
              </w:rPr>
              <w:t xml:space="preserve">% στο σύνολο </w:t>
            </w:r>
          </w:p>
        </w:tc>
      </w:tr>
      <w:tr w:rsidR="00375BAC" w:rsidRPr="006F09B9" w14:paraId="6C447C67" w14:textId="77777777" w:rsidTr="00E815D5">
        <w:tc>
          <w:tcPr>
            <w:tcW w:w="738" w:type="dxa"/>
          </w:tcPr>
          <w:p w14:paraId="5B6BC0EC" w14:textId="2570B220" w:rsidR="005D0D10" w:rsidRPr="006F09B9" w:rsidRDefault="00E815D5" w:rsidP="005D0D10">
            <w:pPr>
              <w:rPr>
                <w:rFonts w:ascii="Arial Narrow" w:hAnsi="Arial Narrow"/>
                <w:b/>
                <w:color w:val="4F81BD" w:themeColor="accent1"/>
              </w:rPr>
            </w:pPr>
            <w:r w:rsidRPr="006F09B9">
              <w:rPr>
                <w:rFonts w:ascii="Arial Narrow" w:hAnsi="Arial Narrow"/>
                <w:b/>
                <w:color w:val="4F81BD" w:themeColor="accent1"/>
              </w:rPr>
              <w:t>7601</w:t>
            </w:r>
          </w:p>
        </w:tc>
        <w:tc>
          <w:tcPr>
            <w:tcW w:w="1267" w:type="dxa"/>
          </w:tcPr>
          <w:p w14:paraId="4FD50B21" w14:textId="397A3016" w:rsidR="005D0D10" w:rsidRPr="006F09B9" w:rsidRDefault="00E815D5" w:rsidP="005D0D10">
            <w:pPr>
              <w:rPr>
                <w:rFonts w:ascii="Arial Narrow" w:hAnsi="Arial Narrow"/>
                <w:b/>
                <w:color w:val="4F81BD" w:themeColor="accent1"/>
              </w:rPr>
            </w:pPr>
            <w:r w:rsidRPr="006F09B9">
              <w:rPr>
                <w:rFonts w:ascii="Arial Narrow" w:hAnsi="Arial Narrow"/>
                <w:b/>
                <w:color w:val="4F81BD" w:themeColor="accent1"/>
              </w:rPr>
              <w:t xml:space="preserve">Αργίλιο σε ακατέργαστη μορφή </w:t>
            </w:r>
          </w:p>
        </w:tc>
        <w:tc>
          <w:tcPr>
            <w:tcW w:w="699" w:type="dxa"/>
          </w:tcPr>
          <w:p w14:paraId="3B18D252" w14:textId="1B59F583" w:rsidR="005D0D10" w:rsidRPr="006F09B9" w:rsidRDefault="00E815D5" w:rsidP="005D0D10">
            <w:pPr>
              <w:rPr>
                <w:rFonts w:ascii="Arial Narrow" w:hAnsi="Arial Narrow"/>
                <w:b/>
                <w:color w:val="4F81BD" w:themeColor="accent1"/>
              </w:rPr>
            </w:pPr>
            <w:r w:rsidRPr="006F09B9">
              <w:rPr>
                <w:rFonts w:ascii="Arial Narrow" w:hAnsi="Arial Narrow"/>
                <w:b/>
                <w:color w:val="4F81BD" w:themeColor="accent1"/>
              </w:rPr>
              <w:t>72.852.563</w:t>
            </w:r>
          </w:p>
        </w:tc>
        <w:tc>
          <w:tcPr>
            <w:tcW w:w="866" w:type="dxa"/>
          </w:tcPr>
          <w:p w14:paraId="42496BC1" w14:textId="57789071" w:rsidR="005D0D10" w:rsidRPr="006F09B9" w:rsidRDefault="00E815D5" w:rsidP="005D0D10">
            <w:pPr>
              <w:rPr>
                <w:rFonts w:ascii="Arial Narrow" w:hAnsi="Arial Narrow"/>
                <w:b/>
                <w:color w:val="4F81BD" w:themeColor="accent1"/>
              </w:rPr>
            </w:pPr>
            <w:r w:rsidRPr="006F09B9">
              <w:rPr>
                <w:rFonts w:ascii="Arial Narrow" w:hAnsi="Arial Narrow"/>
                <w:b/>
                <w:color w:val="4F81BD" w:themeColor="accent1"/>
              </w:rPr>
              <w:t>67,35%</w:t>
            </w:r>
          </w:p>
        </w:tc>
        <w:tc>
          <w:tcPr>
            <w:tcW w:w="988" w:type="dxa"/>
          </w:tcPr>
          <w:p w14:paraId="15B7AE65" w14:textId="36CFE5DD" w:rsidR="005D0D10" w:rsidRPr="006F09B9" w:rsidRDefault="00E815D5" w:rsidP="005D0D10">
            <w:pPr>
              <w:rPr>
                <w:rFonts w:ascii="Arial Narrow" w:hAnsi="Arial Narrow"/>
                <w:b/>
                <w:color w:val="4F81BD" w:themeColor="accent1"/>
              </w:rPr>
            </w:pPr>
            <w:r w:rsidRPr="006F09B9">
              <w:rPr>
                <w:rFonts w:ascii="Arial Narrow" w:hAnsi="Arial Narrow"/>
                <w:b/>
                <w:color w:val="4F81BD" w:themeColor="accent1"/>
              </w:rPr>
              <w:t>7601</w:t>
            </w:r>
          </w:p>
        </w:tc>
        <w:tc>
          <w:tcPr>
            <w:tcW w:w="1267" w:type="dxa"/>
          </w:tcPr>
          <w:p w14:paraId="42AA2604" w14:textId="6E15F824" w:rsidR="005D0D10" w:rsidRPr="006F09B9" w:rsidRDefault="00E815D5" w:rsidP="005D0D10">
            <w:pPr>
              <w:rPr>
                <w:rFonts w:ascii="Arial Narrow" w:hAnsi="Arial Narrow"/>
                <w:b/>
                <w:color w:val="4F81BD" w:themeColor="accent1"/>
              </w:rPr>
            </w:pPr>
            <w:r w:rsidRPr="006F09B9">
              <w:rPr>
                <w:rFonts w:ascii="Arial Narrow" w:hAnsi="Arial Narrow"/>
                <w:b/>
                <w:color w:val="4F81BD" w:themeColor="accent1"/>
              </w:rPr>
              <w:t xml:space="preserve">Αργίλιο σε ακατέργαστη μορφή </w:t>
            </w:r>
          </w:p>
        </w:tc>
        <w:tc>
          <w:tcPr>
            <w:tcW w:w="699" w:type="dxa"/>
          </w:tcPr>
          <w:p w14:paraId="148152AE" w14:textId="37D54117" w:rsidR="005D0D10" w:rsidRPr="006F09B9" w:rsidRDefault="00E815D5" w:rsidP="005D0D10">
            <w:pPr>
              <w:rPr>
                <w:rFonts w:ascii="Arial Narrow" w:hAnsi="Arial Narrow"/>
                <w:b/>
                <w:color w:val="4F81BD" w:themeColor="accent1"/>
              </w:rPr>
            </w:pPr>
            <w:r w:rsidRPr="006F09B9">
              <w:rPr>
                <w:rFonts w:ascii="Arial Narrow" w:hAnsi="Arial Narrow"/>
                <w:b/>
                <w:color w:val="4F81BD" w:themeColor="accent1"/>
              </w:rPr>
              <w:t>111.195.133</w:t>
            </w:r>
          </w:p>
        </w:tc>
        <w:tc>
          <w:tcPr>
            <w:tcW w:w="866" w:type="dxa"/>
          </w:tcPr>
          <w:p w14:paraId="404D8DEA" w14:textId="4D224B01" w:rsidR="005D0D10" w:rsidRPr="006F09B9" w:rsidRDefault="00E815D5" w:rsidP="005D0D10">
            <w:pPr>
              <w:rPr>
                <w:rFonts w:ascii="Arial Narrow" w:hAnsi="Arial Narrow"/>
                <w:b/>
                <w:color w:val="4F81BD" w:themeColor="accent1"/>
              </w:rPr>
            </w:pPr>
            <w:r w:rsidRPr="006F09B9">
              <w:rPr>
                <w:rFonts w:ascii="Arial Narrow" w:hAnsi="Arial Narrow"/>
                <w:b/>
                <w:color w:val="4F81BD" w:themeColor="accent1"/>
              </w:rPr>
              <w:t>58,15%</w:t>
            </w:r>
          </w:p>
        </w:tc>
        <w:tc>
          <w:tcPr>
            <w:tcW w:w="988" w:type="dxa"/>
          </w:tcPr>
          <w:p w14:paraId="7A4A2664" w14:textId="076A2303" w:rsidR="005D0D10" w:rsidRPr="006F09B9" w:rsidRDefault="00E815D5" w:rsidP="005D0D10">
            <w:pPr>
              <w:rPr>
                <w:rFonts w:ascii="Arial Narrow" w:hAnsi="Arial Narrow"/>
                <w:b/>
                <w:color w:val="4F81BD" w:themeColor="accent1"/>
              </w:rPr>
            </w:pPr>
            <w:r w:rsidRPr="006F09B9">
              <w:rPr>
                <w:rFonts w:ascii="Arial Narrow" w:hAnsi="Arial Narrow"/>
                <w:b/>
                <w:color w:val="4F81BD" w:themeColor="accent1"/>
              </w:rPr>
              <w:t>7601</w:t>
            </w:r>
          </w:p>
        </w:tc>
        <w:tc>
          <w:tcPr>
            <w:tcW w:w="466" w:type="dxa"/>
          </w:tcPr>
          <w:p w14:paraId="09AFC91C" w14:textId="7003D1D1" w:rsidR="005D0D10" w:rsidRPr="006F09B9" w:rsidRDefault="00E815D5" w:rsidP="005D0D10">
            <w:pPr>
              <w:rPr>
                <w:rFonts w:ascii="Arial Narrow" w:hAnsi="Arial Narrow"/>
                <w:b/>
                <w:color w:val="4F81BD" w:themeColor="accent1"/>
              </w:rPr>
            </w:pPr>
            <w:r w:rsidRPr="006F09B9">
              <w:rPr>
                <w:rFonts w:ascii="Arial Narrow" w:hAnsi="Arial Narrow"/>
                <w:b/>
                <w:color w:val="4F81BD" w:themeColor="accent1"/>
              </w:rPr>
              <w:t xml:space="preserve">Αργίλιο σε ακατέργαστη μορφή </w:t>
            </w:r>
          </w:p>
        </w:tc>
        <w:tc>
          <w:tcPr>
            <w:tcW w:w="466" w:type="dxa"/>
          </w:tcPr>
          <w:p w14:paraId="37C2F789" w14:textId="163E7340" w:rsidR="005D0D10" w:rsidRPr="006F09B9" w:rsidRDefault="00E815D5" w:rsidP="005D0D10">
            <w:pPr>
              <w:rPr>
                <w:rFonts w:ascii="Arial Narrow" w:hAnsi="Arial Narrow"/>
                <w:b/>
                <w:color w:val="4F81BD" w:themeColor="accent1"/>
              </w:rPr>
            </w:pPr>
            <w:r w:rsidRPr="006F09B9">
              <w:rPr>
                <w:rFonts w:ascii="Arial Narrow" w:hAnsi="Arial Narrow"/>
                <w:b/>
                <w:color w:val="4F81BD" w:themeColor="accent1"/>
              </w:rPr>
              <w:t>18.472.397</w:t>
            </w:r>
          </w:p>
        </w:tc>
        <w:tc>
          <w:tcPr>
            <w:tcW w:w="466" w:type="dxa"/>
          </w:tcPr>
          <w:p w14:paraId="4D9F1DBB" w14:textId="2E36C753" w:rsidR="005D0D10" w:rsidRPr="006F09B9" w:rsidRDefault="00E815D5" w:rsidP="005D0D10">
            <w:pPr>
              <w:rPr>
                <w:rFonts w:ascii="Arial Narrow" w:hAnsi="Arial Narrow"/>
                <w:b/>
                <w:color w:val="4F81BD" w:themeColor="accent1"/>
              </w:rPr>
            </w:pPr>
            <w:r w:rsidRPr="006F09B9">
              <w:rPr>
                <w:rFonts w:ascii="Arial Narrow" w:hAnsi="Arial Narrow"/>
                <w:b/>
                <w:color w:val="4F81BD" w:themeColor="accent1"/>
              </w:rPr>
              <w:t>63,3%</w:t>
            </w:r>
          </w:p>
        </w:tc>
      </w:tr>
      <w:tr w:rsidR="00375BAC" w:rsidRPr="006F09B9" w14:paraId="7DAD4F96" w14:textId="77777777" w:rsidTr="00E815D5">
        <w:tc>
          <w:tcPr>
            <w:tcW w:w="738" w:type="dxa"/>
          </w:tcPr>
          <w:p w14:paraId="1A6563B9" w14:textId="062383EE"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7602</w:t>
            </w:r>
          </w:p>
        </w:tc>
        <w:tc>
          <w:tcPr>
            <w:tcW w:w="1267" w:type="dxa"/>
          </w:tcPr>
          <w:p w14:paraId="3EAF5DB0" w14:textId="762216A9"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 xml:space="preserve">Απορρίμματα και θραύσματα από πετρέλαιο </w:t>
            </w:r>
          </w:p>
        </w:tc>
        <w:tc>
          <w:tcPr>
            <w:tcW w:w="699" w:type="dxa"/>
          </w:tcPr>
          <w:p w14:paraId="68AA0C97" w14:textId="6E3D04B8"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5.831.242</w:t>
            </w:r>
          </w:p>
        </w:tc>
        <w:tc>
          <w:tcPr>
            <w:tcW w:w="866" w:type="dxa"/>
          </w:tcPr>
          <w:p w14:paraId="5EB1ED06" w14:textId="20523771"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5,39%</w:t>
            </w:r>
          </w:p>
        </w:tc>
        <w:tc>
          <w:tcPr>
            <w:tcW w:w="988" w:type="dxa"/>
          </w:tcPr>
          <w:p w14:paraId="6ADED5CB" w14:textId="0946648D"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2710</w:t>
            </w:r>
          </w:p>
        </w:tc>
        <w:tc>
          <w:tcPr>
            <w:tcW w:w="1267" w:type="dxa"/>
          </w:tcPr>
          <w:p w14:paraId="01BCCC0E" w14:textId="3A1FDEFD"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 xml:space="preserve">Λάδια από πετρέλαιο </w:t>
            </w:r>
          </w:p>
        </w:tc>
        <w:tc>
          <w:tcPr>
            <w:tcW w:w="699" w:type="dxa"/>
          </w:tcPr>
          <w:p w14:paraId="42ECD993" w14:textId="33D96021"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21.789.706</w:t>
            </w:r>
          </w:p>
        </w:tc>
        <w:tc>
          <w:tcPr>
            <w:tcW w:w="866" w:type="dxa"/>
          </w:tcPr>
          <w:p w14:paraId="1363C7DB" w14:textId="3BC03789"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11,4%</w:t>
            </w:r>
          </w:p>
        </w:tc>
        <w:tc>
          <w:tcPr>
            <w:tcW w:w="988" w:type="dxa"/>
          </w:tcPr>
          <w:p w14:paraId="75F6D2CE" w14:textId="05B6C07A"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7602</w:t>
            </w:r>
          </w:p>
        </w:tc>
        <w:tc>
          <w:tcPr>
            <w:tcW w:w="466" w:type="dxa"/>
          </w:tcPr>
          <w:p w14:paraId="19021629" w14:textId="20E4E6D0"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 xml:space="preserve">Απορρίμματα και θραύσματα από πετρέλαιο </w:t>
            </w:r>
          </w:p>
        </w:tc>
        <w:tc>
          <w:tcPr>
            <w:tcW w:w="466" w:type="dxa"/>
          </w:tcPr>
          <w:p w14:paraId="0018D6F9" w14:textId="6AEED8F5"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2.164.387</w:t>
            </w:r>
          </w:p>
        </w:tc>
        <w:tc>
          <w:tcPr>
            <w:tcW w:w="466" w:type="dxa"/>
          </w:tcPr>
          <w:p w14:paraId="53FBCB26" w14:textId="1AC8B330"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7,42%</w:t>
            </w:r>
          </w:p>
        </w:tc>
      </w:tr>
      <w:tr w:rsidR="00375BAC" w:rsidRPr="006F09B9" w14:paraId="769C2B08" w14:textId="77777777" w:rsidTr="00E815D5">
        <w:tc>
          <w:tcPr>
            <w:tcW w:w="738" w:type="dxa"/>
          </w:tcPr>
          <w:p w14:paraId="7CD332B6" w14:textId="139DEF4D"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7306</w:t>
            </w:r>
          </w:p>
        </w:tc>
        <w:tc>
          <w:tcPr>
            <w:tcW w:w="1267" w:type="dxa"/>
          </w:tcPr>
          <w:p w14:paraId="4D4D6ED2" w14:textId="0D87EF73"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 xml:space="preserve">Αλλοι σωλήνες κάθε είδους </w:t>
            </w:r>
          </w:p>
        </w:tc>
        <w:tc>
          <w:tcPr>
            <w:tcW w:w="699" w:type="dxa"/>
          </w:tcPr>
          <w:p w14:paraId="2EA14E20" w14:textId="6D902543"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3.588.555</w:t>
            </w:r>
          </w:p>
        </w:tc>
        <w:tc>
          <w:tcPr>
            <w:tcW w:w="866" w:type="dxa"/>
          </w:tcPr>
          <w:p w14:paraId="7D3EE150" w14:textId="1EA8C48E"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3,31%</w:t>
            </w:r>
          </w:p>
        </w:tc>
        <w:tc>
          <w:tcPr>
            <w:tcW w:w="988" w:type="dxa"/>
          </w:tcPr>
          <w:p w14:paraId="7056A309" w14:textId="7D8AEE35"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7602</w:t>
            </w:r>
          </w:p>
        </w:tc>
        <w:tc>
          <w:tcPr>
            <w:tcW w:w="1267" w:type="dxa"/>
          </w:tcPr>
          <w:p w14:paraId="46B97C8A" w14:textId="08EB1D67"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 xml:space="preserve">Απορρίμματα και θραύσματα από αργίλιο </w:t>
            </w:r>
          </w:p>
        </w:tc>
        <w:tc>
          <w:tcPr>
            <w:tcW w:w="699" w:type="dxa"/>
          </w:tcPr>
          <w:p w14:paraId="54EBA61B" w14:textId="10AA861F"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9.896.333</w:t>
            </w:r>
          </w:p>
        </w:tc>
        <w:tc>
          <w:tcPr>
            <w:tcW w:w="866" w:type="dxa"/>
          </w:tcPr>
          <w:p w14:paraId="6F5029D4" w14:textId="7F9D1660"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5,17%</w:t>
            </w:r>
          </w:p>
        </w:tc>
        <w:tc>
          <w:tcPr>
            <w:tcW w:w="988" w:type="dxa"/>
          </w:tcPr>
          <w:p w14:paraId="7161A9EA" w14:textId="2D72FA07"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8517</w:t>
            </w:r>
          </w:p>
        </w:tc>
        <w:tc>
          <w:tcPr>
            <w:tcW w:w="466" w:type="dxa"/>
          </w:tcPr>
          <w:p w14:paraId="4AC0789C" w14:textId="5F979932"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 xml:space="preserve">Τηλεφωνικές Συσκευές </w:t>
            </w:r>
          </w:p>
        </w:tc>
        <w:tc>
          <w:tcPr>
            <w:tcW w:w="466" w:type="dxa"/>
          </w:tcPr>
          <w:p w14:paraId="54DFC339" w14:textId="6715CD78"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1.253.091</w:t>
            </w:r>
          </w:p>
        </w:tc>
        <w:tc>
          <w:tcPr>
            <w:tcW w:w="466" w:type="dxa"/>
          </w:tcPr>
          <w:p w14:paraId="275157A5" w14:textId="0D55DC2D"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4,29%</w:t>
            </w:r>
          </w:p>
        </w:tc>
      </w:tr>
      <w:tr w:rsidR="00375BAC" w:rsidRPr="006F09B9" w14:paraId="2257A098" w14:textId="77777777" w:rsidTr="00E815D5">
        <w:tc>
          <w:tcPr>
            <w:tcW w:w="738" w:type="dxa"/>
          </w:tcPr>
          <w:p w14:paraId="602BC6CB" w14:textId="42A9B266"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3902</w:t>
            </w:r>
          </w:p>
        </w:tc>
        <w:tc>
          <w:tcPr>
            <w:tcW w:w="1267" w:type="dxa"/>
          </w:tcPr>
          <w:p w14:paraId="0A764160" w14:textId="3CA5C164"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 xml:space="preserve">Πολυμερή του προπυλενίου </w:t>
            </w:r>
          </w:p>
        </w:tc>
        <w:tc>
          <w:tcPr>
            <w:tcW w:w="699" w:type="dxa"/>
          </w:tcPr>
          <w:p w14:paraId="75B6BB5D" w14:textId="31B81C4F"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2.703.293</w:t>
            </w:r>
          </w:p>
        </w:tc>
        <w:tc>
          <w:tcPr>
            <w:tcW w:w="866" w:type="dxa"/>
          </w:tcPr>
          <w:p w14:paraId="7E3EE787" w14:textId="7E81741C"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2,50%</w:t>
            </w:r>
          </w:p>
        </w:tc>
        <w:tc>
          <w:tcPr>
            <w:tcW w:w="988" w:type="dxa"/>
          </w:tcPr>
          <w:p w14:paraId="4E4512EA" w14:textId="27BCE33B" w:rsidR="005D0D10" w:rsidRPr="006F09B9" w:rsidRDefault="00375BAC" w:rsidP="005D0D10">
            <w:pPr>
              <w:rPr>
                <w:rFonts w:ascii="Arial Narrow" w:hAnsi="Arial Narrow"/>
                <w:b/>
                <w:color w:val="4F81BD" w:themeColor="accent1"/>
              </w:rPr>
            </w:pPr>
            <w:r w:rsidRPr="006F09B9">
              <w:rPr>
                <w:rFonts w:ascii="Arial Narrow" w:hAnsi="Arial Narrow"/>
                <w:b/>
                <w:color w:val="4F81BD" w:themeColor="accent1"/>
              </w:rPr>
              <w:t>7308</w:t>
            </w:r>
          </w:p>
        </w:tc>
        <w:tc>
          <w:tcPr>
            <w:tcW w:w="1267" w:type="dxa"/>
          </w:tcPr>
          <w:p w14:paraId="4AF37200" w14:textId="2B64F62C" w:rsidR="005D0D10" w:rsidRPr="006F09B9" w:rsidRDefault="00D07F86" w:rsidP="005D0D10">
            <w:pPr>
              <w:rPr>
                <w:rFonts w:ascii="Arial Narrow" w:hAnsi="Arial Narrow"/>
                <w:b/>
                <w:color w:val="4F81BD" w:themeColor="accent1"/>
              </w:rPr>
            </w:pPr>
            <w:r w:rsidRPr="006F09B9">
              <w:rPr>
                <w:rFonts w:ascii="Arial Narrow" w:hAnsi="Arial Narrow"/>
                <w:b/>
                <w:color w:val="4F81BD" w:themeColor="accent1"/>
              </w:rPr>
              <w:t>Κατασκευές και μέρη κατασκευών</w:t>
            </w:r>
          </w:p>
        </w:tc>
        <w:tc>
          <w:tcPr>
            <w:tcW w:w="699" w:type="dxa"/>
          </w:tcPr>
          <w:p w14:paraId="78693F6A" w14:textId="557810BC" w:rsidR="005D0D10" w:rsidRPr="006F09B9" w:rsidRDefault="00D07F86" w:rsidP="005D0D10">
            <w:pPr>
              <w:rPr>
                <w:rFonts w:ascii="Arial Narrow" w:hAnsi="Arial Narrow"/>
                <w:b/>
                <w:color w:val="4F81BD" w:themeColor="accent1"/>
              </w:rPr>
            </w:pPr>
            <w:r w:rsidRPr="006F09B9">
              <w:rPr>
                <w:rFonts w:ascii="Arial Narrow" w:hAnsi="Arial Narrow"/>
                <w:b/>
                <w:color w:val="4F81BD" w:themeColor="accent1"/>
              </w:rPr>
              <w:t>7.773.504</w:t>
            </w:r>
          </w:p>
        </w:tc>
        <w:tc>
          <w:tcPr>
            <w:tcW w:w="866" w:type="dxa"/>
          </w:tcPr>
          <w:p w14:paraId="78B2C868" w14:textId="67D82FBA" w:rsidR="005D0D10" w:rsidRPr="006F09B9" w:rsidRDefault="00D07F86" w:rsidP="005D0D10">
            <w:pPr>
              <w:rPr>
                <w:rFonts w:ascii="Arial Narrow" w:hAnsi="Arial Narrow"/>
                <w:b/>
                <w:color w:val="4F81BD" w:themeColor="accent1"/>
              </w:rPr>
            </w:pPr>
            <w:r w:rsidRPr="006F09B9">
              <w:rPr>
                <w:rFonts w:ascii="Arial Narrow" w:hAnsi="Arial Narrow"/>
                <w:b/>
                <w:color w:val="4F81BD" w:themeColor="accent1"/>
              </w:rPr>
              <w:t>4,06%</w:t>
            </w:r>
          </w:p>
        </w:tc>
        <w:tc>
          <w:tcPr>
            <w:tcW w:w="988" w:type="dxa"/>
          </w:tcPr>
          <w:p w14:paraId="7DBF2434" w14:textId="53DF7D1E" w:rsidR="005D0D10" w:rsidRPr="006F09B9" w:rsidRDefault="00D07F86" w:rsidP="005D0D10">
            <w:pPr>
              <w:rPr>
                <w:rFonts w:ascii="Arial Narrow" w:hAnsi="Arial Narrow"/>
                <w:b/>
                <w:color w:val="4F81BD" w:themeColor="accent1"/>
              </w:rPr>
            </w:pPr>
            <w:r w:rsidRPr="006F09B9">
              <w:rPr>
                <w:rFonts w:ascii="Arial Narrow" w:hAnsi="Arial Narrow"/>
                <w:b/>
                <w:color w:val="4F81BD" w:themeColor="accent1"/>
              </w:rPr>
              <w:t>8507</w:t>
            </w:r>
          </w:p>
        </w:tc>
        <w:tc>
          <w:tcPr>
            <w:tcW w:w="466" w:type="dxa"/>
          </w:tcPr>
          <w:p w14:paraId="28DCEAC9" w14:textId="5FBFB1F2" w:rsidR="005D0D10" w:rsidRPr="006F09B9" w:rsidRDefault="00D07F86" w:rsidP="005D0D10">
            <w:pPr>
              <w:rPr>
                <w:rFonts w:ascii="Arial Narrow" w:hAnsi="Arial Narrow"/>
                <w:b/>
                <w:color w:val="4F81BD" w:themeColor="accent1"/>
              </w:rPr>
            </w:pPr>
            <w:r w:rsidRPr="006F09B9">
              <w:rPr>
                <w:rFonts w:ascii="Arial Narrow" w:hAnsi="Arial Narrow"/>
                <w:b/>
                <w:color w:val="4F81BD" w:themeColor="accent1"/>
              </w:rPr>
              <w:t xml:space="preserve">Ηλεκτρικοί Συσσωρευτές </w:t>
            </w:r>
          </w:p>
        </w:tc>
        <w:tc>
          <w:tcPr>
            <w:tcW w:w="466" w:type="dxa"/>
          </w:tcPr>
          <w:p w14:paraId="3E27D94B" w14:textId="14CE84BC" w:rsidR="005D0D10" w:rsidRPr="006F09B9" w:rsidRDefault="00D07F86" w:rsidP="005D0D10">
            <w:pPr>
              <w:rPr>
                <w:rFonts w:ascii="Arial Narrow" w:hAnsi="Arial Narrow"/>
                <w:b/>
                <w:color w:val="4F81BD" w:themeColor="accent1"/>
              </w:rPr>
            </w:pPr>
            <w:r w:rsidRPr="006F09B9">
              <w:rPr>
                <w:rFonts w:ascii="Arial Narrow" w:hAnsi="Arial Narrow"/>
                <w:b/>
                <w:color w:val="4F81BD" w:themeColor="accent1"/>
              </w:rPr>
              <w:t>921.666</w:t>
            </w:r>
          </w:p>
        </w:tc>
        <w:tc>
          <w:tcPr>
            <w:tcW w:w="466" w:type="dxa"/>
          </w:tcPr>
          <w:p w14:paraId="19C7D589" w14:textId="5F345A96" w:rsidR="005D0D10" w:rsidRPr="006F09B9" w:rsidRDefault="00D07F86" w:rsidP="005D0D10">
            <w:pPr>
              <w:rPr>
                <w:rFonts w:ascii="Arial Narrow" w:hAnsi="Arial Narrow"/>
                <w:b/>
                <w:color w:val="4F81BD" w:themeColor="accent1"/>
              </w:rPr>
            </w:pPr>
            <w:r w:rsidRPr="006F09B9">
              <w:rPr>
                <w:rFonts w:ascii="Arial Narrow" w:hAnsi="Arial Narrow"/>
                <w:b/>
                <w:color w:val="4F81BD" w:themeColor="accent1"/>
              </w:rPr>
              <w:t>3,17%</w:t>
            </w:r>
          </w:p>
        </w:tc>
      </w:tr>
      <w:tr w:rsidR="00375BAC" w:rsidRPr="006F09B9" w14:paraId="1EB33F6E" w14:textId="77777777" w:rsidTr="00E815D5">
        <w:tc>
          <w:tcPr>
            <w:tcW w:w="738" w:type="dxa"/>
          </w:tcPr>
          <w:p w14:paraId="16B8A70F" w14:textId="06FE7B73" w:rsidR="005D0D10" w:rsidRPr="006F09B9" w:rsidRDefault="00D07F86" w:rsidP="005D0D10">
            <w:pPr>
              <w:rPr>
                <w:rFonts w:ascii="Arial Narrow" w:hAnsi="Arial Narrow"/>
                <w:b/>
                <w:color w:val="4F81BD" w:themeColor="accent1"/>
              </w:rPr>
            </w:pPr>
            <w:r w:rsidRPr="006F09B9">
              <w:rPr>
                <w:rFonts w:ascii="Arial Narrow" w:hAnsi="Arial Narrow"/>
                <w:b/>
                <w:color w:val="4F81BD" w:themeColor="accent1"/>
              </w:rPr>
              <w:t>9013</w:t>
            </w:r>
          </w:p>
        </w:tc>
        <w:tc>
          <w:tcPr>
            <w:tcW w:w="1267" w:type="dxa"/>
          </w:tcPr>
          <w:p w14:paraId="44EDBAFF" w14:textId="2C740923" w:rsidR="005D0D10" w:rsidRPr="006F09B9" w:rsidRDefault="00D07F86" w:rsidP="005D0D10">
            <w:pPr>
              <w:rPr>
                <w:rFonts w:ascii="Arial Narrow" w:hAnsi="Arial Narrow"/>
                <w:b/>
                <w:color w:val="4F81BD" w:themeColor="accent1"/>
              </w:rPr>
            </w:pPr>
            <w:r w:rsidRPr="006F09B9">
              <w:rPr>
                <w:rFonts w:ascii="Arial Narrow" w:hAnsi="Arial Narrow"/>
                <w:b/>
                <w:color w:val="4F81BD" w:themeColor="accent1"/>
              </w:rPr>
              <w:t xml:space="preserve">Λέϊζερ άλλες από τις διόδους </w:t>
            </w:r>
          </w:p>
        </w:tc>
        <w:tc>
          <w:tcPr>
            <w:tcW w:w="699" w:type="dxa"/>
          </w:tcPr>
          <w:p w14:paraId="6F2BAC97" w14:textId="10E7C20A" w:rsidR="005D0D10" w:rsidRPr="006F09B9" w:rsidRDefault="00D07F86" w:rsidP="005D0D10">
            <w:pPr>
              <w:rPr>
                <w:rFonts w:ascii="Arial Narrow" w:hAnsi="Arial Narrow"/>
                <w:b/>
                <w:color w:val="4F81BD" w:themeColor="accent1"/>
              </w:rPr>
            </w:pPr>
            <w:r w:rsidRPr="006F09B9">
              <w:rPr>
                <w:rFonts w:ascii="Arial Narrow" w:hAnsi="Arial Narrow"/>
                <w:b/>
                <w:color w:val="4F81BD" w:themeColor="accent1"/>
              </w:rPr>
              <w:t>2.533.656</w:t>
            </w:r>
          </w:p>
        </w:tc>
        <w:tc>
          <w:tcPr>
            <w:tcW w:w="866" w:type="dxa"/>
          </w:tcPr>
          <w:p w14:paraId="79890288" w14:textId="14A1DF52" w:rsidR="005D0D10" w:rsidRPr="006F09B9" w:rsidRDefault="00D07F86" w:rsidP="005D0D10">
            <w:pPr>
              <w:rPr>
                <w:rFonts w:ascii="Arial Narrow" w:hAnsi="Arial Narrow"/>
                <w:b/>
                <w:color w:val="4F81BD" w:themeColor="accent1"/>
              </w:rPr>
            </w:pPr>
            <w:r w:rsidRPr="006F09B9">
              <w:rPr>
                <w:rFonts w:ascii="Arial Narrow" w:hAnsi="Arial Narrow"/>
                <w:b/>
                <w:color w:val="4F81BD" w:themeColor="accent1"/>
              </w:rPr>
              <w:t>2,34%</w:t>
            </w:r>
          </w:p>
        </w:tc>
        <w:tc>
          <w:tcPr>
            <w:tcW w:w="988" w:type="dxa"/>
          </w:tcPr>
          <w:p w14:paraId="183307FB" w14:textId="628E0724" w:rsidR="005D0D10" w:rsidRPr="006F09B9" w:rsidRDefault="00D07F86" w:rsidP="005D0D10">
            <w:pPr>
              <w:rPr>
                <w:rFonts w:ascii="Arial Narrow" w:hAnsi="Arial Narrow"/>
                <w:b/>
                <w:color w:val="4F81BD" w:themeColor="accent1"/>
              </w:rPr>
            </w:pPr>
            <w:r w:rsidRPr="006F09B9">
              <w:rPr>
                <w:rFonts w:ascii="Arial Narrow" w:hAnsi="Arial Narrow"/>
                <w:b/>
                <w:color w:val="4F81BD" w:themeColor="accent1"/>
              </w:rPr>
              <w:t>7210</w:t>
            </w:r>
          </w:p>
        </w:tc>
        <w:tc>
          <w:tcPr>
            <w:tcW w:w="1267" w:type="dxa"/>
          </w:tcPr>
          <w:p w14:paraId="78C5E34D" w14:textId="5E421AFD" w:rsidR="005D0D10" w:rsidRPr="006F09B9" w:rsidRDefault="00D07F86" w:rsidP="005D0D10">
            <w:pPr>
              <w:rPr>
                <w:rFonts w:ascii="Arial Narrow" w:hAnsi="Arial Narrow"/>
                <w:b/>
                <w:color w:val="4F81BD" w:themeColor="accent1"/>
              </w:rPr>
            </w:pPr>
            <w:r w:rsidRPr="006F09B9">
              <w:rPr>
                <w:rFonts w:ascii="Arial Narrow" w:hAnsi="Arial Narrow"/>
                <w:b/>
                <w:color w:val="4F81BD" w:themeColor="accent1"/>
              </w:rPr>
              <w:t>Πλατέα Προϊόντα έλασης από σίδηρο</w:t>
            </w:r>
          </w:p>
        </w:tc>
        <w:tc>
          <w:tcPr>
            <w:tcW w:w="699" w:type="dxa"/>
          </w:tcPr>
          <w:p w14:paraId="5AADE6E0" w14:textId="711D3230" w:rsidR="005D0D10" w:rsidRPr="006F09B9" w:rsidRDefault="00D07F86" w:rsidP="005D0D10">
            <w:pPr>
              <w:rPr>
                <w:rFonts w:ascii="Arial Narrow" w:hAnsi="Arial Narrow"/>
                <w:b/>
                <w:color w:val="4F81BD" w:themeColor="accent1"/>
              </w:rPr>
            </w:pPr>
            <w:r w:rsidRPr="006F09B9">
              <w:rPr>
                <w:rFonts w:ascii="Arial Narrow" w:hAnsi="Arial Narrow"/>
                <w:b/>
                <w:color w:val="4F81BD" w:themeColor="accent1"/>
              </w:rPr>
              <w:t>5.640.466</w:t>
            </w:r>
          </w:p>
        </w:tc>
        <w:tc>
          <w:tcPr>
            <w:tcW w:w="866" w:type="dxa"/>
          </w:tcPr>
          <w:p w14:paraId="5C7EFA69" w14:textId="37AB8B36" w:rsidR="005D0D10" w:rsidRPr="006F09B9" w:rsidRDefault="00D07F86" w:rsidP="005D0D10">
            <w:pPr>
              <w:rPr>
                <w:rFonts w:ascii="Arial Narrow" w:hAnsi="Arial Narrow"/>
                <w:b/>
                <w:color w:val="4F81BD" w:themeColor="accent1"/>
              </w:rPr>
            </w:pPr>
            <w:r w:rsidRPr="006F09B9">
              <w:rPr>
                <w:rFonts w:ascii="Arial Narrow" w:hAnsi="Arial Narrow"/>
                <w:b/>
                <w:color w:val="4F81BD" w:themeColor="accent1"/>
              </w:rPr>
              <w:t>2,95%</w:t>
            </w:r>
          </w:p>
        </w:tc>
        <w:tc>
          <w:tcPr>
            <w:tcW w:w="988" w:type="dxa"/>
          </w:tcPr>
          <w:p w14:paraId="0E598296" w14:textId="315C8819" w:rsidR="005D0D10" w:rsidRPr="006F09B9" w:rsidRDefault="00D07F86" w:rsidP="005D0D10">
            <w:pPr>
              <w:rPr>
                <w:rFonts w:ascii="Arial Narrow" w:hAnsi="Arial Narrow"/>
                <w:b/>
                <w:color w:val="4F81BD" w:themeColor="accent1"/>
              </w:rPr>
            </w:pPr>
            <w:r w:rsidRPr="006F09B9">
              <w:rPr>
                <w:rFonts w:ascii="Arial Narrow" w:hAnsi="Arial Narrow"/>
                <w:b/>
                <w:color w:val="4F81BD" w:themeColor="accent1"/>
              </w:rPr>
              <w:t>3902</w:t>
            </w:r>
          </w:p>
        </w:tc>
        <w:tc>
          <w:tcPr>
            <w:tcW w:w="466" w:type="dxa"/>
          </w:tcPr>
          <w:p w14:paraId="1AF37250" w14:textId="49F26DC1" w:rsidR="005D0D10" w:rsidRPr="006F09B9" w:rsidRDefault="00D07F86" w:rsidP="005D0D10">
            <w:pPr>
              <w:rPr>
                <w:rFonts w:ascii="Arial Narrow" w:hAnsi="Arial Narrow"/>
                <w:b/>
                <w:color w:val="4F81BD" w:themeColor="accent1"/>
              </w:rPr>
            </w:pPr>
            <w:r w:rsidRPr="006F09B9">
              <w:rPr>
                <w:rFonts w:ascii="Arial Narrow" w:hAnsi="Arial Narrow"/>
                <w:b/>
                <w:color w:val="4F81BD" w:themeColor="accent1"/>
              </w:rPr>
              <w:t xml:space="preserve">Πολυμερή του προπυλενίου </w:t>
            </w:r>
          </w:p>
        </w:tc>
        <w:tc>
          <w:tcPr>
            <w:tcW w:w="466" w:type="dxa"/>
          </w:tcPr>
          <w:p w14:paraId="087514EC" w14:textId="63B27DD1" w:rsidR="005D0D10" w:rsidRPr="006F09B9" w:rsidRDefault="00D07F86" w:rsidP="005D0D10">
            <w:pPr>
              <w:rPr>
                <w:rFonts w:ascii="Arial Narrow" w:hAnsi="Arial Narrow"/>
                <w:b/>
                <w:color w:val="4F81BD" w:themeColor="accent1"/>
              </w:rPr>
            </w:pPr>
            <w:r w:rsidRPr="006F09B9">
              <w:rPr>
                <w:rFonts w:ascii="Arial Narrow" w:hAnsi="Arial Narrow"/>
                <w:b/>
                <w:color w:val="4F81BD" w:themeColor="accent1"/>
              </w:rPr>
              <w:t>798.947</w:t>
            </w:r>
          </w:p>
        </w:tc>
        <w:tc>
          <w:tcPr>
            <w:tcW w:w="466" w:type="dxa"/>
          </w:tcPr>
          <w:p w14:paraId="0EB05B82" w14:textId="6D68679B" w:rsidR="005D0D10" w:rsidRPr="006F09B9" w:rsidRDefault="00D07F86" w:rsidP="005D0D10">
            <w:pPr>
              <w:rPr>
                <w:rFonts w:ascii="Arial Narrow" w:hAnsi="Arial Narrow"/>
                <w:b/>
                <w:color w:val="4F81BD" w:themeColor="accent1"/>
              </w:rPr>
            </w:pPr>
            <w:r w:rsidRPr="006F09B9">
              <w:rPr>
                <w:rFonts w:ascii="Arial Narrow" w:hAnsi="Arial Narrow"/>
                <w:b/>
                <w:color w:val="4F81BD" w:themeColor="accent1"/>
              </w:rPr>
              <w:t>2,74%</w:t>
            </w:r>
          </w:p>
        </w:tc>
      </w:tr>
    </w:tbl>
    <w:p w14:paraId="32AB02A7" w14:textId="7B906C63" w:rsidR="00D323B6" w:rsidRPr="006F09B9" w:rsidRDefault="00D07F86" w:rsidP="0079660B">
      <w:pPr>
        <w:jc w:val="both"/>
        <w:rPr>
          <w:rFonts w:ascii="Times New Roman" w:hAnsi="Times New Roman" w:cs="Times New Roman"/>
          <w:color w:val="4F81BD" w:themeColor="accent1"/>
        </w:rPr>
      </w:pPr>
      <w:r w:rsidRPr="006F09B9">
        <w:rPr>
          <w:rFonts w:ascii="Arial Narrow" w:hAnsi="Arial Narrow"/>
          <w:b/>
          <w:color w:val="4F81BD" w:themeColor="accent1"/>
          <w:sz w:val="24"/>
          <w:szCs w:val="24"/>
        </w:rPr>
        <w:t xml:space="preserve">Πηγή: ΕΛ.ΣΤΑΤ, </w:t>
      </w:r>
      <w:r w:rsidRPr="006F09B9">
        <w:rPr>
          <w:rFonts w:ascii="Arial Narrow" w:hAnsi="Arial Narrow"/>
          <w:b/>
          <w:color w:val="4F81BD" w:themeColor="accent1"/>
          <w:sz w:val="24"/>
          <w:szCs w:val="24"/>
          <w:lang w:val="en-US"/>
        </w:rPr>
        <w:t>UN</w:t>
      </w:r>
      <w:r w:rsidRPr="006F09B9">
        <w:rPr>
          <w:rFonts w:ascii="Arial Narrow" w:hAnsi="Arial Narrow"/>
          <w:b/>
          <w:color w:val="4F81BD" w:themeColor="accent1"/>
          <w:sz w:val="24"/>
          <w:szCs w:val="24"/>
        </w:rPr>
        <w:t xml:space="preserve"> </w:t>
      </w:r>
      <w:r w:rsidRPr="006F09B9">
        <w:rPr>
          <w:rFonts w:ascii="Arial Narrow" w:hAnsi="Arial Narrow"/>
          <w:b/>
          <w:color w:val="4F81BD" w:themeColor="accent1"/>
          <w:sz w:val="24"/>
          <w:szCs w:val="24"/>
          <w:lang w:val="en-US"/>
        </w:rPr>
        <w:t>COMTRADE</w:t>
      </w:r>
      <w:r w:rsidRPr="006F09B9">
        <w:rPr>
          <w:rFonts w:ascii="Arial Narrow" w:hAnsi="Arial Narrow"/>
          <w:b/>
          <w:color w:val="4F81BD" w:themeColor="accent1"/>
          <w:sz w:val="24"/>
          <w:szCs w:val="24"/>
        </w:rPr>
        <w:t xml:space="preserve"> &amp;</w:t>
      </w:r>
      <w:r w:rsidR="0079660B" w:rsidRPr="006F09B9">
        <w:rPr>
          <w:rFonts w:ascii="Arial Narrow" w:hAnsi="Arial Narrow"/>
          <w:b/>
          <w:color w:val="4F81BD" w:themeColor="accent1"/>
          <w:sz w:val="24"/>
          <w:szCs w:val="24"/>
        </w:rPr>
        <w:t xml:space="preserve"> Επεξεργασία από Γραφείο ΟΕΥ Ντουμπάϊ</w:t>
      </w:r>
    </w:p>
    <w:p w14:paraId="2579868D" w14:textId="6E9AFBC3" w:rsidR="00D323B6" w:rsidRPr="006F09B9" w:rsidRDefault="00D323B6" w:rsidP="00D323B6">
      <w:pPr>
        <w:rPr>
          <w:rFonts w:ascii="Arial Narrow" w:hAnsi="Arial Narrow"/>
          <w:b/>
          <w:color w:val="4F81BD" w:themeColor="accent1"/>
          <w:sz w:val="28"/>
          <w:szCs w:val="28"/>
        </w:rPr>
      </w:pPr>
      <w:r w:rsidRPr="006F09B9">
        <w:rPr>
          <w:rFonts w:ascii="Arial Narrow" w:hAnsi="Arial Narrow"/>
          <w:b/>
          <w:color w:val="4F81BD" w:themeColor="accent1"/>
          <w:sz w:val="28"/>
          <w:szCs w:val="28"/>
        </w:rPr>
        <w:t>4.</w:t>
      </w:r>
      <w:r w:rsidR="0079660B" w:rsidRPr="006F09B9">
        <w:rPr>
          <w:rFonts w:ascii="Arial Narrow" w:hAnsi="Arial Narrow"/>
          <w:b/>
          <w:color w:val="4F81BD" w:themeColor="accent1"/>
          <w:sz w:val="28"/>
          <w:szCs w:val="28"/>
        </w:rPr>
        <w:t xml:space="preserve">2. </w:t>
      </w:r>
      <w:r w:rsidRPr="006F09B9">
        <w:rPr>
          <w:rFonts w:ascii="Arial Narrow" w:hAnsi="Arial Narrow"/>
          <w:b/>
          <w:color w:val="4F81BD" w:themeColor="accent1"/>
          <w:sz w:val="28"/>
          <w:szCs w:val="28"/>
        </w:rPr>
        <w:t>Εξαγωγές Ελλάδος προς ΗΑΕ – Τάσεις 2024-2025</w:t>
      </w:r>
    </w:p>
    <w:p w14:paraId="4AB953F6" w14:textId="712C8FA2" w:rsidR="0079660B" w:rsidRPr="00E146CE" w:rsidRDefault="0079660B" w:rsidP="00E146CE">
      <w:pPr>
        <w:jc w:val="both"/>
        <w:rPr>
          <w:rFonts w:ascii="Arial Narrow" w:hAnsi="Arial Narrow"/>
          <w:sz w:val="24"/>
          <w:szCs w:val="24"/>
        </w:rPr>
      </w:pPr>
      <w:r w:rsidRPr="006F09B9">
        <w:rPr>
          <w:rFonts w:ascii="Arial Narrow" w:hAnsi="Arial Narrow"/>
          <w:color w:val="4F81BD" w:themeColor="accent1"/>
          <w:sz w:val="24"/>
          <w:szCs w:val="24"/>
        </w:rPr>
        <w:t xml:space="preserve">Τα κυριώτερα χαρακτηριστκά των ελληνικών εξαγωγών προς ΗΑΕ και οι τάσεις που επικρατούν για την διετία 2024-2025 είναι η σταθερή αύξηση των </w:t>
      </w:r>
      <w:r w:rsidR="0089321F" w:rsidRPr="006F09B9">
        <w:rPr>
          <w:rFonts w:ascii="Arial Narrow" w:hAnsi="Arial Narrow"/>
          <w:color w:val="4F81BD" w:themeColor="accent1"/>
          <w:sz w:val="24"/>
          <w:szCs w:val="24"/>
        </w:rPr>
        <w:t xml:space="preserve">μη πετρελαϊκών εξαγωγών με τα ελληνικά προϊόντα να κερδίζουν θέση σε </w:t>
      </w:r>
      <w:r w:rsidR="0089321F" w:rsidRPr="006F09B9">
        <w:rPr>
          <w:rFonts w:ascii="Arial Narrow" w:hAnsi="Arial Narrow"/>
          <w:color w:val="4F81BD" w:themeColor="accent1"/>
          <w:sz w:val="24"/>
          <w:szCs w:val="24"/>
          <w:lang w:val="en-US"/>
        </w:rPr>
        <w:t>premium</w:t>
      </w:r>
      <w:r w:rsidR="0089321F" w:rsidRPr="006F09B9">
        <w:rPr>
          <w:rFonts w:ascii="Arial Narrow" w:hAnsi="Arial Narrow"/>
          <w:color w:val="4F81BD" w:themeColor="accent1"/>
          <w:sz w:val="24"/>
          <w:szCs w:val="24"/>
        </w:rPr>
        <w:t xml:space="preserve"> </w:t>
      </w:r>
      <w:r w:rsidR="005A5D92" w:rsidRPr="006F09B9">
        <w:rPr>
          <w:rFonts w:ascii="Arial Narrow" w:hAnsi="Arial Narrow"/>
          <w:color w:val="4F81BD" w:themeColor="accent1"/>
          <w:sz w:val="24"/>
          <w:szCs w:val="24"/>
        </w:rPr>
        <w:t>αγορές (</w:t>
      </w:r>
      <w:r w:rsidR="005A5D92" w:rsidRPr="006F09B9">
        <w:rPr>
          <w:rFonts w:ascii="Arial Narrow" w:hAnsi="Arial Narrow"/>
          <w:color w:val="4F81BD" w:themeColor="accent1"/>
          <w:sz w:val="24"/>
          <w:szCs w:val="24"/>
          <w:lang w:val="en-US"/>
        </w:rPr>
        <w:t>Dubai</w:t>
      </w:r>
      <w:r w:rsidR="005A5D92" w:rsidRPr="006F09B9">
        <w:rPr>
          <w:rFonts w:ascii="Arial Narrow" w:hAnsi="Arial Narrow"/>
          <w:color w:val="4F81BD" w:themeColor="accent1"/>
          <w:sz w:val="24"/>
          <w:szCs w:val="24"/>
        </w:rPr>
        <w:t xml:space="preserve">, </w:t>
      </w:r>
      <w:r w:rsidR="005A5D92" w:rsidRPr="006F09B9">
        <w:rPr>
          <w:rFonts w:ascii="Arial Narrow" w:hAnsi="Arial Narrow"/>
          <w:color w:val="4F81BD" w:themeColor="accent1"/>
          <w:sz w:val="24"/>
          <w:szCs w:val="24"/>
          <w:lang w:val="en-US"/>
        </w:rPr>
        <w:t>Abu</w:t>
      </w:r>
      <w:r w:rsidR="005A5D92" w:rsidRPr="006F09B9">
        <w:rPr>
          <w:rFonts w:ascii="Arial Narrow" w:hAnsi="Arial Narrow"/>
          <w:color w:val="4F81BD" w:themeColor="accent1"/>
          <w:sz w:val="24"/>
          <w:szCs w:val="24"/>
        </w:rPr>
        <w:t xml:space="preserve"> </w:t>
      </w:r>
      <w:r w:rsidR="005A5D92" w:rsidRPr="006F09B9">
        <w:rPr>
          <w:rFonts w:ascii="Arial Narrow" w:hAnsi="Arial Narrow"/>
          <w:color w:val="4F81BD" w:themeColor="accent1"/>
          <w:sz w:val="24"/>
          <w:szCs w:val="24"/>
          <w:lang w:val="en-US"/>
        </w:rPr>
        <w:t>Dhabi</w:t>
      </w:r>
      <w:r w:rsidR="005A5D92" w:rsidRPr="006F09B9">
        <w:rPr>
          <w:rFonts w:ascii="Arial Narrow" w:hAnsi="Arial Narrow"/>
          <w:color w:val="4F81BD" w:themeColor="accent1"/>
          <w:sz w:val="24"/>
          <w:szCs w:val="24"/>
        </w:rPr>
        <w:t xml:space="preserve">), ενίσχυση του τομέα των τροφίμων με σημαντικό </w:t>
      </w:r>
      <w:r w:rsidR="005A5D92" w:rsidRPr="006F09B9">
        <w:rPr>
          <w:rFonts w:ascii="Arial Narrow" w:hAnsi="Arial Narrow"/>
          <w:color w:val="4F81BD" w:themeColor="accent1"/>
          <w:sz w:val="24"/>
          <w:szCs w:val="24"/>
          <w:lang w:val="en-US"/>
        </w:rPr>
        <w:t>branding</w:t>
      </w:r>
      <w:r w:rsidR="005A5D92" w:rsidRPr="006F09B9">
        <w:rPr>
          <w:rFonts w:ascii="Arial Narrow" w:hAnsi="Arial Narrow"/>
          <w:color w:val="4F81BD" w:themeColor="accent1"/>
          <w:sz w:val="24"/>
          <w:szCs w:val="24"/>
        </w:rPr>
        <w:t xml:space="preserve"> ελληνικής μεσογειακής διατροφής, </w:t>
      </w:r>
      <w:r w:rsidR="005A5D92" w:rsidRPr="006F09B9">
        <w:rPr>
          <w:rFonts w:ascii="Arial Narrow" w:hAnsi="Arial Narrow"/>
          <w:color w:val="4F81BD" w:themeColor="accent1"/>
          <w:sz w:val="24"/>
          <w:szCs w:val="24"/>
          <w:lang w:val="en-US"/>
        </w:rPr>
        <w:t>logistics</w:t>
      </w:r>
      <w:r w:rsidR="005A5D92" w:rsidRPr="006F09B9">
        <w:rPr>
          <w:rFonts w:ascii="Arial Narrow" w:hAnsi="Arial Narrow"/>
          <w:color w:val="4F81BD" w:themeColor="accent1"/>
          <w:sz w:val="24"/>
          <w:szCs w:val="24"/>
        </w:rPr>
        <w:t xml:space="preserve"> &amp; </w:t>
      </w:r>
      <w:r w:rsidR="005A5D92" w:rsidRPr="006F09B9">
        <w:rPr>
          <w:rFonts w:ascii="Arial Narrow" w:hAnsi="Arial Narrow"/>
          <w:color w:val="4F81BD" w:themeColor="accent1"/>
          <w:sz w:val="24"/>
          <w:szCs w:val="24"/>
          <w:lang w:val="en-US"/>
        </w:rPr>
        <w:t>re</w:t>
      </w:r>
      <w:r w:rsidR="005A5D92" w:rsidRPr="006F09B9">
        <w:rPr>
          <w:rFonts w:ascii="Arial Narrow" w:hAnsi="Arial Narrow"/>
          <w:color w:val="4F81BD" w:themeColor="accent1"/>
          <w:sz w:val="24"/>
          <w:szCs w:val="24"/>
        </w:rPr>
        <w:t>-</w:t>
      </w:r>
      <w:r w:rsidR="005A5D92" w:rsidRPr="006F09B9">
        <w:rPr>
          <w:rFonts w:ascii="Arial Narrow" w:hAnsi="Arial Narrow"/>
          <w:color w:val="4F81BD" w:themeColor="accent1"/>
          <w:sz w:val="24"/>
          <w:szCs w:val="24"/>
          <w:lang w:val="en-US"/>
        </w:rPr>
        <w:t>export</w:t>
      </w:r>
      <w:r w:rsidR="00E146CE" w:rsidRPr="006F09B9">
        <w:rPr>
          <w:rFonts w:ascii="Arial Narrow" w:hAnsi="Arial Narrow"/>
          <w:color w:val="4F81BD" w:themeColor="accent1"/>
          <w:sz w:val="24"/>
          <w:szCs w:val="24"/>
        </w:rPr>
        <w:t xml:space="preserve"> μέσω ΗΑΕ με ένα μεγάλο μέρος των ελληνικών προϊόντων να </w:t>
      </w:r>
      <w:r w:rsidR="00E146CE">
        <w:rPr>
          <w:rFonts w:ascii="Arial Narrow" w:hAnsi="Arial Narrow"/>
          <w:sz w:val="24"/>
          <w:szCs w:val="24"/>
        </w:rPr>
        <w:t xml:space="preserve">επανεξάγεται σε Σαουδική Αραβία, Ινδία και Ανατολική Αφρική, άνοδος των φαρμακευτικών προϊόντων και των καλλυντικών λόγω υψηλού εισοδήματος των καταναλωτών. Για το χρονικό διάστημα 2023-2025 οι ελληνικές εξαγωγές προς τα ΗΑΕ, παρουσιάζουν σταθερά ανοδική πορεία. Η αγορά των ΗΑΕ λειτουργεί ως </w:t>
      </w:r>
      <w:r w:rsidR="00E146CE">
        <w:rPr>
          <w:rFonts w:ascii="Arial Narrow" w:hAnsi="Arial Narrow"/>
          <w:sz w:val="24"/>
          <w:szCs w:val="24"/>
          <w:lang w:val="en-US"/>
        </w:rPr>
        <w:t>premium</w:t>
      </w:r>
      <w:r w:rsidR="00E146CE" w:rsidRPr="00E146CE">
        <w:rPr>
          <w:rFonts w:ascii="Arial Narrow" w:hAnsi="Arial Narrow"/>
          <w:sz w:val="24"/>
          <w:szCs w:val="24"/>
        </w:rPr>
        <w:t xml:space="preserve"> </w:t>
      </w:r>
      <w:r w:rsidR="00E146CE">
        <w:rPr>
          <w:rFonts w:ascii="Arial Narrow" w:hAnsi="Arial Narrow"/>
          <w:sz w:val="24"/>
          <w:szCs w:val="24"/>
        </w:rPr>
        <w:t>καταναλωτική αγορά και είναι κόμβος</w:t>
      </w:r>
      <w:r w:rsidR="00E146CE" w:rsidRPr="00E146CE">
        <w:rPr>
          <w:rFonts w:ascii="Arial Narrow" w:hAnsi="Arial Narrow"/>
          <w:sz w:val="24"/>
          <w:szCs w:val="24"/>
        </w:rPr>
        <w:t xml:space="preserve"> </w:t>
      </w:r>
      <w:r w:rsidR="00E146CE">
        <w:rPr>
          <w:rFonts w:ascii="Arial Narrow" w:hAnsi="Arial Narrow"/>
          <w:sz w:val="24"/>
          <w:szCs w:val="24"/>
        </w:rPr>
        <w:t xml:space="preserve">για επανεξαγωγές. Το δε εμπόριο επηρεάζεται έντονα από τις εισαγωγές σε προϊόντα ενέργειας και αυξημένες αντίστοιχα εξαγωγές σε τρόφιμα και φαρμακευτικά προϊόντα. </w:t>
      </w:r>
    </w:p>
    <w:p w14:paraId="293C3DF8" w14:textId="0E790453" w:rsidR="006A1E3A" w:rsidRPr="006F09B9" w:rsidRDefault="00D323B6" w:rsidP="006A1E3A">
      <w:pPr>
        <w:jc w:val="center"/>
        <w:rPr>
          <w:rFonts w:ascii="Arial Narrow" w:hAnsi="Arial Narrow"/>
          <w:b/>
          <w:color w:val="4F81BD" w:themeColor="accent1"/>
          <w:sz w:val="28"/>
          <w:szCs w:val="28"/>
        </w:rPr>
      </w:pPr>
      <w:r w:rsidRPr="006F09B9">
        <w:rPr>
          <w:rFonts w:ascii="Arial Narrow" w:hAnsi="Arial Narrow"/>
          <w:b/>
          <w:color w:val="4F81BD" w:themeColor="accent1"/>
          <w:sz w:val="28"/>
          <w:szCs w:val="28"/>
        </w:rPr>
        <w:t>4.</w:t>
      </w:r>
      <w:r w:rsidR="006A1E3A" w:rsidRPr="006F09B9">
        <w:rPr>
          <w:rFonts w:ascii="Arial Narrow" w:hAnsi="Arial Narrow"/>
          <w:b/>
          <w:color w:val="4F81BD" w:themeColor="accent1"/>
          <w:sz w:val="28"/>
          <w:szCs w:val="28"/>
        </w:rPr>
        <w:t>3</w:t>
      </w:r>
      <w:r w:rsidRPr="006F09B9">
        <w:rPr>
          <w:rFonts w:ascii="Arial Narrow" w:hAnsi="Arial Narrow"/>
          <w:b/>
          <w:color w:val="4F81BD" w:themeColor="accent1"/>
          <w:sz w:val="28"/>
          <w:szCs w:val="28"/>
        </w:rPr>
        <w:t>. Εξαγωγές</w:t>
      </w:r>
      <w:r w:rsidR="006A1E3A" w:rsidRPr="006F09B9">
        <w:rPr>
          <w:rFonts w:ascii="Arial Narrow" w:hAnsi="Arial Narrow"/>
          <w:b/>
          <w:color w:val="4F81BD" w:themeColor="accent1"/>
          <w:sz w:val="28"/>
          <w:szCs w:val="28"/>
        </w:rPr>
        <w:t xml:space="preserve"> ΕΛΛΆΔΟΣ ΠΡΟΣ ΗΑΕ - 2024</w:t>
      </w:r>
    </w:p>
    <w:p w14:paraId="512F1E5B" w14:textId="0CBDB545" w:rsidR="00B26713" w:rsidRPr="006F09B9" w:rsidRDefault="006F09B9" w:rsidP="00B26713">
      <w:pPr>
        <w:jc w:val="center"/>
        <w:rPr>
          <w:rFonts w:ascii="Arial Narrow" w:hAnsi="Arial Narrow"/>
          <w:b/>
          <w:color w:val="4F81BD" w:themeColor="accent1"/>
          <w:sz w:val="28"/>
          <w:szCs w:val="28"/>
        </w:rPr>
      </w:pPr>
      <w:r>
        <w:rPr>
          <w:rFonts w:ascii="Arial Narrow" w:hAnsi="Arial Narrow"/>
          <w:b/>
          <w:color w:val="4F81BD" w:themeColor="accent1"/>
          <w:sz w:val="28"/>
          <w:szCs w:val="28"/>
        </w:rPr>
        <w:t xml:space="preserve">ΠΙΝΑΚΑΣ </w:t>
      </w:r>
      <w:r w:rsidR="00451B2E">
        <w:rPr>
          <w:rFonts w:ascii="Arial Narrow" w:hAnsi="Arial Narrow"/>
          <w:b/>
          <w:color w:val="4F81BD" w:themeColor="accent1"/>
          <w:sz w:val="28"/>
          <w:szCs w:val="28"/>
        </w:rPr>
        <w:t xml:space="preserve">20 </w:t>
      </w:r>
      <w:r>
        <w:rPr>
          <w:rFonts w:ascii="Arial Narrow" w:hAnsi="Arial Narrow"/>
          <w:b/>
          <w:color w:val="4F81BD" w:themeColor="accent1"/>
          <w:sz w:val="28"/>
          <w:szCs w:val="28"/>
        </w:rPr>
        <w:t xml:space="preserve"> - </w:t>
      </w:r>
      <w:r w:rsidR="006A1E3A" w:rsidRPr="006F09B9">
        <w:rPr>
          <w:rFonts w:ascii="Arial Narrow" w:hAnsi="Arial Narrow"/>
          <w:b/>
          <w:color w:val="4F81BD" w:themeColor="accent1"/>
          <w:sz w:val="28"/>
          <w:szCs w:val="28"/>
        </w:rPr>
        <w:t xml:space="preserve">Ανάλυση ανά </w:t>
      </w:r>
      <w:r w:rsidR="006A1E3A" w:rsidRPr="006F09B9">
        <w:rPr>
          <w:rFonts w:ascii="Arial Narrow" w:hAnsi="Arial Narrow"/>
          <w:b/>
          <w:color w:val="4F81BD" w:themeColor="accent1"/>
          <w:sz w:val="28"/>
          <w:szCs w:val="28"/>
          <w:lang w:val="en-US"/>
        </w:rPr>
        <w:t>HS</w:t>
      </w:r>
      <w:r w:rsidR="006A1E3A" w:rsidRPr="006F09B9">
        <w:rPr>
          <w:rFonts w:ascii="Arial Narrow" w:hAnsi="Arial Narrow"/>
          <w:b/>
          <w:color w:val="4F81BD" w:themeColor="accent1"/>
          <w:sz w:val="28"/>
          <w:szCs w:val="28"/>
        </w:rPr>
        <w:t>/</w:t>
      </w:r>
      <w:r w:rsidR="006A1E3A" w:rsidRPr="006F09B9">
        <w:rPr>
          <w:rFonts w:ascii="Arial Narrow" w:hAnsi="Arial Narrow"/>
          <w:b/>
          <w:color w:val="4F81BD" w:themeColor="accent1"/>
          <w:sz w:val="28"/>
          <w:szCs w:val="28"/>
          <w:lang w:val="en-US"/>
        </w:rPr>
        <w:t>ISIC</w:t>
      </w:r>
      <w:r w:rsidR="006A1E3A" w:rsidRPr="006F09B9">
        <w:rPr>
          <w:rFonts w:ascii="Arial Narrow" w:hAnsi="Arial Narrow"/>
          <w:b/>
          <w:color w:val="4F81BD" w:themeColor="accent1"/>
          <w:sz w:val="28"/>
          <w:szCs w:val="28"/>
        </w:rPr>
        <w:t xml:space="preserve"> κατηγορία προϊόντος </w:t>
      </w:r>
      <w:r w:rsidR="00D53B14" w:rsidRPr="006F09B9">
        <w:rPr>
          <w:rFonts w:ascii="Arial Narrow" w:hAnsi="Arial Narrow"/>
          <w:b/>
          <w:color w:val="4F81BD" w:themeColor="accent1"/>
          <w:sz w:val="28"/>
          <w:szCs w:val="28"/>
        </w:rPr>
        <w:t>– Αξία σε $</w:t>
      </w:r>
    </w:p>
    <w:tbl>
      <w:tblPr>
        <w:tblStyle w:val="TableGrid"/>
        <w:tblW w:w="0" w:type="auto"/>
        <w:tblLook w:val="04A0" w:firstRow="1" w:lastRow="0" w:firstColumn="1" w:lastColumn="0" w:noHBand="0" w:noVBand="1"/>
      </w:tblPr>
      <w:tblGrid>
        <w:gridCol w:w="2442"/>
        <w:gridCol w:w="2443"/>
        <w:gridCol w:w="2443"/>
        <w:gridCol w:w="2443"/>
      </w:tblGrid>
      <w:tr w:rsidR="006A1E3A" w:rsidRPr="006F09B9" w14:paraId="3089EFBD" w14:textId="77777777" w:rsidTr="006A1E3A">
        <w:tc>
          <w:tcPr>
            <w:tcW w:w="2442" w:type="dxa"/>
          </w:tcPr>
          <w:p w14:paraId="68A7AD02" w14:textId="271180E7" w:rsidR="006A1E3A" w:rsidRPr="006F09B9" w:rsidRDefault="006A1E3A"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lang w:val="en-US"/>
              </w:rPr>
              <w:t xml:space="preserve">HS / ISIC </w:t>
            </w:r>
            <w:r w:rsidRPr="006F09B9">
              <w:rPr>
                <w:rFonts w:ascii="Arial Narrow" w:hAnsi="Arial Narrow"/>
                <w:b/>
                <w:color w:val="4F81BD" w:themeColor="accent1"/>
                <w:sz w:val="24"/>
                <w:szCs w:val="24"/>
              </w:rPr>
              <w:t>Τομέας</w:t>
            </w:r>
          </w:p>
        </w:tc>
        <w:tc>
          <w:tcPr>
            <w:tcW w:w="2443" w:type="dxa"/>
          </w:tcPr>
          <w:p w14:paraId="03A510A7" w14:textId="4F0528C9" w:rsidR="006A1E3A" w:rsidRPr="006F09B9" w:rsidRDefault="006A1E3A"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Περιγραφή κλάδου</w:t>
            </w:r>
          </w:p>
        </w:tc>
        <w:tc>
          <w:tcPr>
            <w:tcW w:w="2443" w:type="dxa"/>
          </w:tcPr>
          <w:p w14:paraId="6E7C91DC" w14:textId="4FD9C9F1" w:rsidR="006A1E3A" w:rsidRPr="006F09B9" w:rsidRDefault="006A1E3A"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Αξία σε $</w:t>
            </w:r>
          </w:p>
        </w:tc>
        <w:tc>
          <w:tcPr>
            <w:tcW w:w="2443" w:type="dxa"/>
          </w:tcPr>
          <w:p w14:paraId="3BF491CB" w14:textId="5436471C" w:rsidR="006A1E3A" w:rsidRPr="006F09B9" w:rsidRDefault="006A1E3A"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 xml:space="preserve">Μερίδιο αγοράς </w:t>
            </w:r>
          </w:p>
        </w:tc>
      </w:tr>
      <w:tr w:rsidR="006A1E3A" w:rsidRPr="006F09B9" w14:paraId="53FDC36D" w14:textId="77777777" w:rsidTr="006A1E3A">
        <w:tc>
          <w:tcPr>
            <w:tcW w:w="2442" w:type="dxa"/>
          </w:tcPr>
          <w:p w14:paraId="4DB25277" w14:textId="77777777" w:rsidR="00195963" w:rsidRPr="006F09B9" w:rsidRDefault="00195963" w:rsidP="006A1E3A">
            <w:pPr>
              <w:rPr>
                <w:rFonts w:ascii="Arial Narrow" w:hAnsi="Arial Narrow"/>
                <w:b/>
                <w:color w:val="4F81BD" w:themeColor="accent1"/>
                <w:sz w:val="24"/>
                <w:szCs w:val="24"/>
                <w:lang w:val="en-US"/>
              </w:rPr>
            </w:pPr>
          </w:p>
          <w:p w14:paraId="36BEFB14" w14:textId="18A6AFC8" w:rsidR="006A1E3A" w:rsidRPr="006F09B9" w:rsidRDefault="006A1E3A" w:rsidP="006A1E3A">
            <w:pPr>
              <w:rPr>
                <w:rFonts w:ascii="Arial Narrow" w:hAnsi="Arial Narrow"/>
                <w:b/>
                <w:color w:val="4F81BD" w:themeColor="accent1"/>
                <w:sz w:val="24"/>
                <w:szCs w:val="24"/>
                <w:lang w:val="en-US"/>
              </w:rPr>
            </w:pPr>
            <w:r w:rsidRPr="006F09B9">
              <w:rPr>
                <w:rFonts w:ascii="Arial Narrow" w:hAnsi="Arial Narrow"/>
                <w:b/>
                <w:color w:val="4F81BD" w:themeColor="accent1"/>
                <w:sz w:val="24"/>
                <w:szCs w:val="24"/>
                <w:lang w:val="en-US"/>
              </w:rPr>
              <w:t>HS 24</w:t>
            </w:r>
          </w:p>
        </w:tc>
        <w:tc>
          <w:tcPr>
            <w:tcW w:w="2443" w:type="dxa"/>
          </w:tcPr>
          <w:p w14:paraId="57B30ACD" w14:textId="0958F857" w:rsidR="006A1E3A" w:rsidRPr="006F09B9" w:rsidRDefault="00195963"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 xml:space="preserve">Καπνός &amp; Προϊόντα Καπνού </w:t>
            </w:r>
          </w:p>
        </w:tc>
        <w:tc>
          <w:tcPr>
            <w:tcW w:w="2443" w:type="dxa"/>
          </w:tcPr>
          <w:p w14:paraId="513411C7" w14:textId="77777777" w:rsidR="006A1E3A" w:rsidRPr="006F09B9" w:rsidRDefault="006A1E3A" w:rsidP="006A1E3A">
            <w:pPr>
              <w:rPr>
                <w:rFonts w:ascii="Arial Narrow" w:hAnsi="Arial Narrow"/>
                <w:b/>
                <w:color w:val="4F81BD" w:themeColor="accent1"/>
                <w:sz w:val="24"/>
                <w:szCs w:val="24"/>
              </w:rPr>
            </w:pPr>
          </w:p>
          <w:p w14:paraId="0AB240D4" w14:textId="42FA5549" w:rsidR="00195963" w:rsidRPr="006F09B9" w:rsidRDefault="00195963"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56,94 εκατ. $</w:t>
            </w:r>
          </w:p>
        </w:tc>
        <w:tc>
          <w:tcPr>
            <w:tcW w:w="2443" w:type="dxa"/>
          </w:tcPr>
          <w:p w14:paraId="63D71F5B" w14:textId="77777777" w:rsidR="00195963" w:rsidRPr="006F09B9" w:rsidRDefault="00195963" w:rsidP="006A1E3A">
            <w:pPr>
              <w:rPr>
                <w:rFonts w:ascii="Arial Narrow" w:hAnsi="Arial Narrow"/>
                <w:b/>
                <w:color w:val="4F81BD" w:themeColor="accent1"/>
                <w:sz w:val="24"/>
                <w:szCs w:val="24"/>
              </w:rPr>
            </w:pPr>
          </w:p>
          <w:p w14:paraId="736DBD22" w14:textId="051A7A6B" w:rsidR="006A1E3A" w:rsidRPr="006F09B9" w:rsidRDefault="00195963"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14,3%</w:t>
            </w:r>
          </w:p>
        </w:tc>
      </w:tr>
      <w:tr w:rsidR="006A1E3A" w:rsidRPr="006F09B9" w14:paraId="27ECF621" w14:textId="77777777" w:rsidTr="006A1E3A">
        <w:tc>
          <w:tcPr>
            <w:tcW w:w="2442" w:type="dxa"/>
          </w:tcPr>
          <w:p w14:paraId="24381542" w14:textId="77777777" w:rsidR="00B26713" w:rsidRPr="006F09B9" w:rsidRDefault="00B26713" w:rsidP="006A1E3A">
            <w:pPr>
              <w:rPr>
                <w:rFonts w:ascii="Arial Narrow" w:hAnsi="Arial Narrow"/>
                <w:b/>
                <w:color w:val="4F81BD" w:themeColor="accent1"/>
                <w:sz w:val="24"/>
                <w:szCs w:val="24"/>
                <w:lang w:val="en-US"/>
              </w:rPr>
            </w:pPr>
          </w:p>
          <w:p w14:paraId="493F1306" w14:textId="4AC28A15" w:rsidR="006A1E3A" w:rsidRPr="006F09B9" w:rsidRDefault="00195963" w:rsidP="006A1E3A">
            <w:pPr>
              <w:rPr>
                <w:rFonts w:ascii="Arial Narrow" w:hAnsi="Arial Narrow"/>
                <w:b/>
                <w:color w:val="4F81BD" w:themeColor="accent1"/>
                <w:sz w:val="24"/>
                <w:szCs w:val="24"/>
                <w:lang w:val="en-US"/>
              </w:rPr>
            </w:pPr>
            <w:r w:rsidRPr="006F09B9">
              <w:rPr>
                <w:rFonts w:ascii="Arial Narrow" w:hAnsi="Arial Narrow"/>
                <w:b/>
                <w:color w:val="4F81BD" w:themeColor="accent1"/>
                <w:sz w:val="24"/>
                <w:szCs w:val="24"/>
                <w:lang w:val="en-US"/>
              </w:rPr>
              <w:t>HS 27</w:t>
            </w:r>
          </w:p>
        </w:tc>
        <w:tc>
          <w:tcPr>
            <w:tcW w:w="2443" w:type="dxa"/>
          </w:tcPr>
          <w:p w14:paraId="13C9B2A3" w14:textId="7C657BC8" w:rsidR="006A1E3A" w:rsidRPr="006F09B9" w:rsidRDefault="00D53B14"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Πετρελαιοειδή - Καύσιμα</w:t>
            </w:r>
          </w:p>
        </w:tc>
        <w:tc>
          <w:tcPr>
            <w:tcW w:w="2443" w:type="dxa"/>
          </w:tcPr>
          <w:p w14:paraId="360B20C6" w14:textId="77777777" w:rsidR="006A1E3A" w:rsidRPr="006F09B9" w:rsidRDefault="006A1E3A" w:rsidP="006A1E3A">
            <w:pPr>
              <w:rPr>
                <w:rFonts w:ascii="Arial Narrow" w:hAnsi="Arial Narrow"/>
                <w:b/>
                <w:color w:val="4F81BD" w:themeColor="accent1"/>
                <w:sz w:val="24"/>
                <w:szCs w:val="24"/>
              </w:rPr>
            </w:pPr>
          </w:p>
          <w:p w14:paraId="3BD6C871" w14:textId="1DE3FC7E" w:rsidR="00D53B14" w:rsidRPr="006F09B9" w:rsidRDefault="00D53B14"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48,73 εκατ. $</w:t>
            </w:r>
          </w:p>
        </w:tc>
        <w:tc>
          <w:tcPr>
            <w:tcW w:w="2443" w:type="dxa"/>
          </w:tcPr>
          <w:p w14:paraId="23DB87E6" w14:textId="77777777" w:rsidR="006A1E3A" w:rsidRPr="006F09B9" w:rsidRDefault="006A1E3A" w:rsidP="006A1E3A">
            <w:pPr>
              <w:rPr>
                <w:rFonts w:ascii="Arial Narrow" w:hAnsi="Arial Narrow"/>
                <w:b/>
                <w:color w:val="4F81BD" w:themeColor="accent1"/>
                <w:sz w:val="24"/>
                <w:szCs w:val="24"/>
              </w:rPr>
            </w:pPr>
          </w:p>
          <w:p w14:paraId="39D47DDA" w14:textId="04FAA04A" w:rsidR="00D53B14" w:rsidRPr="006F09B9" w:rsidRDefault="00D53B14"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12,2%</w:t>
            </w:r>
          </w:p>
        </w:tc>
      </w:tr>
      <w:tr w:rsidR="006A1E3A" w:rsidRPr="006F09B9" w14:paraId="70C5293B" w14:textId="77777777" w:rsidTr="006A1E3A">
        <w:tc>
          <w:tcPr>
            <w:tcW w:w="2442" w:type="dxa"/>
          </w:tcPr>
          <w:p w14:paraId="6CA90E79" w14:textId="77777777" w:rsidR="00B26713" w:rsidRPr="006F09B9" w:rsidRDefault="00B26713" w:rsidP="006A1E3A">
            <w:pPr>
              <w:rPr>
                <w:rFonts w:ascii="Arial Narrow" w:hAnsi="Arial Narrow"/>
                <w:b/>
                <w:color w:val="4F81BD" w:themeColor="accent1"/>
                <w:sz w:val="24"/>
                <w:szCs w:val="24"/>
                <w:lang w:val="en-US"/>
              </w:rPr>
            </w:pPr>
          </w:p>
          <w:p w14:paraId="48AB12F9" w14:textId="0EBFBC57" w:rsidR="006A1E3A" w:rsidRPr="006F09B9" w:rsidRDefault="00B26713" w:rsidP="006A1E3A">
            <w:pPr>
              <w:rPr>
                <w:rFonts w:ascii="Arial Narrow" w:hAnsi="Arial Narrow"/>
                <w:b/>
                <w:color w:val="4F81BD" w:themeColor="accent1"/>
                <w:sz w:val="24"/>
                <w:szCs w:val="24"/>
                <w:lang w:val="en-US"/>
              </w:rPr>
            </w:pPr>
            <w:r w:rsidRPr="006F09B9">
              <w:rPr>
                <w:rFonts w:ascii="Arial Narrow" w:hAnsi="Arial Narrow"/>
                <w:b/>
                <w:color w:val="4F81BD" w:themeColor="accent1"/>
                <w:sz w:val="24"/>
                <w:szCs w:val="24"/>
                <w:lang w:val="en-US"/>
              </w:rPr>
              <w:t>HS 84</w:t>
            </w:r>
          </w:p>
        </w:tc>
        <w:tc>
          <w:tcPr>
            <w:tcW w:w="2443" w:type="dxa"/>
          </w:tcPr>
          <w:p w14:paraId="6603C321" w14:textId="4300BF82" w:rsidR="006A1E3A" w:rsidRPr="006F09B9" w:rsidRDefault="00B26713"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 xml:space="preserve">Μηχανές – Λέβητες – Εξοπλισμός </w:t>
            </w:r>
          </w:p>
        </w:tc>
        <w:tc>
          <w:tcPr>
            <w:tcW w:w="2443" w:type="dxa"/>
          </w:tcPr>
          <w:p w14:paraId="25B9F7A4" w14:textId="77777777" w:rsidR="006A1E3A" w:rsidRPr="006F09B9" w:rsidRDefault="006A1E3A" w:rsidP="006A1E3A">
            <w:pPr>
              <w:rPr>
                <w:rFonts w:ascii="Arial Narrow" w:hAnsi="Arial Narrow"/>
                <w:b/>
                <w:color w:val="4F81BD" w:themeColor="accent1"/>
                <w:sz w:val="24"/>
                <w:szCs w:val="24"/>
              </w:rPr>
            </w:pPr>
          </w:p>
          <w:p w14:paraId="3961BFAD" w14:textId="0489DEF2" w:rsidR="00B26713" w:rsidRPr="006F09B9" w:rsidRDefault="00B26713"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43,95 εκατ. $</w:t>
            </w:r>
          </w:p>
        </w:tc>
        <w:tc>
          <w:tcPr>
            <w:tcW w:w="2443" w:type="dxa"/>
          </w:tcPr>
          <w:p w14:paraId="1801DA76" w14:textId="77777777" w:rsidR="006A1E3A" w:rsidRPr="006F09B9" w:rsidRDefault="006A1E3A" w:rsidP="006A1E3A">
            <w:pPr>
              <w:rPr>
                <w:rFonts w:ascii="Arial Narrow" w:hAnsi="Arial Narrow"/>
                <w:b/>
                <w:color w:val="4F81BD" w:themeColor="accent1"/>
                <w:sz w:val="24"/>
                <w:szCs w:val="24"/>
              </w:rPr>
            </w:pPr>
          </w:p>
          <w:p w14:paraId="76031EE5" w14:textId="56B0FFE7" w:rsidR="00B26713" w:rsidRPr="006F09B9" w:rsidRDefault="00B26713"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11,0%</w:t>
            </w:r>
          </w:p>
        </w:tc>
      </w:tr>
      <w:tr w:rsidR="006A1E3A" w:rsidRPr="006F09B9" w14:paraId="01530336" w14:textId="77777777" w:rsidTr="006A1E3A">
        <w:tc>
          <w:tcPr>
            <w:tcW w:w="2442" w:type="dxa"/>
          </w:tcPr>
          <w:p w14:paraId="0AB61142" w14:textId="77777777" w:rsidR="00ED5B39" w:rsidRPr="006F09B9" w:rsidRDefault="00ED5B39" w:rsidP="006A1E3A">
            <w:pPr>
              <w:rPr>
                <w:rFonts w:ascii="Arial Narrow" w:hAnsi="Arial Narrow"/>
                <w:b/>
                <w:color w:val="4F81BD" w:themeColor="accent1"/>
                <w:sz w:val="24"/>
                <w:szCs w:val="24"/>
                <w:lang w:val="en-US"/>
              </w:rPr>
            </w:pPr>
          </w:p>
          <w:p w14:paraId="56CBA7F4" w14:textId="7E11C4C1" w:rsidR="006A1E3A" w:rsidRPr="006F09B9" w:rsidRDefault="00B26713" w:rsidP="006A1E3A">
            <w:pPr>
              <w:rPr>
                <w:rFonts w:ascii="Arial Narrow" w:hAnsi="Arial Narrow"/>
                <w:b/>
                <w:color w:val="4F81BD" w:themeColor="accent1"/>
                <w:sz w:val="24"/>
                <w:szCs w:val="24"/>
                <w:lang w:val="en-US"/>
              </w:rPr>
            </w:pPr>
            <w:r w:rsidRPr="006F09B9">
              <w:rPr>
                <w:rFonts w:ascii="Arial Narrow" w:hAnsi="Arial Narrow"/>
                <w:b/>
                <w:color w:val="4F81BD" w:themeColor="accent1"/>
                <w:sz w:val="24"/>
                <w:szCs w:val="24"/>
                <w:lang w:val="en-US"/>
              </w:rPr>
              <w:t xml:space="preserve">HS </w:t>
            </w:r>
            <w:r w:rsidR="00ED5B39" w:rsidRPr="006F09B9">
              <w:rPr>
                <w:rFonts w:ascii="Arial Narrow" w:hAnsi="Arial Narrow"/>
                <w:b/>
                <w:color w:val="4F81BD" w:themeColor="accent1"/>
                <w:sz w:val="24"/>
                <w:szCs w:val="24"/>
                <w:lang w:val="en-US"/>
              </w:rPr>
              <w:t>68</w:t>
            </w:r>
          </w:p>
        </w:tc>
        <w:tc>
          <w:tcPr>
            <w:tcW w:w="2443" w:type="dxa"/>
          </w:tcPr>
          <w:p w14:paraId="5DF72EA7" w14:textId="733750FF" w:rsidR="00ED5B39" w:rsidRPr="006F09B9" w:rsidRDefault="00ED5B39"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Πέτρα/Τσιμέντα/Δομικά Υλικά</w:t>
            </w:r>
          </w:p>
        </w:tc>
        <w:tc>
          <w:tcPr>
            <w:tcW w:w="2443" w:type="dxa"/>
          </w:tcPr>
          <w:p w14:paraId="14072F52" w14:textId="77777777" w:rsidR="006A1E3A" w:rsidRPr="006F09B9" w:rsidRDefault="006A1E3A" w:rsidP="006A1E3A">
            <w:pPr>
              <w:rPr>
                <w:rFonts w:ascii="Arial Narrow" w:hAnsi="Arial Narrow"/>
                <w:b/>
                <w:color w:val="4F81BD" w:themeColor="accent1"/>
                <w:sz w:val="24"/>
                <w:szCs w:val="24"/>
              </w:rPr>
            </w:pPr>
          </w:p>
          <w:p w14:paraId="6EC5B5E6" w14:textId="05C0CF3F" w:rsidR="00ED5B39" w:rsidRPr="006F09B9" w:rsidRDefault="00ED5B39"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24,89 εκατ. $</w:t>
            </w:r>
          </w:p>
        </w:tc>
        <w:tc>
          <w:tcPr>
            <w:tcW w:w="2443" w:type="dxa"/>
          </w:tcPr>
          <w:p w14:paraId="17348DD1" w14:textId="77777777" w:rsidR="006A1E3A" w:rsidRPr="006F09B9" w:rsidRDefault="006A1E3A" w:rsidP="006A1E3A">
            <w:pPr>
              <w:rPr>
                <w:rFonts w:ascii="Arial Narrow" w:hAnsi="Arial Narrow"/>
                <w:b/>
                <w:color w:val="4F81BD" w:themeColor="accent1"/>
                <w:sz w:val="24"/>
                <w:szCs w:val="24"/>
              </w:rPr>
            </w:pPr>
          </w:p>
          <w:p w14:paraId="31E034B6" w14:textId="543C5B80" w:rsidR="00F444B7" w:rsidRPr="006F09B9" w:rsidRDefault="00F444B7"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6,2%</w:t>
            </w:r>
          </w:p>
        </w:tc>
      </w:tr>
      <w:tr w:rsidR="006A1E3A" w:rsidRPr="006F09B9" w14:paraId="07BB3708" w14:textId="77777777" w:rsidTr="006A1E3A">
        <w:tc>
          <w:tcPr>
            <w:tcW w:w="2442" w:type="dxa"/>
          </w:tcPr>
          <w:p w14:paraId="68AEE0F8" w14:textId="3A567E2C" w:rsidR="006A1E3A" w:rsidRPr="006F09B9" w:rsidRDefault="00F444B7" w:rsidP="006A1E3A">
            <w:pPr>
              <w:rPr>
                <w:rFonts w:ascii="Arial Narrow" w:hAnsi="Arial Narrow"/>
                <w:b/>
                <w:color w:val="4F81BD" w:themeColor="accent1"/>
                <w:sz w:val="24"/>
                <w:szCs w:val="24"/>
                <w:lang w:val="en-US"/>
              </w:rPr>
            </w:pPr>
            <w:r w:rsidRPr="006F09B9">
              <w:rPr>
                <w:rFonts w:ascii="Arial Narrow" w:hAnsi="Arial Narrow"/>
                <w:b/>
                <w:color w:val="4F81BD" w:themeColor="accent1"/>
                <w:sz w:val="24"/>
                <w:szCs w:val="24"/>
                <w:lang w:val="en-US"/>
              </w:rPr>
              <w:t>HS 76</w:t>
            </w:r>
          </w:p>
        </w:tc>
        <w:tc>
          <w:tcPr>
            <w:tcW w:w="2443" w:type="dxa"/>
          </w:tcPr>
          <w:p w14:paraId="17F96656" w14:textId="0AF6C078" w:rsidR="006A1E3A" w:rsidRPr="006F09B9" w:rsidRDefault="00F444B7"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 xml:space="preserve">Αλουμίνιο &amp; Προϊόντα </w:t>
            </w:r>
          </w:p>
        </w:tc>
        <w:tc>
          <w:tcPr>
            <w:tcW w:w="2443" w:type="dxa"/>
          </w:tcPr>
          <w:p w14:paraId="55D7A0D2" w14:textId="6A8E9108" w:rsidR="006A1E3A" w:rsidRPr="006F09B9" w:rsidRDefault="00F444B7"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24,42 εκατ. $</w:t>
            </w:r>
          </w:p>
        </w:tc>
        <w:tc>
          <w:tcPr>
            <w:tcW w:w="2443" w:type="dxa"/>
          </w:tcPr>
          <w:p w14:paraId="4C417F3D" w14:textId="0BDE4F22" w:rsidR="006A1E3A" w:rsidRPr="006F09B9" w:rsidRDefault="00F444B7"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6,1%</w:t>
            </w:r>
          </w:p>
        </w:tc>
      </w:tr>
      <w:tr w:rsidR="006A1E3A" w:rsidRPr="006F09B9" w14:paraId="05465881" w14:textId="77777777" w:rsidTr="006A1E3A">
        <w:tc>
          <w:tcPr>
            <w:tcW w:w="2442" w:type="dxa"/>
          </w:tcPr>
          <w:p w14:paraId="201296EB" w14:textId="77777777" w:rsidR="0064291B" w:rsidRPr="006F09B9" w:rsidRDefault="0064291B" w:rsidP="006A1E3A">
            <w:pPr>
              <w:rPr>
                <w:rFonts w:ascii="Arial Narrow" w:hAnsi="Arial Narrow"/>
                <w:b/>
                <w:color w:val="4F81BD" w:themeColor="accent1"/>
                <w:sz w:val="24"/>
                <w:szCs w:val="24"/>
                <w:lang w:val="en-US"/>
              </w:rPr>
            </w:pPr>
          </w:p>
          <w:p w14:paraId="6AE91004" w14:textId="77777777" w:rsidR="0064291B" w:rsidRPr="006F09B9" w:rsidRDefault="0064291B" w:rsidP="006A1E3A">
            <w:pPr>
              <w:rPr>
                <w:rFonts w:ascii="Arial Narrow" w:hAnsi="Arial Narrow"/>
                <w:b/>
                <w:color w:val="4F81BD" w:themeColor="accent1"/>
                <w:sz w:val="24"/>
                <w:szCs w:val="24"/>
                <w:lang w:val="en-US"/>
              </w:rPr>
            </w:pPr>
          </w:p>
          <w:p w14:paraId="343AE8A7" w14:textId="0434713E" w:rsidR="006A1E3A" w:rsidRPr="006F09B9" w:rsidRDefault="00F444B7" w:rsidP="006A1E3A">
            <w:pPr>
              <w:rPr>
                <w:rFonts w:ascii="Arial Narrow" w:hAnsi="Arial Narrow"/>
                <w:b/>
                <w:color w:val="4F81BD" w:themeColor="accent1"/>
                <w:sz w:val="24"/>
                <w:szCs w:val="24"/>
                <w:lang w:val="en-US"/>
              </w:rPr>
            </w:pPr>
            <w:r w:rsidRPr="006F09B9">
              <w:rPr>
                <w:rFonts w:ascii="Arial Narrow" w:hAnsi="Arial Narrow"/>
                <w:b/>
                <w:color w:val="4F81BD" w:themeColor="accent1"/>
                <w:sz w:val="24"/>
                <w:szCs w:val="24"/>
                <w:lang w:val="en-US"/>
              </w:rPr>
              <w:t>HS 85</w:t>
            </w:r>
          </w:p>
        </w:tc>
        <w:tc>
          <w:tcPr>
            <w:tcW w:w="2443" w:type="dxa"/>
          </w:tcPr>
          <w:p w14:paraId="52FC11BA" w14:textId="036C810C" w:rsidR="006A1E3A" w:rsidRPr="006F09B9" w:rsidRDefault="0064291B"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 xml:space="preserve">Ηλεκτρικός &amp; Ηλεκτρονικός Εξοπλισμός </w:t>
            </w:r>
          </w:p>
        </w:tc>
        <w:tc>
          <w:tcPr>
            <w:tcW w:w="2443" w:type="dxa"/>
          </w:tcPr>
          <w:p w14:paraId="655AE69F" w14:textId="77777777" w:rsidR="006A1E3A" w:rsidRPr="006F09B9" w:rsidRDefault="006A1E3A" w:rsidP="006A1E3A">
            <w:pPr>
              <w:rPr>
                <w:rFonts w:ascii="Arial Narrow" w:hAnsi="Arial Narrow"/>
                <w:b/>
                <w:color w:val="4F81BD" w:themeColor="accent1"/>
                <w:sz w:val="24"/>
                <w:szCs w:val="24"/>
              </w:rPr>
            </w:pPr>
          </w:p>
          <w:p w14:paraId="36621150" w14:textId="77777777" w:rsidR="0064291B" w:rsidRPr="006F09B9" w:rsidRDefault="0064291B" w:rsidP="006A1E3A">
            <w:pPr>
              <w:rPr>
                <w:rFonts w:ascii="Arial Narrow" w:hAnsi="Arial Narrow"/>
                <w:b/>
                <w:color w:val="4F81BD" w:themeColor="accent1"/>
                <w:sz w:val="24"/>
                <w:szCs w:val="24"/>
              </w:rPr>
            </w:pPr>
          </w:p>
          <w:p w14:paraId="2B40FC37" w14:textId="1A13AB1D" w:rsidR="0064291B" w:rsidRPr="006F09B9" w:rsidRDefault="0064291B"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16,49 εκατ. $</w:t>
            </w:r>
          </w:p>
        </w:tc>
        <w:tc>
          <w:tcPr>
            <w:tcW w:w="2443" w:type="dxa"/>
          </w:tcPr>
          <w:p w14:paraId="1C190219" w14:textId="77777777" w:rsidR="006A1E3A" w:rsidRPr="006F09B9" w:rsidRDefault="006A1E3A" w:rsidP="006A1E3A">
            <w:pPr>
              <w:rPr>
                <w:rFonts w:ascii="Arial Narrow" w:hAnsi="Arial Narrow"/>
                <w:b/>
                <w:color w:val="4F81BD" w:themeColor="accent1"/>
                <w:sz w:val="24"/>
                <w:szCs w:val="24"/>
              </w:rPr>
            </w:pPr>
          </w:p>
          <w:p w14:paraId="687CD514" w14:textId="77777777" w:rsidR="0064291B" w:rsidRPr="006F09B9" w:rsidRDefault="0064291B" w:rsidP="006A1E3A">
            <w:pPr>
              <w:rPr>
                <w:rFonts w:ascii="Arial Narrow" w:hAnsi="Arial Narrow"/>
                <w:b/>
                <w:color w:val="4F81BD" w:themeColor="accent1"/>
                <w:sz w:val="24"/>
                <w:szCs w:val="24"/>
              </w:rPr>
            </w:pPr>
          </w:p>
          <w:p w14:paraId="7718962E" w14:textId="0D041B97" w:rsidR="0064291B" w:rsidRPr="006F09B9" w:rsidRDefault="0064291B"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4,1%</w:t>
            </w:r>
          </w:p>
        </w:tc>
      </w:tr>
      <w:tr w:rsidR="006A1E3A" w:rsidRPr="006F09B9" w14:paraId="223EBF4C" w14:textId="77777777" w:rsidTr="006A1E3A">
        <w:tc>
          <w:tcPr>
            <w:tcW w:w="2442" w:type="dxa"/>
          </w:tcPr>
          <w:p w14:paraId="72FD90BE" w14:textId="77777777" w:rsidR="0064291B" w:rsidRPr="006F09B9" w:rsidRDefault="0064291B" w:rsidP="006A1E3A">
            <w:pPr>
              <w:rPr>
                <w:rFonts w:ascii="Arial Narrow" w:hAnsi="Arial Narrow"/>
                <w:b/>
                <w:color w:val="4F81BD" w:themeColor="accent1"/>
                <w:sz w:val="24"/>
                <w:szCs w:val="24"/>
                <w:lang w:val="en-US"/>
              </w:rPr>
            </w:pPr>
          </w:p>
          <w:p w14:paraId="76BDEEA7" w14:textId="6FD2546B" w:rsidR="006A1E3A" w:rsidRPr="006F09B9" w:rsidRDefault="0064291B" w:rsidP="006A1E3A">
            <w:pPr>
              <w:rPr>
                <w:rFonts w:ascii="Arial Narrow" w:hAnsi="Arial Narrow"/>
                <w:b/>
                <w:color w:val="4F81BD" w:themeColor="accent1"/>
                <w:sz w:val="24"/>
                <w:szCs w:val="24"/>
                <w:lang w:val="en-US"/>
              </w:rPr>
            </w:pPr>
            <w:r w:rsidRPr="006F09B9">
              <w:rPr>
                <w:rFonts w:ascii="Arial Narrow" w:hAnsi="Arial Narrow"/>
                <w:b/>
                <w:color w:val="4F81BD" w:themeColor="accent1"/>
                <w:sz w:val="24"/>
                <w:szCs w:val="24"/>
                <w:lang w:val="en-US"/>
              </w:rPr>
              <w:t>HS 83</w:t>
            </w:r>
          </w:p>
        </w:tc>
        <w:tc>
          <w:tcPr>
            <w:tcW w:w="2443" w:type="dxa"/>
          </w:tcPr>
          <w:p w14:paraId="6F7979CC" w14:textId="5BA8A517" w:rsidR="006A1E3A" w:rsidRPr="006F09B9" w:rsidRDefault="0064291B"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Βασικά Μέταλλα/Είδη μετάλλου</w:t>
            </w:r>
          </w:p>
        </w:tc>
        <w:tc>
          <w:tcPr>
            <w:tcW w:w="2443" w:type="dxa"/>
          </w:tcPr>
          <w:p w14:paraId="6DB0BDE8" w14:textId="77777777" w:rsidR="006A1E3A" w:rsidRPr="006F09B9" w:rsidRDefault="006A1E3A" w:rsidP="006A1E3A">
            <w:pPr>
              <w:rPr>
                <w:rFonts w:ascii="Arial Narrow" w:hAnsi="Arial Narrow"/>
                <w:b/>
                <w:color w:val="4F81BD" w:themeColor="accent1"/>
                <w:sz w:val="24"/>
                <w:szCs w:val="24"/>
              </w:rPr>
            </w:pPr>
          </w:p>
          <w:p w14:paraId="22426E23" w14:textId="2BAD3F75" w:rsidR="009E2C06" w:rsidRPr="006F09B9" w:rsidRDefault="009E2C06"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13,71 εκατ. $</w:t>
            </w:r>
          </w:p>
        </w:tc>
        <w:tc>
          <w:tcPr>
            <w:tcW w:w="2443" w:type="dxa"/>
          </w:tcPr>
          <w:p w14:paraId="52C71ECF" w14:textId="77777777" w:rsidR="006A1E3A" w:rsidRPr="006F09B9" w:rsidRDefault="006A1E3A" w:rsidP="006A1E3A">
            <w:pPr>
              <w:rPr>
                <w:rFonts w:ascii="Arial Narrow" w:hAnsi="Arial Narrow"/>
                <w:b/>
                <w:color w:val="4F81BD" w:themeColor="accent1"/>
                <w:sz w:val="24"/>
                <w:szCs w:val="24"/>
              </w:rPr>
            </w:pPr>
          </w:p>
          <w:p w14:paraId="69880543" w14:textId="7A12DD8C" w:rsidR="009E2C06" w:rsidRPr="006F09B9" w:rsidRDefault="009E2C06"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3,4%</w:t>
            </w:r>
          </w:p>
        </w:tc>
      </w:tr>
      <w:tr w:rsidR="006A1E3A" w:rsidRPr="006F09B9" w14:paraId="1FA8C0F6" w14:textId="77777777" w:rsidTr="006A1E3A">
        <w:tc>
          <w:tcPr>
            <w:tcW w:w="2442" w:type="dxa"/>
          </w:tcPr>
          <w:p w14:paraId="304AD01C" w14:textId="77777777" w:rsidR="009E2C06" w:rsidRPr="006F09B9" w:rsidRDefault="009E2C06" w:rsidP="006A1E3A">
            <w:pPr>
              <w:rPr>
                <w:rFonts w:ascii="Arial Narrow" w:hAnsi="Arial Narrow"/>
                <w:b/>
                <w:color w:val="4F81BD" w:themeColor="accent1"/>
                <w:sz w:val="24"/>
                <w:szCs w:val="24"/>
                <w:lang w:val="en-US"/>
              </w:rPr>
            </w:pPr>
          </w:p>
          <w:p w14:paraId="5C3D85EC" w14:textId="22018B54" w:rsidR="006A1E3A" w:rsidRPr="006F09B9" w:rsidRDefault="009E2C06" w:rsidP="006A1E3A">
            <w:pPr>
              <w:rPr>
                <w:rFonts w:ascii="Arial Narrow" w:hAnsi="Arial Narrow"/>
                <w:b/>
                <w:color w:val="4F81BD" w:themeColor="accent1"/>
                <w:sz w:val="24"/>
                <w:szCs w:val="24"/>
                <w:lang w:val="en-US"/>
              </w:rPr>
            </w:pPr>
            <w:r w:rsidRPr="006F09B9">
              <w:rPr>
                <w:rFonts w:ascii="Arial Narrow" w:hAnsi="Arial Narrow"/>
                <w:b/>
                <w:color w:val="4F81BD" w:themeColor="accent1"/>
                <w:sz w:val="24"/>
                <w:szCs w:val="24"/>
                <w:lang w:val="en-US"/>
              </w:rPr>
              <w:t xml:space="preserve">HS 30 </w:t>
            </w:r>
          </w:p>
        </w:tc>
        <w:tc>
          <w:tcPr>
            <w:tcW w:w="2443" w:type="dxa"/>
          </w:tcPr>
          <w:p w14:paraId="3F479B3B" w14:textId="1CCDE61C" w:rsidR="006A1E3A" w:rsidRPr="006F09B9" w:rsidRDefault="009E2C06"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Φαρμακευτικά Προϊόντα</w:t>
            </w:r>
          </w:p>
        </w:tc>
        <w:tc>
          <w:tcPr>
            <w:tcW w:w="2443" w:type="dxa"/>
          </w:tcPr>
          <w:p w14:paraId="4E932DEA" w14:textId="77777777" w:rsidR="006A1E3A" w:rsidRPr="006F09B9" w:rsidRDefault="006A1E3A" w:rsidP="006A1E3A">
            <w:pPr>
              <w:rPr>
                <w:rFonts w:ascii="Arial Narrow" w:hAnsi="Arial Narrow"/>
                <w:b/>
                <w:color w:val="4F81BD" w:themeColor="accent1"/>
                <w:sz w:val="24"/>
                <w:szCs w:val="24"/>
              </w:rPr>
            </w:pPr>
          </w:p>
          <w:p w14:paraId="391B00DF" w14:textId="09855490" w:rsidR="009E2C06" w:rsidRPr="006F09B9" w:rsidRDefault="009E2C06"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12,90 εκατ. $</w:t>
            </w:r>
          </w:p>
        </w:tc>
        <w:tc>
          <w:tcPr>
            <w:tcW w:w="2443" w:type="dxa"/>
          </w:tcPr>
          <w:p w14:paraId="191A1AF4" w14:textId="77777777" w:rsidR="006A1E3A" w:rsidRPr="006F09B9" w:rsidRDefault="006A1E3A" w:rsidP="006A1E3A">
            <w:pPr>
              <w:rPr>
                <w:rFonts w:ascii="Arial Narrow" w:hAnsi="Arial Narrow"/>
                <w:b/>
                <w:color w:val="4F81BD" w:themeColor="accent1"/>
                <w:sz w:val="24"/>
                <w:szCs w:val="24"/>
              </w:rPr>
            </w:pPr>
          </w:p>
          <w:p w14:paraId="5BFD4E11" w14:textId="5C3F7556" w:rsidR="009E2C06" w:rsidRPr="006F09B9" w:rsidRDefault="009E2C06"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3,2%</w:t>
            </w:r>
          </w:p>
        </w:tc>
      </w:tr>
      <w:tr w:rsidR="006A1E3A" w:rsidRPr="006F09B9" w14:paraId="0FBA3489" w14:textId="77777777" w:rsidTr="006A1E3A">
        <w:tc>
          <w:tcPr>
            <w:tcW w:w="2442" w:type="dxa"/>
          </w:tcPr>
          <w:p w14:paraId="27FF6E97" w14:textId="666A4260" w:rsidR="006A1E3A" w:rsidRPr="006F09B9" w:rsidRDefault="009E2C06" w:rsidP="006A1E3A">
            <w:pPr>
              <w:rPr>
                <w:rFonts w:ascii="Arial Narrow" w:hAnsi="Arial Narrow"/>
                <w:b/>
                <w:color w:val="4F81BD" w:themeColor="accent1"/>
                <w:sz w:val="24"/>
                <w:szCs w:val="24"/>
                <w:lang w:val="en-US"/>
              </w:rPr>
            </w:pPr>
            <w:r w:rsidRPr="006F09B9">
              <w:rPr>
                <w:rFonts w:ascii="Arial Narrow" w:hAnsi="Arial Narrow"/>
                <w:b/>
                <w:color w:val="4F81BD" w:themeColor="accent1"/>
                <w:sz w:val="24"/>
                <w:szCs w:val="24"/>
                <w:lang w:val="en-US"/>
              </w:rPr>
              <w:t>HS 89</w:t>
            </w:r>
          </w:p>
        </w:tc>
        <w:tc>
          <w:tcPr>
            <w:tcW w:w="2443" w:type="dxa"/>
          </w:tcPr>
          <w:p w14:paraId="0D426CCD" w14:textId="6FEC3F7D" w:rsidR="006A1E3A" w:rsidRPr="006F09B9" w:rsidRDefault="009E2C06"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Πλοία/Πλωτά Μέσα</w:t>
            </w:r>
          </w:p>
        </w:tc>
        <w:tc>
          <w:tcPr>
            <w:tcW w:w="2443" w:type="dxa"/>
          </w:tcPr>
          <w:p w14:paraId="4854B510" w14:textId="36A196CA" w:rsidR="006A1E3A" w:rsidRPr="006F09B9" w:rsidRDefault="009E2C06"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11,42% εκατ. $</w:t>
            </w:r>
          </w:p>
        </w:tc>
        <w:tc>
          <w:tcPr>
            <w:tcW w:w="2443" w:type="dxa"/>
          </w:tcPr>
          <w:p w14:paraId="74B2F050" w14:textId="2FFB42B1" w:rsidR="006A1E3A" w:rsidRPr="006F09B9" w:rsidRDefault="009E2C06"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2,9%</w:t>
            </w:r>
          </w:p>
        </w:tc>
      </w:tr>
      <w:tr w:rsidR="006A1E3A" w:rsidRPr="006F09B9" w14:paraId="7979FAA9" w14:textId="77777777" w:rsidTr="006A1E3A">
        <w:tc>
          <w:tcPr>
            <w:tcW w:w="2442" w:type="dxa"/>
          </w:tcPr>
          <w:p w14:paraId="757E2ED4" w14:textId="1742278E" w:rsidR="006A1E3A" w:rsidRPr="006F09B9" w:rsidRDefault="009E2C06" w:rsidP="006A1E3A">
            <w:pPr>
              <w:rPr>
                <w:rFonts w:ascii="Arial Narrow" w:hAnsi="Arial Narrow"/>
                <w:b/>
                <w:color w:val="4F81BD" w:themeColor="accent1"/>
                <w:sz w:val="24"/>
                <w:szCs w:val="24"/>
                <w:lang w:val="en-US"/>
              </w:rPr>
            </w:pPr>
            <w:r w:rsidRPr="006F09B9">
              <w:rPr>
                <w:rFonts w:ascii="Arial Narrow" w:hAnsi="Arial Narrow"/>
                <w:b/>
                <w:color w:val="4F81BD" w:themeColor="accent1"/>
                <w:sz w:val="24"/>
                <w:szCs w:val="24"/>
                <w:lang w:val="en-US"/>
              </w:rPr>
              <w:t xml:space="preserve">HS 90 </w:t>
            </w:r>
          </w:p>
        </w:tc>
        <w:tc>
          <w:tcPr>
            <w:tcW w:w="2443" w:type="dxa"/>
          </w:tcPr>
          <w:p w14:paraId="04D76AAA" w14:textId="268BBBD8" w:rsidR="006A1E3A" w:rsidRPr="006F09B9" w:rsidRDefault="009E2C06"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Οπτικά/Ιατρικά Όργανα</w:t>
            </w:r>
          </w:p>
        </w:tc>
        <w:tc>
          <w:tcPr>
            <w:tcW w:w="2443" w:type="dxa"/>
          </w:tcPr>
          <w:p w14:paraId="5723A1BF" w14:textId="3D6EB4F5" w:rsidR="006A1E3A" w:rsidRPr="006F09B9" w:rsidRDefault="009E2C06"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8,45 εκατ. $</w:t>
            </w:r>
          </w:p>
        </w:tc>
        <w:tc>
          <w:tcPr>
            <w:tcW w:w="2443" w:type="dxa"/>
          </w:tcPr>
          <w:p w14:paraId="0D00F9C0" w14:textId="3EE35F4F" w:rsidR="006A1E3A" w:rsidRPr="006F09B9" w:rsidRDefault="009E2C06"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2,1%</w:t>
            </w:r>
          </w:p>
        </w:tc>
      </w:tr>
      <w:tr w:rsidR="006A1E3A" w:rsidRPr="006F09B9" w14:paraId="75EB7B2B" w14:textId="77777777" w:rsidTr="006A1E3A">
        <w:tc>
          <w:tcPr>
            <w:tcW w:w="2442" w:type="dxa"/>
          </w:tcPr>
          <w:p w14:paraId="57922346" w14:textId="41A6C14B" w:rsidR="006A1E3A" w:rsidRPr="006F09B9" w:rsidRDefault="009E2C06"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 xml:space="preserve">Άλλες κατηγορίες </w:t>
            </w:r>
          </w:p>
        </w:tc>
        <w:tc>
          <w:tcPr>
            <w:tcW w:w="2443" w:type="dxa"/>
          </w:tcPr>
          <w:p w14:paraId="1C601444" w14:textId="0589EB4E" w:rsidR="006A1E3A" w:rsidRPr="006F09B9" w:rsidRDefault="009E2C06"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 xml:space="preserve">Λοιπά Προϊόντα </w:t>
            </w:r>
          </w:p>
        </w:tc>
        <w:tc>
          <w:tcPr>
            <w:tcW w:w="2443" w:type="dxa"/>
          </w:tcPr>
          <w:p w14:paraId="2CF63465" w14:textId="1FAEF04E" w:rsidR="006A1E3A" w:rsidRPr="006F09B9" w:rsidRDefault="009E2C06"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136,7 εκατ. $</w:t>
            </w:r>
          </w:p>
        </w:tc>
        <w:tc>
          <w:tcPr>
            <w:tcW w:w="2443" w:type="dxa"/>
          </w:tcPr>
          <w:p w14:paraId="7C44C94D" w14:textId="6B6869C7" w:rsidR="006A1E3A" w:rsidRPr="006F09B9" w:rsidRDefault="009E2C06" w:rsidP="006A1E3A">
            <w:pPr>
              <w:rPr>
                <w:rFonts w:ascii="Arial Narrow" w:hAnsi="Arial Narrow"/>
                <w:b/>
                <w:color w:val="4F81BD" w:themeColor="accent1"/>
                <w:sz w:val="24"/>
                <w:szCs w:val="24"/>
              </w:rPr>
            </w:pPr>
            <w:r w:rsidRPr="006F09B9">
              <w:rPr>
                <w:rFonts w:ascii="Arial Narrow" w:hAnsi="Arial Narrow"/>
                <w:b/>
                <w:color w:val="4F81BD" w:themeColor="accent1"/>
                <w:sz w:val="24"/>
                <w:szCs w:val="24"/>
              </w:rPr>
              <w:t>34%</w:t>
            </w:r>
          </w:p>
        </w:tc>
      </w:tr>
      <w:tr w:rsidR="009E2C06" w:rsidRPr="006A1E3A" w14:paraId="3B80EC53" w14:textId="77777777" w:rsidTr="006A1E3A">
        <w:tc>
          <w:tcPr>
            <w:tcW w:w="2442" w:type="dxa"/>
          </w:tcPr>
          <w:p w14:paraId="439EBEA5" w14:textId="47153744" w:rsidR="009E2C06" w:rsidRPr="00612AA3" w:rsidRDefault="00612AA3" w:rsidP="006A1E3A">
            <w:pPr>
              <w:rPr>
                <w:rFonts w:ascii="Arial Narrow" w:hAnsi="Arial Narrow"/>
                <w:b/>
                <w:color w:val="C0504D" w:themeColor="accent2"/>
                <w:sz w:val="24"/>
                <w:szCs w:val="24"/>
              </w:rPr>
            </w:pPr>
            <w:r w:rsidRPr="00612AA3">
              <w:rPr>
                <w:rFonts w:ascii="Arial Narrow" w:hAnsi="Arial Narrow"/>
                <w:b/>
                <w:color w:val="C0504D" w:themeColor="accent2"/>
                <w:sz w:val="24"/>
                <w:szCs w:val="24"/>
              </w:rPr>
              <w:t>ΣΥΝΟΛΟ</w:t>
            </w:r>
          </w:p>
        </w:tc>
        <w:tc>
          <w:tcPr>
            <w:tcW w:w="2443" w:type="dxa"/>
          </w:tcPr>
          <w:p w14:paraId="3C049FA0" w14:textId="77777777" w:rsidR="009E2C06" w:rsidRPr="00612AA3" w:rsidRDefault="009E2C06" w:rsidP="006A1E3A">
            <w:pPr>
              <w:rPr>
                <w:rFonts w:ascii="Arial Narrow" w:hAnsi="Arial Narrow"/>
                <w:b/>
                <w:color w:val="C0504D" w:themeColor="accent2"/>
                <w:sz w:val="24"/>
                <w:szCs w:val="24"/>
              </w:rPr>
            </w:pPr>
          </w:p>
        </w:tc>
        <w:tc>
          <w:tcPr>
            <w:tcW w:w="2443" w:type="dxa"/>
          </w:tcPr>
          <w:p w14:paraId="186C953E" w14:textId="4E4B549D" w:rsidR="009E2C06" w:rsidRPr="00612AA3" w:rsidRDefault="00612AA3" w:rsidP="006A1E3A">
            <w:pPr>
              <w:rPr>
                <w:rFonts w:ascii="Arial Narrow" w:hAnsi="Arial Narrow"/>
                <w:b/>
                <w:color w:val="C0504D" w:themeColor="accent2"/>
                <w:sz w:val="24"/>
                <w:szCs w:val="24"/>
              </w:rPr>
            </w:pPr>
            <w:r>
              <w:rPr>
                <w:rFonts w:ascii="Arial Narrow" w:hAnsi="Arial Narrow"/>
                <w:b/>
                <w:color w:val="C0504D" w:themeColor="accent2"/>
                <w:sz w:val="24"/>
                <w:szCs w:val="24"/>
              </w:rPr>
              <w:t>398,6 εκατ. $</w:t>
            </w:r>
          </w:p>
        </w:tc>
        <w:tc>
          <w:tcPr>
            <w:tcW w:w="2443" w:type="dxa"/>
          </w:tcPr>
          <w:p w14:paraId="18A63661" w14:textId="77777777" w:rsidR="009E2C06" w:rsidRPr="00612AA3" w:rsidRDefault="009E2C06" w:rsidP="006A1E3A">
            <w:pPr>
              <w:rPr>
                <w:rFonts w:ascii="Arial Narrow" w:hAnsi="Arial Narrow"/>
                <w:b/>
                <w:color w:val="C0504D" w:themeColor="accent2"/>
                <w:sz w:val="24"/>
                <w:szCs w:val="24"/>
              </w:rPr>
            </w:pPr>
          </w:p>
        </w:tc>
      </w:tr>
    </w:tbl>
    <w:p w14:paraId="625C2B89" w14:textId="0895BBFC" w:rsidR="006A1E3A" w:rsidRDefault="006A1E3A" w:rsidP="006A1E3A">
      <w:pPr>
        <w:rPr>
          <w:rFonts w:ascii="Arial Narrow" w:hAnsi="Arial Narrow"/>
          <w:b/>
          <w:color w:val="1F497D" w:themeColor="text2"/>
          <w:sz w:val="28"/>
          <w:szCs w:val="28"/>
        </w:rPr>
      </w:pPr>
    </w:p>
    <w:p w14:paraId="58D88897" w14:textId="665DF452" w:rsidR="00612AA3" w:rsidRPr="006F09B9" w:rsidRDefault="006F09B9" w:rsidP="00612AA3">
      <w:pPr>
        <w:jc w:val="center"/>
        <w:rPr>
          <w:rFonts w:ascii="Arial Narrow" w:hAnsi="Arial Narrow"/>
          <w:b/>
          <w:color w:val="4F81BD" w:themeColor="accent1"/>
          <w:sz w:val="28"/>
          <w:szCs w:val="28"/>
        </w:rPr>
      </w:pPr>
      <w:r w:rsidRPr="006F09B9">
        <w:rPr>
          <w:rFonts w:ascii="Arial Narrow" w:hAnsi="Arial Narrow"/>
          <w:b/>
          <w:color w:val="4F81BD" w:themeColor="accent1"/>
          <w:sz w:val="28"/>
          <w:szCs w:val="28"/>
        </w:rPr>
        <w:t>ΠΙΝΑΚΑΣ 2</w:t>
      </w:r>
      <w:r w:rsidR="00451B2E">
        <w:rPr>
          <w:rFonts w:ascii="Arial Narrow" w:hAnsi="Arial Narrow"/>
          <w:b/>
          <w:color w:val="4F81BD" w:themeColor="accent1"/>
          <w:sz w:val="28"/>
          <w:szCs w:val="28"/>
        </w:rPr>
        <w:t>1</w:t>
      </w:r>
      <w:r w:rsidRPr="006F09B9">
        <w:rPr>
          <w:rFonts w:ascii="Arial Narrow" w:hAnsi="Arial Narrow"/>
          <w:b/>
          <w:color w:val="4F81BD" w:themeColor="accent1"/>
          <w:sz w:val="28"/>
          <w:szCs w:val="28"/>
        </w:rPr>
        <w:t xml:space="preserve"> - </w:t>
      </w:r>
      <w:r w:rsidR="00612AA3" w:rsidRPr="006F09B9">
        <w:rPr>
          <w:rFonts w:ascii="Arial Narrow" w:hAnsi="Arial Narrow"/>
          <w:b/>
          <w:color w:val="4F81BD" w:themeColor="accent1"/>
          <w:sz w:val="28"/>
          <w:szCs w:val="28"/>
        </w:rPr>
        <w:t>4.4. Εξαγωγές Ηνωμένων Αραβικών Εμιράτων προς Ελλάδα – 2024</w:t>
      </w:r>
    </w:p>
    <w:p w14:paraId="3F944CAD" w14:textId="646248E9" w:rsidR="00612AA3" w:rsidRPr="006F09B9" w:rsidRDefault="00612AA3" w:rsidP="00612AA3">
      <w:pPr>
        <w:jc w:val="center"/>
        <w:rPr>
          <w:rFonts w:ascii="Arial Narrow" w:hAnsi="Arial Narrow"/>
          <w:b/>
          <w:color w:val="4F81BD" w:themeColor="accent1"/>
          <w:sz w:val="28"/>
          <w:szCs w:val="28"/>
        </w:rPr>
      </w:pPr>
      <w:r w:rsidRPr="006F09B9">
        <w:rPr>
          <w:rFonts w:ascii="Arial Narrow" w:hAnsi="Arial Narrow"/>
          <w:b/>
          <w:color w:val="4F81BD" w:themeColor="accent1"/>
          <w:sz w:val="28"/>
          <w:szCs w:val="28"/>
        </w:rPr>
        <w:t xml:space="preserve">Ανάλυση ανά </w:t>
      </w:r>
      <w:r w:rsidRPr="006F09B9">
        <w:rPr>
          <w:rFonts w:ascii="Arial Narrow" w:hAnsi="Arial Narrow"/>
          <w:b/>
          <w:color w:val="4F81BD" w:themeColor="accent1"/>
          <w:sz w:val="28"/>
          <w:szCs w:val="28"/>
          <w:lang w:val="en-US"/>
        </w:rPr>
        <w:t>HS</w:t>
      </w:r>
      <w:r w:rsidRPr="006F09B9">
        <w:rPr>
          <w:rFonts w:ascii="Arial Narrow" w:hAnsi="Arial Narrow"/>
          <w:b/>
          <w:color w:val="4F81BD" w:themeColor="accent1"/>
          <w:sz w:val="28"/>
          <w:szCs w:val="28"/>
        </w:rPr>
        <w:t>/</w:t>
      </w:r>
      <w:r w:rsidRPr="006F09B9">
        <w:rPr>
          <w:rFonts w:ascii="Arial Narrow" w:hAnsi="Arial Narrow"/>
          <w:b/>
          <w:color w:val="4F81BD" w:themeColor="accent1"/>
          <w:sz w:val="28"/>
          <w:szCs w:val="28"/>
          <w:lang w:val="en-US"/>
        </w:rPr>
        <w:t>ISIC</w:t>
      </w:r>
      <w:r w:rsidRPr="006F09B9">
        <w:rPr>
          <w:rFonts w:ascii="Arial Narrow" w:hAnsi="Arial Narrow"/>
          <w:b/>
          <w:color w:val="4F81BD" w:themeColor="accent1"/>
          <w:sz w:val="28"/>
          <w:szCs w:val="28"/>
        </w:rPr>
        <w:t xml:space="preserve"> κατηγορία προϊόντος – Αξία σε $</w:t>
      </w:r>
    </w:p>
    <w:tbl>
      <w:tblPr>
        <w:tblStyle w:val="TableGrid"/>
        <w:tblW w:w="0" w:type="auto"/>
        <w:tblLook w:val="04A0" w:firstRow="1" w:lastRow="0" w:firstColumn="1" w:lastColumn="0" w:noHBand="0" w:noVBand="1"/>
      </w:tblPr>
      <w:tblGrid>
        <w:gridCol w:w="2442"/>
        <w:gridCol w:w="2443"/>
        <w:gridCol w:w="2443"/>
        <w:gridCol w:w="2443"/>
      </w:tblGrid>
      <w:tr w:rsidR="00612AA3" w:rsidRPr="006F09B9" w14:paraId="35372D3E" w14:textId="77777777" w:rsidTr="00612AA3">
        <w:tc>
          <w:tcPr>
            <w:tcW w:w="2442" w:type="dxa"/>
          </w:tcPr>
          <w:p w14:paraId="650D9C0E" w14:textId="2628C5C3" w:rsidR="00612AA3" w:rsidRPr="006F09B9" w:rsidRDefault="00612AA3"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lang w:val="en-US"/>
              </w:rPr>
              <w:t xml:space="preserve">HS / ISIC </w:t>
            </w:r>
            <w:r w:rsidRPr="006F09B9">
              <w:rPr>
                <w:rFonts w:ascii="Arial Narrow" w:hAnsi="Arial Narrow"/>
                <w:b/>
                <w:color w:val="4F81BD" w:themeColor="accent1"/>
                <w:sz w:val="24"/>
                <w:szCs w:val="24"/>
              </w:rPr>
              <w:t xml:space="preserve">Τομέας </w:t>
            </w:r>
          </w:p>
        </w:tc>
        <w:tc>
          <w:tcPr>
            <w:tcW w:w="2443" w:type="dxa"/>
          </w:tcPr>
          <w:p w14:paraId="5628A764" w14:textId="0221297F" w:rsidR="00612AA3" w:rsidRPr="006F09B9" w:rsidRDefault="00612AA3"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 xml:space="preserve">Περιγραφή Κλάδου </w:t>
            </w:r>
          </w:p>
        </w:tc>
        <w:tc>
          <w:tcPr>
            <w:tcW w:w="2443" w:type="dxa"/>
          </w:tcPr>
          <w:p w14:paraId="70AA9ACA" w14:textId="20636020" w:rsidR="00612AA3" w:rsidRPr="006F09B9" w:rsidRDefault="00612AA3"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Αξία σε $</w:t>
            </w:r>
          </w:p>
        </w:tc>
        <w:tc>
          <w:tcPr>
            <w:tcW w:w="2443" w:type="dxa"/>
          </w:tcPr>
          <w:p w14:paraId="5C013410" w14:textId="2A0E6F1A" w:rsidR="00612AA3" w:rsidRPr="006F09B9" w:rsidRDefault="00612AA3"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Μερίδιο αγοράς</w:t>
            </w:r>
          </w:p>
        </w:tc>
      </w:tr>
      <w:tr w:rsidR="00612AA3" w:rsidRPr="006F09B9" w14:paraId="753A0EA2" w14:textId="77777777" w:rsidTr="00612AA3">
        <w:tc>
          <w:tcPr>
            <w:tcW w:w="2442" w:type="dxa"/>
          </w:tcPr>
          <w:p w14:paraId="0A8FF27D" w14:textId="77777777" w:rsidR="00612AA3" w:rsidRPr="006F09B9" w:rsidRDefault="00612AA3" w:rsidP="00612AA3">
            <w:pPr>
              <w:rPr>
                <w:rFonts w:ascii="Arial Narrow" w:hAnsi="Arial Narrow"/>
                <w:b/>
                <w:color w:val="4F81BD" w:themeColor="accent1"/>
                <w:sz w:val="24"/>
                <w:szCs w:val="24"/>
                <w:lang w:val="en-US"/>
              </w:rPr>
            </w:pPr>
          </w:p>
          <w:p w14:paraId="3FDBDFC8" w14:textId="77777777" w:rsidR="00612AA3" w:rsidRPr="006F09B9" w:rsidRDefault="00612AA3" w:rsidP="00612AA3">
            <w:pPr>
              <w:rPr>
                <w:rFonts w:ascii="Arial Narrow" w:hAnsi="Arial Narrow"/>
                <w:b/>
                <w:color w:val="4F81BD" w:themeColor="accent1"/>
                <w:sz w:val="24"/>
                <w:szCs w:val="24"/>
                <w:lang w:val="en-US"/>
              </w:rPr>
            </w:pPr>
          </w:p>
          <w:p w14:paraId="20CF7ECA" w14:textId="4F566134" w:rsidR="00612AA3" w:rsidRPr="006F09B9" w:rsidRDefault="00612AA3" w:rsidP="00612AA3">
            <w:pPr>
              <w:rPr>
                <w:rFonts w:ascii="Arial Narrow" w:hAnsi="Arial Narrow"/>
                <w:b/>
                <w:color w:val="4F81BD" w:themeColor="accent1"/>
                <w:sz w:val="24"/>
                <w:szCs w:val="24"/>
                <w:lang w:val="en-US"/>
              </w:rPr>
            </w:pPr>
            <w:r w:rsidRPr="006F09B9">
              <w:rPr>
                <w:rFonts w:ascii="Arial Narrow" w:hAnsi="Arial Narrow"/>
                <w:b/>
                <w:color w:val="4F81BD" w:themeColor="accent1"/>
                <w:sz w:val="24"/>
                <w:szCs w:val="24"/>
                <w:lang w:val="en-US"/>
              </w:rPr>
              <w:t xml:space="preserve">HS 85 </w:t>
            </w:r>
          </w:p>
        </w:tc>
        <w:tc>
          <w:tcPr>
            <w:tcW w:w="2443" w:type="dxa"/>
          </w:tcPr>
          <w:p w14:paraId="533FC800" w14:textId="785DE2A7" w:rsidR="00612AA3" w:rsidRPr="006F09B9" w:rsidRDefault="00612AA3"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 xml:space="preserve">Ηλεκτρικός &amp; Ηλεκτρονικός Εξοπλισμός </w:t>
            </w:r>
          </w:p>
        </w:tc>
        <w:tc>
          <w:tcPr>
            <w:tcW w:w="2443" w:type="dxa"/>
          </w:tcPr>
          <w:p w14:paraId="2D7E168B" w14:textId="77777777" w:rsidR="00612AA3" w:rsidRPr="006F09B9" w:rsidRDefault="00612AA3" w:rsidP="00612AA3">
            <w:pPr>
              <w:rPr>
                <w:rFonts w:ascii="Arial Narrow" w:hAnsi="Arial Narrow"/>
                <w:b/>
                <w:color w:val="4F81BD" w:themeColor="accent1"/>
                <w:sz w:val="24"/>
                <w:szCs w:val="24"/>
              </w:rPr>
            </w:pPr>
          </w:p>
          <w:p w14:paraId="2B36D5A5" w14:textId="77777777" w:rsidR="00612AA3" w:rsidRPr="006F09B9" w:rsidRDefault="00612AA3" w:rsidP="00612AA3">
            <w:pPr>
              <w:rPr>
                <w:rFonts w:ascii="Arial Narrow" w:hAnsi="Arial Narrow"/>
                <w:b/>
                <w:color w:val="4F81BD" w:themeColor="accent1"/>
                <w:sz w:val="24"/>
                <w:szCs w:val="24"/>
              </w:rPr>
            </w:pPr>
          </w:p>
          <w:p w14:paraId="50E87FD1" w14:textId="42784F6C" w:rsidR="00612AA3" w:rsidRPr="006F09B9" w:rsidRDefault="00612AA3"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85,76 εκατ.$</w:t>
            </w:r>
          </w:p>
        </w:tc>
        <w:tc>
          <w:tcPr>
            <w:tcW w:w="2443" w:type="dxa"/>
          </w:tcPr>
          <w:p w14:paraId="6650F9C0" w14:textId="77777777" w:rsidR="00612AA3" w:rsidRPr="006F09B9" w:rsidRDefault="00612AA3" w:rsidP="00612AA3">
            <w:pPr>
              <w:rPr>
                <w:rFonts w:ascii="Arial Narrow" w:hAnsi="Arial Narrow"/>
                <w:b/>
                <w:color w:val="4F81BD" w:themeColor="accent1"/>
                <w:sz w:val="24"/>
                <w:szCs w:val="24"/>
              </w:rPr>
            </w:pPr>
          </w:p>
          <w:p w14:paraId="11047451" w14:textId="77777777" w:rsidR="00612AA3" w:rsidRPr="006F09B9" w:rsidRDefault="00612AA3" w:rsidP="00612AA3">
            <w:pPr>
              <w:rPr>
                <w:rFonts w:ascii="Arial Narrow" w:hAnsi="Arial Narrow"/>
                <w:b/>
                <w:color w:val="4F81BD" w:themeColor="accent1"/>
                <w:sz w:val="24"/>
                <w:szCs w:val="24"/>
              </w:rPr>
            </w:pPr>
          </w:p>
          <w:p w14:paraId="027C4A46" w14:textId="6CFD0A12" w:rsidR="00612AA3" w:rsidRPr="006F09B9" w:rsidRDefault="00612AA3"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46,3%</w:t>
            </w:r>
          </w:p>
        </w:tc>
      </w:tr>
      <w:tr w:rsidR="00612AA3" w:rsidRPr="006F09B9" w14:paraId="21711E5F" w14:textId="77777777" w:rsidTr="00612AA3">
        <w:tc>
          <w:tcPr>
            <w:tcW w:w="2442" w:type="dxa"/>
          </w:tcPr>
          <w:p w14:paraId="4F504754" w14:textId="3A6263D6" w:rsidR="00612AA3" w:rsidRPr="006F09B9" w:rsidRDefault="00612AA3" w:rsidP="00612AA3">
            <w:pPr>
              <w:rPr>
                <w:rFonts w:ascii="Arial Narrow" w:hAnsi="Arial Narrow"/>
                <w:b/>
                <w:color w:val="4F81BD" w:themeColor="accent1"/>
                <w:sz w:val="24"/>
                <w:szCs w:val="24"/>
                <w:lang w:val="en-US"/>
              </w:rPr>
            </w:pPr>
            <w:r w:rsidRPr="006F09B9">
              <w:rPr>
                <w:rFonts w:ascii="Arial Narrow" w:hAnsi="Arial Narrow"/>
                <w:b/>
                <w:color w:val="4F81BD" w:themeColor="accent1"/>
                <w:sz w:val="24"/>
                <w:szCs w:val="24"/>
                <w:lang w:val="en-US"/>
              </w:rPr>
              <w:t xml:space="preserve">HS 76 </w:t>
            </w:r>
          </w:p>
        </w:tc>
        <w:tc>
          <w:tcPr>
            <w:tcW w:w="2443" w:type="dxa"/>
          </w:tcPr>
          <w:p w14:paraId="55CD3044" w14:textId="0ED135FF" w:rsidR="00612AA3" w:rsidRPr="006F09B9" w:rsidRDefault="00612AA3"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 xml:space="preserve">Αλουμίνιο </w:t>
            </w:r>
          </w:p>
        </w:tc>
        <w:tc>
          <w:tcPr>
            <w:tcW w:w="2443" w:type="dxa"/>
          </w:tcPr>
          <w:p w14:paraId="3BC176DF" w14:textId="7FEAEB7A" w:rsidR="00612AA3" w:rsidRPr="006F09B9" w:rsidRDefault="00612AA3"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 xml:space="preserve">31,94% εκατ.$ </w:t>
            </w:r>
          </w:p>
        </w:tc>
        <w:tc>
          <w:tcPr>
            <w:tcW w:w="2443" w:type="dxa"/>
          </w:tcPr>
          <w:p w14:paraId="07FA1E82" w14:textId="03EEEC46" w:rsidR="00612AA3" w:rsidRPr="006F09B9" w:rsidRDefault="00612AA3"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17,2%</w:t>
            </w:r>
          </w:p>
        </w:tc>
      </w:tr>
      <w:tr w:rsidR="00612AA3" w:rsidRPr="006F09B9" w14:paraId="20200694" w14:textId="77777777" w:rsidTr="00612AA3">
        <w:tc>
          <w:tcPr>
            <w:tcW w:w="2442" w:type="dxa"/>
          </w:tcPr>
          <w:p w14:paraId="2225C2DB" w14:textId="77777777" w:rsidR="00612AA3" w:rsidRPr="006F09B9" w:rsidRDefault="00612AA3" w:rsidP="00612AA3">
            <w:pPr>
              <w:rPr>
                <w:rFonts w:ascii="Arial Narrow" w:hAnsi="Arial Narrow"/>
                <w:b/>
                <w:color w:val="4F81BD" w:themeColor="accent1"/>
                <w:sz w:val="24"/>
                <w:szCs w:val="24"/>
                <w:lang w:val="en-US"/>
              </w:rPr>
            </w:pPr>
          </w:p>
          <w:p w14:paraId="0BA6DE62" w14:textId="0C4A86E5" w:rsidR="00612AA3" w:rsidRPr="006F09B9" w:rsidRDefault="00612AA3" w:rsidP="00612AA3">
            <w:pPr>
              <w:rPr>
                <w:rFonts w:ascii="Arial Narrow" w:hAnsi="Arial Narrow"/>
                <w:b/>
                <w:color w:val="4F81BD" w:themeColor="accent1"/>
                <w:sz w:val="24"/>
                <w:szCs w:val="24"/>
                <w:lang w:val="en-US"/>
              </w:rPr>
            </w:pPr>
            <w:r w:rsidRPr="006F09B9">
              <w:rPr>
                <w:rFonts w:ascii="Arial Narrow" w:hAnsi="Arial Narrow"/>
                <w:b/>
                <w:color w:val="4F81BD" w:themeColor="accent1"/>
                <w:sz w:val="24"/>
                <w:szCs w:val="24"/>
                <w:lang w:val="en-US"/>
              </w:rPr>
              <w:t>HS 87</w:t>
            </w:r>
          </w:p>
        </w:tc>
        <w:tc>
          <w:tcPr>
            <w:tcW w:w="2443" w:type="dxa"/>
          </w:tcPr>
          <w:p w14:paraId="1BAE0E1A" w14:textId="6EECC4E5" w:rsidR="00612AA3" w:rsidRPr="006F09B9" w:rsidRDefault="00612AA3"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Οχήματα (εκτός σιδηροδρόμων)</w:t>
            </w:r>
          </w:p>
        </w:tc>
        <w:tc>
          <w:tcPr>
            <w:tcW w:w="2443" w:type="dxa"/>
          </w:tcPr>
          <w:p w14:paraId="56EA4190" w14:textId="77777777" w:rsidR="00612AA3" w:rsidRPr="006F09B9" w:rsidRDefault="00612AA3" w:rsidP="00612AA3">
            <w:pPr>
              <w:rPr>
                <w:rFonts w:ascii="Arial Narrow" w:hAnsi="Arial Narrow"/>
                <w:b/>
                <w:color w:val="4F81BD" w:themeColor="accent1"/>
                <w:sz w:val="24"/>
                <w:szCs w:val="24"/>
              </w:rPr>
            </w:pPr>
          </w:p>
          <w:p w14:paraId="7F5FAD45" w14:textId="04E16992" w:rsidR="00612AA3" w:rsidRPr="006F09B9" w:rsidRDefault="00612AA3"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10,07 εκατ. $</w:t>
            </w:r>
          </w:p>
        </w:tc>
        <w:tc>
          <w:tcPr>
            <w:tcW w:w="2443" w:type="dxa"/>
          </w:tcPr>
          <w:p w14:paraId="0FF10880" w14:textId="77777777" w:rsidR="00612AA3" w:rsidRPr="006F09B9" w:rsidRDefault="00612AA3" w:rsidP="00612AA3">
            <w:pPr>
              <w:rPr>
                <w:rFonts w:ascii="Arial Narrow" w:hAnsi="Arial Narrow"/>
                <w:b/>
                <w:color w:val="4F81BD" w:themeColor="accent1"/>
                <w:sz w:val="24"/>
                <w:szCs w:val="24"/>
              </w:rPr>
            </w:pPr>
          </w:p>
          <w:p w14:paraId="14872841" w14:textId="7DC4E064" w:rsidR="00612AA3" w:rsidRPr="006F09B9" w:rsidRDefault="00612AA3"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5,4%</w:t>
            </w:r>
          </w:p>
        </w:tc>
      </w:tr>
      <w:tr w:rsidR="00612AA3" w:rsidRPr="006F09B9" w14:paraId="226B7E76" w14:textId="77777777" w:rsidTr="00612AA3">
        <w:tc>
          <w:tcPr>
            <w:tcW w:w="2442" w:type="dxa"/>
          </w:tcPr>
          <w:p w14:paraId="2F495C7E" w14:textId="77777777" w:rsidR="005303D7" w:rsidRPr="006F09B9" w:rsidRDefault="005303D7" w:rsidP="00612AA3">
            <w:pPr>
              <w:rPr>
                <w:rFonts w:ascii="Arial Narrow" w:hAnsi="Arial Narrow"/>
                <w:b/>
                <w:color w:val="4F81BD" w:themeColor="accent1"/>
                <w:sz w:val="24"/>
                <w:szCs w:val="24"/>
              </w:rPr>
            </w:pPr>
          </w:p>
          <w:p w14:paraId="07A921C1" w14:textId="75A753DE" w:rsidR="00612AA3" w:rsidRPr="006F09B9" w:rsidRDefault="00612AA3" w:rsidP="00612AA3">
            <w:pPr>
              <w:rPr>
                <w:rFonts w:ascii="Arial Narrow" w:hAnsi="Arial Narrow"/>
                <w:b/>
                <w:color w:val="4F81BD" w:themeColor="accent1"/>
                <w:sz w:val="24"/>
                <w:szCs w:val="24"/>
                <w:lang w:val="en-US"/>
              </w:rPr>
            </w:pPr>
            <w:r w:rsidRPr="006F09B9">
              <w:rPr>
                <w:rFonts w:ascii="Arial Narrow" w:hAnsi="Arial Narrow"/>
                <w:b/>
                <w:color w:val="4F81BD" w:themeColor="accent1"/>
                <w:sz w:val="24"/>
                <w:szCs w:val="24"/>
              </w:rPr>
              <w:t>Η</w:t>
            </w:r>
            <w:r w:rsidRPr="006F09B9">
              <w:rPr>
                <w:rFonts w:ascii="Arial Narrow" w:hAnsi="Arial Narrow"/>
                <w:b/>
                <w:color w:val="4F81BD" w:themeColor="accent1"/>
                <w:sz w:val="24"/>
                <w:szCs w:val="24"/>
                <w:lang w:val="en-US"/>
              </w:rPr>
              <w:t>S 71</w:t>
            </w:r>
          </w:p>
        </w:tc>
        <w:tc>
          <w:tcPr>
            <w:tcW w:w="2443" w:type="dxa"/>
          </w:tcPr>
          <w:p w14:paraId="7E808F40" w14:textId="3A7D580A" w:rsidR="00612AA3" w:rsidRPr="006F09B9" w:rsidRDefault="005303D7"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Πολύτιμοι λίθοι/μέταλλα</w:t>
            </w:r>
          </w:p>
        </w:tc>
        <w:tc>
          <w:tcPr>
            <w:tcW w:w="2443" w:type="dxa"/>
          </w:tcPr>
          <w:p w14:paraId="16632132" w14:textId="77777777" w:rsidR="00612AA3" w:rsidRPr="006F09B9" w:rsidRDefault="00612AA3" w:rsidP="00612AA3">
            <w:pPr>
              <w:rPr>
                <w:rFonts w:ascii="Arial Narrow" w:hAnsi="Arial Narrow"/>
                <w:b/>
                <w:color w:val="4F81BD" w:themeColor="accent1"/>
                <w:sz w:val="24"/>
                <w:szCs w:val="24"/>
              </w:rPr>
            </w:pPr>
          </w:p>
          <w:p w14:paraId="2504758D" w14:textId="589140A0" w:rsidR="005303D7" w:rsidRPr="006F09B9" w:rsidRDefault="005303D7"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 xml:space="preserve">7,51 εκατ. $ </w:t>
            </w:r>
          </w:p>
        </w:tc>
        <w:tc>
          <w:tcPr>
            <w:tcW w:w="2443" w:type="dxa"/>
          </w:tcPr>
          <w:p w14:paraId="5D52BED5" w14:textId="77777777" w:rsidR="00612AA3" w:rsidRPr="006F09B9" w:rsidRDefault="00612AA3" w:rsidP="00612AA3">
            <w:pPr>
              <w:rPr>
                <w:rFonts w:ascii="Arial Narrow" w:hAnsi="Arial Narrow"/>
                <w:b/>
                <w:color w:val="4F81BD" w:themeColor="accent1"/>
                <w:sz w:val="24"/>
                <w:szCs w:val="24"/>
              </w:rPr>
            </w:pPr>
          </w:p>
          <w:p w14:paraId="371E59E5" w14:textId="019DFFD8" w:rsidR="005303D7" w:rsidRPr="006F09B9" w:rsidRDefault="005303D7"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4,1%</w:t>
            </w:r>
          </w:p>
        </w:tc>
      </w:tr>
      <w:tr w:rsidR="00612AA3" w:rsidRPr="006F09B9" w14:paraId="49F3DF60" w14:textId="77777777" w:rsidTr="00612AA3">
        <w:tc>
          <w:tcPr>
            <w:tcW w:w="2442" w:type="dxa"/>
          </w:tcPr>
          <w:p w14:paraId="10DF274C" w14:textId="5163E558" w:rsidR="00612AA3" w:rsidRPr="006F09B9" w:rsidRDefault="005303D7" w:rsidP="00612AA3">
            <w:pPr>
              <w:rPr>
                <w:rFonts w:ascii="Arial Narrow" w:hAnsi="Arial Narrow"/>
                <w:b/>
                <w:color w:val="4F81BD" w:themeColor="accent1"/>
                <w:sz w:val="24"/>
                <w:szCs w:val="24"/>
                <w:lang w:val="en-US"/>
              </w:rPr>
            </w:pPr>
            <w:r w:rsidRPr="006F09B9">
              <w:rPr>
                <w:rFonts w:ascii="Arial Narrow" w:hAnsi="Arial Narrow"/>
                <w:b/>
                <w:color w:val="4F81BD" w:themeColor="accent1"/>
                <w:sz w:val="24"/>
                <w:szCs w:val="24"/>
                <w:lang w:val="en-US"/>
              </w:rPr>
              <w:t xml:space="preserve">HS 72 </w:t>
            </w:r>
          </w:p>
        </w:tc>
        <w:tc>
          <w:tcPr>
            <w:tcW w:w="2443" w:type="dxa"/>
          </w:tcPr>
          <w:p w14:paraId="5BF34B73" w14:textId="46924040" w:rsidR="00612AA3" w:rsidRPr="006F09B9" w:rsidRDefault="005303D7"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Σίδηρος &amp; Χάλυβας</w:t>
            </w:r>
          </w:p>
        </w:tc>
        <w:tc>
          <w:tcPr>
            <w:tcW w:w="2443" w:type="dxa"/>
          </w:tcPr>
          <w:p w14:paraId="1FA26780" w14:textId="67967BD6" w:rsidR="00612AA3" w:rsidRPr="006F09B9" w:rsidRDefault="005303D7"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7,43 εκατ. $</w:t>
            </w:r>
          </w:p>
        </w:tc>
        <w:tc>
          <w:tcPr>
            <w:tcW w:w="2443" w:type="dxa"/>
          </w:tcPr>
          <w:p w14:paraId="3469627B" w14:textId="406FE622" w:rsidR="00612AA3" w:rsidRPr="006F09B9" w:rsidRDefault="005303D7"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4,0%</w:t>
            </w:r>
          </w:p>
        </w:tc>
      </w:tr>
      <w:tr w:rsidR="00612AA3" w:rsidRPr="006F09B9" w14:paraId="0AD1D8BC" w14:textId="77777777" w:rsidTr="00612AA3">
        <w:tc>
          <w:tcPr>
            <w:tcW w:w="2442" w:type="dxa"/>
          </w:tcPr>
          <w:p w14:paraId="2BCD45C9" w14:textId="5075C719" w:rsidR="00612AA3" w:rsidRPr="006F09B9" w:rsidRDefault="005303D7" w:rsidP="00612AA3">
            <w:pPr>
              <w:rPr>
                <w:rFonts w:ascii="Arial Narrow" w:hAnsi="Arial Narrow"/>
                <w:b/>
                <w:color w:val="4F81BD" w:themeColor="accent1"/>
                <w:sz w:val="24"/>
                <w:szCs w:val="24"/>
                <w:lang w:val="en-US"/>
              </w:rPr>
            </w:pPr>
            <w:r w:rsidRPr="006F09B9">
              <w:rPr>
                <w:rFonts w:ascii="Arial Narrow" w:hAnsi="Arial Narrow"/>
                <w:b/>
                <w:color w:val="4F81BD" w:themeColor="accent1"/>
                <w:sz w:val="24"/>
                <w:szCs w:val="24"/>
                <w:lang w:val="en-US"/>
              </w:rPr>
              <w:t>HS 84</w:t>
            </w:r>
          </w:p>
        </w:tc>
        <w:tc>
          <w:tcPr>
            <w:tcW w:w="2443" w:type="dxa"/>
          </w:tcPr>
          <w:p w14:paraId="7CFAF6AC" w14:textId="22A5103B" w:rsidR="00612AA3" w:rsidRPr="006F09B9" w:rsidRDefault="005303D7"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 xml:space="preserve">Μηχανές &amp; Εξοπλισμός </w:t>
            </w:r>
          </w:p>
        </w:tc>
        <w:tc>
          <w:tcPr>
            <w:tcW w:w="2443" w:type="dxa"/>
          </w:tcPr>
          <w:p w14:paraId="42D62FB4" w14:textId="089CD408" w:rsidR="00612AA3" w:rsidRPr="006F09B9" w:rsidRDefault="005303D7"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6,74 εκατ. $</w:t>
            </w:r>
          </w:p>
        </w:tc>
        <w:tc>
          <w:tcPr>
            <w:tcW w:w="2443" w:type="dxa"/>
          </w:tcPr>
          <w:p w14:paraId="2DF0D2C0" w14:textId="4B229437" w:rsidR="00612AA3" w:rsidRPr="006F09B9" w:rsidRDefault="005303D7"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3,6%</w:t>
            </w:r>
          </w:p>
        </w:tc>
      </w:tr>
      <w:tr w:rsidR="00612AA3" w:rsidRPr="006F09B9" w14:paraId="02FD4BDA" w14:textId="77777777" w:rsidTr="00612AA3">
        <w:tc>
          <w:tcPr>
            <w:tcW w:w="2442" w:type="dxa"/>
          </w:tcPr>
          <w:p w14:paraId="2F7454A1" w14:textId="59328026" w:rsidR="00612AA3" w:rsidRPr="006F09B9" w:rsidRDefault="005303D7" w:rsidP="00612AA3">
            <w:pPr>
              <w:rPr>
                <w:rFonts w:ascii="Arial Narrow" w:hAnsi="Arial Narrow"/>
                <w:b/>
                <w:color w:val="4F81BD" w:themeColor="accent1"/>
                <w:sz w:val="24"/>
                <w:szCs w:val="24"/>
                <w:lang w:val="en-US"/>
              </w:rPr>
            </w:pPr>
            <w:r w:rsidRPr="006F09B9">
              <w:rPr>
                <w:rFonts w:ascii="Arial Narrow" w:hAnsi="Arial Narrow"/>
                <w:b/>
                <w:color w:val="4F81BD" w:themeColor="accent1"/>
                <w:sz w:val="24"/>
                <w:szCs w:val="24"/>
                <w:lang w:val="en-US"/>
              </w:rPr>
              <w:t>HS 27</w:t>
            </w:r>
          </w:p>
        </w:tc>
        <w:tc>
          <w:tcPr>
            <w:tcW w:w="2443" w:type="dxa"/>
          </w:tcPr>
          <w:p w14:paraId="1CDF5E09" w14:textId="24EFC71F" w:rsidR="00612AA3" w:rsidRPr="006F09B9" w:rsidRDefault="005303D7"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 xml:space="preserve">Πετρελαιοειδή </w:t>
            </w:r>
          </w:p>
        </w:tc>
        <w:tc>
          <w:tcPr>
            <w:tcW w:w="2443" w:type="dxa"/>
          </w:tcPr>
          <w:p w14:paraId="402745ED" w14:textId="78C0465A" w:rsidR="00612AA3" w:rsidRPr="006F09B9" w:rsidRDefault="005303D7"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2.04 εκατ. $</w:t>
            </w:r>
          </w:p>
        </w:tc>
        <w:tc>
          <w:tcPr>
            <w:tcW w:w="2443" w:type="dxa"/>
          </w:tcPr>
          <w:p w14:paraId="3DB279F4" w14:textId="79F9A1C7" w:rsidR="00612AA3" w:rsidRPr="006F09B9" w:rsidRDefault="005303D7"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1,1%</w:t>
            </w:r>
          </w:p>
        </w:tc>
      </w:tr>
      <w:tr w:rsidR="00612AA3" w:rsidRPr="006F09B9" w14:paraId="7A6E30D2" w14:textId="77777777" w:rsidTr="00612AA3">
        <w:tc>
          <w:tcPr>
            <w:tcW w:w="2442" w:type="dxa"/>
          </w:tcPr>
          <w:p w14:paraId="4A53A53D" w14:textId="2EC7385F" w:rsidR="00612AA3" w:rsidRPr="006F09B9" w:rsidRDefault="005303D7" w:rsidP="00612AA3">
            <w:pPr>
              <w:rPr>
                <w:rFonts w:ascii="Arial Narrow" w:hAnsi="Arial Narrow"/>
                <w:b/>
                <w:color w:val="4F81BD" w:themeColor="accent1"/>
                <w:sz w:val="24"/>
                <w:szCs w:val="24"/>
                <w:lang w:val="en-US"/>
              </w:rPr>
            </w:pPr>
            <w:r w:rsidRPr="006F09B9">
              <w:rPr>
                <w:rFonts w:ascii="Arial Narrow" w:hAnsi="Arial Narrow"/>
                <w:b/>
                <w:color w:val="4F81BD" w:themeColor="accent1"/>
                <w:sz w:val="24"/>
                <w:szCs w:val="24"/>
                <w:lang w:val="en-US"/>
              </w:rPr>
              <w:t>HS 39</w:t>
            </w:r>
          </w:p>
        </w:tc>
        <w:tc>
          <w:tcPr>
            <w:tcW w:w="2443" w:type="dxa"/>
          </w:tcPr>
          <w:p w14:paraId="05F6F41A" w14:textId="4ABFAE99" w:rsidR="00612AA3" w:rsidRPr="006F09B9" w:rsidRDefault="005303D7"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 xml:space="preserve">Πλαστικά </w:t>
            </w:r>
          </w:p>
        </w:tc>
        <w:tc>
          <w:tcPr>
            <w:tcW w:w="2443" w:type="dxa"/>
          </w:tcPr>
          <w:p w14:paraId="6DFF32E1" w14:textId="5AD51B8A" w:rsidR="00612AA3" w:rsidRPr="006F09B9" w:rsidRDefault="005303D7"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2,77 εκατ. $</w:t>
            </w:r>
          </w:p>
        </w:tc>
        <w:tc>
          <w:tcPr>
            <w:tcW w:w="2443" w:type="dxa"/>
          </w:tcPr>
          <w:p w14:paraId="724FCCBC" w14:textId="431995BE" w:rsidR="00612AA3" w:rsidRPr="006F09B9" w:rsidRDefault="005303D7"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1,5%</w:t>
            </w:r>
          </w:p>
        </w:tc>
      </w:tr>
      <w:tr w:rsidR="00612AA3" w:rsidRPr="006F09B9" w14:paraId="13AC0E89" w14:textId="77777777" w:rsidTr="00612AA3">
        <w:tc>
          <w:tcPr>
            <w:tcW w:w="2442" w:type="dxa"/>
          </w:tcPr>
          <w:p w14:paraId="7053D11C" w14:textId="62440992" w:rsidR="00612AA3" w:rsidRPr="006F09B9" w:rsidRDefault="005303D7" w:rsidP="00612AA3">
            <w:pPr>
              <w:rPr>
                <w:rFonts w:ascii="Arial Narrow" w:hAnsi="Arial Narrow"/>
                <w:b/>
                <w:color w:val="4F81BD" w:themeColor="accent1"/>
                <w:sz w:val="24"/>
                <w:szCs w:val="24"/>
                <w:lang w:val="en-US"/>
              </w:rPr>
            </w:pPr>
            <w:r w:rsidRPr="006F09B9">
              <w:rPr>
                <w:rFonts w:ascii="Arial Narrow" w:hAnsi="Arial Narrow"/>
                <w:b/>
                <w:color w:val="4F81BD" w:themeColor="accent1"/>
                <w:sz w:val="24"/>
                <w:szCs w:val="24"/>
                <w:lang w:val="en-US"/>
              </w:rPr>
              <w:t>HS 33</w:t>
            </w:r>
          </w:p>
        </w:tc>
        <w:tc>
          <w:tcPr>
            <w:tcW w:w="2443" w:type="dxa"/>
          </w:tcPr>
          <w:p w14:paraId="5A8A23DE" w14:textId="7819BA6D" w:rsidR="00612AA3" w:rsidRPr="006F09B9" w:rsidRDefault="005303D7"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 xml:space="preserve">Αρώματα/Καλλυντικά </w:t>
            </w:r>
          </w:p>
        </w:tc>
        <w:tc>
          <w:tcPr>
            <w:tcW w:w="2443" w:type="dxa"/>
          </w:tcPr>
          <w:p w14:paraId="008EEFDE" w14:textId="53E8A661" w:rsidR="00612AA3" w:rsidRPr="006F09B9" w:rsidRDefault="005303D7"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2,82 εκατ. $</w:t>
            </w:r>
          </w:p>
        </w:tc>
        <w:tc>
          <w:tcPr>
            <w:tcW w:w="2443" w:type="dxa"/>
          </w:tcPr>
          <w:p w14:paraId="0694C090" w14:textId="55B67663" w:rsidR="00612AA3" w:rsidRPr="006F09B9" w:rsidRDefault="005303D7"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1,5%</w:t>
            </w:r>
          </w:p>
        </w:tc>
      </w:tr>
      <w:tr w:rsidR="00612AA3" w:rsidRPr="006F09B9" w14:paraId="3F647DC2" w14:textId="77777777" w:rsidTr="00612AA3">
        <w:tc>
          <w:tcPr>
            <w:tcW w:w="2442" w:type="dxa"/>
          </w:tcPr>
          <w:p w14:paraId="4AB661E9" w14:textId="6A0125F7" w:rsidR="00612AA3" w:rsidRPr="006F09B9" w:rsidRDefault="005303D7"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 xml:space="preserve">Άλλες κατηγορίες </w:t>
            </w:r>
          </w:p>
        </w:tc>
        <w:tc>
          <w:tcPr>
            <w:tcW w:w="2443" w:type="dxa"/>
          </w:tcPr>
          <w:p w14:paraId="51D714CC" w14:textId="2964FFB9" w:rsidR="00612AA3" w:rsidRPr="006F09B9" w:rsidRDefault="005303D7"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 xml:space="preserve">Λοιπά Προϊόντα </w:t>
            </w:r>
          </w:p>
        </w:tc>
        <w:tc>
          <w:tcPr>
            <w:tcW w:w="2443" w:type="dxa"/>
          </w:tcPr>
          <w:p w14:paraId="4345AA67" w14:textId="7DCB4553" w:rsidR="00612AA3" w:rsidRPr="006F09B9" w:rsidRDefault="005303D7"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28,1 εκατ. $</w:t>
            </w:r>
          </w:p>
        </w:tc>
        <w:tc>
          <w:tcPr>
            <w:tcW w:w="2443" w:type="dxa"/>
          </w:tcPr>
          <w:p w14:paraId="62A71884" w14:textId="7DBE04CE" w:rsidR="00612AA3" w:rsidRPr="006F09B9" w:rsidRDefault="005303D7" w:rsidP="00612AA3">
            <w:pPr>
              <w:rPr>
                <w:rFonts w:ascii="Arial Narrow" w:hAnsi="Arial Narrow"/>
                <w:b/>
                <w:color w:val="4F81BD" w:themeColor="accent1"/>
                <w:sz w:val="24"/>
                <w:szCs w:val="24"/>
              </w:rPr>
            </w:pPr>
            <w:r w:rsidRPr="006F09B9">
              <w:rPr>
                <w:rFonts w:ascii="Arial Narrow" w:hAnsi="Arial Narrow"/>
                <w:b/>
                <w:color w:val="4F81BD" w:themeColor="accent1"/>
                <w:sz w:val="24"/>
                <w:szCs w:val="24"/>
              </w:rPr>
              <w:t>15%</w:t>
            </w:r>
          </w:p>
        </w:tc>
      </w:tr>
      <w:tr w:rsidR="005303D7" w:rsidRPr="005303D7" w14:paraId="11EB9D08" w14:textId="77777777" w:rsidTr="00612AA3">
        <w:tc>
          <w:tcPr>
            <w:tcW w:w="2442" w:type="dxa"/>
          </w:tcPr>
          <w:p w14:paraId="0D395458" w14:textId="195E5AEE" w:rsidR="00612AA3" w:rsidRPr="005303D7" w:rsidRDefault="005303D7" w:rsidP="00612AA3">
            <w:pPr>
              <w:rPr>
                <w:rFonts w:ascii="Arial Narrow" w:hAnsi="Arial Narrow"/>
                <w:b/>
                <w:color w:val="C0504D" w:themeColor="accent2"/>
                <w:sz w:val="24"/>
                <w:szCs w:val="24"/>
              </w:rPr>
            </w:pPr>
            <w:r w:rsidRPr="005303D7">
              <w:rPr>
                <w:rFonts w:ascii="Arial Narrow" w:hAnsi="Arial Narrow"/>
                <w:b/>
                <w:color w:val="C0504D" w:themeColor="accent2"/>
                <w:sz w:val="24"/>
                <w:szCs w:val="24"/>
              </w:rPr>
              <w:t>Συνολικό Εμπόριο</w:t>
            </w:r>
          </w:p>
        </w:tc>
        <w:tc>
          <w:tcPr>
            <w:tcW w:w="2443" w:type="dxa"/>
          </w:tcPr>
          <w:p w14:paraId="6B6577C7" w14:textId="1E56205E" w:rsidR="00612AA3" w:rsidRPr="005303D7" w:rsidRDefault="005303D7" w:rsidP="00612AA3">
            <w:pPr>
              <w:rPr>
                <w:rFonts w:ascii="Arial Narrow" w:hAnsi="Arial Narrow"/>
                <w:b/>
                <w:color w:val="C0504D" w:themeColor="accent2"/>
                <w:sz w:val="24"/>
                <w:szCs w:val="24"/>
              </w:rPr>
            </w:pPr>
            <w:r>
              <w:rPr>
                <w:rFonts w:ascii="Arial Narrow" w:hAnsi="Arial Narrow"/>
                <w:b/>
                <w:color w:val="C0504D" w:themeColor="accent2"/>
                <w:sz w:val="24"/>
                <w:szCs w:val="24"/>
              </w:rPr>
              <w:t>Ελλάδα προς ΗΑΕ</w:t>
            </w:r>
          </w:p>
        </w:tc>
        <w:tc>
          <w:tcPr>
            <w:tcW w:w="2443" w:type="dxa"/>
          </w:tcPr>
          <w:p w14:paraId="2EB0F5E5" w14:textId="020D00B5" w:rsidR="00612AA3" w:rsidRPr="005303D7" w:rsidRDefault="005303D7" w:rsidP="00612AA3">
            <w:pPr>
              <w:rPr>
                <w:rFonts w:ascii="Arial Narrow" w:hAnsi="Arial Narrow"/>
                <w:b/>
                <w:color w:val="C0504D" w:themeColor="accent2"/>
                <w:sz w:val="24"/>
                <w:szCs w:val="24"/>
              </w:rPr>
            </w:pPr>
            <w:r>
              <w:rPr>
                <w:rFonts w:ascii="Arial Narrow" w:hAnsi="Arial Narrow"/>
                <w:b/>
                <w:color w:val="C0504D" w:themeColor="accent2"/>
                <w:sz w:val="24"/>
                <w:szCs w:val="24"/>
              </w:rPr>
              <w:t>398,6 εκατ. $</w:t>
            </w:r>
          </w:p>
        </w:tc>
        <w:tc>
          <w:tcPr>
            <w:tcW w:w="2443" w:type="dxa"/>
          </w:tcPr>
          <w:p w14:paraId="55D61B8C" w14:textId="77777777" w:rsidR="00612AA3" w:rsidRPr="005303D7" w:rsidRDefault="00612AA3" w:rsidP="00612AA3">
            <w:pPr>
              <w:rPr>
                <w:rFonts w:ascii="Arial Narrow" w:hAnsi="Arial Narrow"/>
                <w:b/>
                <w:color w:val="C0504D" w:themeColor="accent2"/>
                <w:sz w:val="24"/>
                <w:szCs w:val="24"/>
              </w:rPr>
            </w:pPr>
          </w:p>
        </w:tc>
      </w:tr>
      <w:tr w:rsidR="005303D7" w:rsidRPr="005303D7" w14:paraId="0BD6B333" w14:textId="77777777" w:rsidTr="00612AA3">
        <w:tc>
          <w:tcPr>
            <w:tcW w:w="2442" w:type="dxa"/>
          </w:tcPr>
          <w:p w14:paraId="16F40736" w14:textId="77777777" w:rsidR="00612AA3" w:rsidRPr="005303D7" w:rsidRDefault="00612AA3" w:rsidP="00612AA3">
            <w:pPr>
              <w:rPr>
                <w:rFonts w:ascii="Arial Narrow" w:hAnsi="Arial Narrow"/>
                <w:b/>
                <w:color w:val="C0504D" w:themeColor="accent2"/>
                <w:sz w:val="24"/>
                <w:szCs w:val="24"/>
              </w:rPr>
            </w:pPr>
          </w:p>
        </w:tc>
        <w:tc>
          <w:tcPr>
            <w:tcW w:w="2443" w:type="dxa"/>
          </w:tcPr>
          <w:p w14:paraId="2AC56B26" w14:textId="69D8EDDD" w:rsidR="00612AA3" w:rsidRPr="005303D7" w:rsidRDefault="005303D7" w:rsidP="00612AA3">
            <w:pPr>
              <w:rPr>
                <w:rFonts w:ascii="Arial Narrow" w:hAnsi="Arial Narrow"/>
                <w:b/>
                <w:color w:val="C0504D" w:themeColor="accent2"/>
                <w:sz w:val="24"/>
                <w:szCs w:val="24"/>
              </w:rPr>
            </w:pPr>
            <w:r>
              <w:rPr>
                <w:rFonts w:ascii="Arial Narrow" w:hAnsi="Arial Narrow"/>
                <w:b/>
                <w:color w:val="C0504D" w:themeColor="accent2"/>
                <w:sz w:val="24"/>
                <w:szCs w:val="24"/>
              </w:rPr>
              <w:t xml:space="preserve">ΗΑΕ προς Ελλάδα </w:t>
            </w:r>
          </w:p>
        </w:tc>
        <w:tc>
          <w:tcPr>
            <w:tcW w:w="2443" w:type="dxa"/>
          </w:tcPr>
          <w:p w14:paraId="72AC640C" w14:textId="58461E5C" w:rsidR="00612AA3" w:rsidRPr="005303D7" w:rsidRDefault="005303D7" w:rsidP="00612AA3">
            <w:pPr>
              <w:rPr>
                <w:rFonts w:ascii="Arial Narrow" w:hAnsi="Arial Narrow"/>
                <w:b/>
                <w:color w:val="C0504D" w:themeColor="accent2"/>
                <w:sz w:val="24"/>
                <w:szCs w:val="24"/>
              </w:rPr>
            </w:pPr>
            <w:r>
              <w:rPr>
                <w:rFonts w:ascii="Arial Narrow" w:hAnsi="Arial Narrow"/>
                <w:b/>
                <w:color w:val="C0504D" w:themeColor="accent2"/>
                <w:sz w:val="24"/>
                <w:szCs w:val="24"/>
              </w:rPr>
              <w:t>185,2 εκατ. $</w:t>
            </w:r>
          </w:p>
        </w:tc>
        <w:tc>
          <w:tcPr>
            <w:tcW w:w="2443" w:type="dxa"/>
          </w:tcPr>
          <w:p w14:paraId="5A8718FE" w14:textId="77777777" w:rsidR="00612AA3" w:rsidRPr="005303D7" w:rsidRDefault="00612AA3" w:rsidP="00612AA3">
            <w:pPr>
              <w:rPr>
                <w:rFonts w:ascii="Arial Narrow" w:hAnsi="Arial Narrow"/>
                <w:b/>
                <w:color w:val="C0504D" w:themeColor="accent2"/>
                <w:sz w:val="24"/>
                <w:szCs w:val="24"/>
              </w:rPr>
            </w:pPr>
          </w:p>
        </w:tc>
      </w:tr>
      <w:tr w:rsidR="005303D7" w:rsidRPr="005303D7" w14:paraId="79E6EC84" w14:textId="77777777" w:rsidTr="00612AA3">
        <w:tc>
          <w:tcPr>
            <w:tcW w:w="2442" w:type="dxa"/>
          </w:tcPr>
          <w:p w14:paraId="46A566B8" w14:textId="3C42174E" w:rsidR="00612AA3" w:rsidRPr="005303D7" w:rsidRDefault="005303D7" w:rsidP="00612AA3">
            <w:pPr>
              <w:rPr>
                <w:rFonts w:ascii="Arial Narrow" w:hAnsi="Arial Narrow"/>
                <w:b/>
                <w:color w:val="C0504D" w:themeColor="accent2"/>
                <w:sz w:val="24"/>
                <w:szCs w:val="24"/>
              </w:rPr>
            </w:pPr>
            <w:r>
              <w:rPr>
                <w:rFonts w:ascii="Arial Narrow" w:hAnsi="Arial Narrow"/>
                <w:b/>
                <w:color w:val="C0504D" w:themeColor="accent2"/>
                <w:sz w:val="24"/>
                <w:szCs w:val="24"/>
              </w:rPr>
              <w:t xml:space="preserve">Εμπορικό Ισοζύγιο </w:t>
            </w:r>
          </w:p>
        </w:tc>
        <w:tc>
          <w:tcPr>
            <w:tcW w:w="2443" w:type="dxa"/>
          </w:tcPr>
          <w:p w14:paraId="52628DB7" w14:textId="33B15E92" w:rsidR="00612AA3" w:rsidRPr="005303D7" w:rsidRDefault="005303D7" w:rsidP="00612AA3">
            <w:pPr>
              <w:rPr>
                <w:rFonts w:ascii="Arial Narrow" w:hAnsi="Arial Narrow"/>
                <w:b/>
                <w:color w:val="C0504D" w:themeColor="accent2"/>
                <w:sz w:val="24"/>
                <w:szCs w:val="24"/>
              </w:rPr>
            </w:pPr>
            <w:r>
              <w:rPr>
                <w:rFonts w:ascii="Arial Narrow" w:hAnsi="Arial Narrow"/>
                <w:b/>
                <w:color w:val="C0504D" w:themeColor="accent2"/>
                <w:sz w:val="24"/>
                <w:szCs w:val="24"/>
              </w:rPr>
              <w:t>+213,4 εκατ. $</w:t>
            </w:r>
          </w:p>
        </w:tc>
        <w:tc>
          <w:tcPr>
            <w:tcW w:w="2443" w:type="dxa"/>
          </w:tcPr>
          <w:p w14:paraId="29E37C66" w14:textId="77777777" w:rsidR="00612AA3" w:rsidRPr="005303D7" w:rsidRDefault="00612AA3" w:rsidP="00612AA3">
            <w:pPr>
              <w:rPr>
                <w:rFonts w:ascii="Arial Narrow" w:hAnsi="Arial Narrow"/>
                <w:b/>
                <w:color w:val="C0504D" w:themeColor="accent2"/>
                <w:sz w:val="24"/>
                <w:szCs w:val="24"/>
              </w:rPr>
            </w:pPr>
          </w:p>
        </w:tc>
        <w:tc>
          <w:tcPr>
            <w:tcW w:w="2443" w:type="dxa"/>
          </w:tcPr>
          <w:p w14:paraId="17282382" w14:textId="77777777" w:rsidR="00612AA3" w:rsidRPr="005303D7" w:rsidRDefault="00612AA3" w:rsidP="00612AA3">
            <w:pPr>
              <w:rPr>
                <w:rFonts w:ascii="Arial Narrow" w:hAnsi="Arial Narrow"/>
                <w:b/>
                <w:color w:val="C0504D" w:themeColor="accent2"/>
                <w:sz w:val="24"/>
                <w:szCs w:val="24"/>
              </w:rPr>
            </w:pPr>
          </w:p>
        </w:tc>
      </w:tr>
      <w:tr w:rsidR="005303D7" w:rsidRPr="005303D7" w14:paraId="5CCCE555" w14:textId="77777777" w:rsidTr="00612AA3">
        <w:tc>
          <w:tcPr>
            <w:tcW w:w="2442" w:type="dxa"/>
          </w:tcPr>
          <w:p w14:paraId="17015D4B" w14:textId="77777777" w:rsidR="00267C93" w:rsidRDefault="00267C93" w:rsidP="00612AA3">
            <w:pPr>
              <w:rPr>
                <w:rFonts w:ascii="Arial Narrow" w:hAnsi="Arial Narrow"/>
                <w:b/>
                <w:color w:val="C0504D" w:themeColor="accent2"/>
                <w:sz w:val="24"/>
                <w:szCs w:val="24"/>
              </w:rPr>
            </w:pPr>
          </w:p>
          <w:p w14:paraId="2B0C904C" w14:textId="35EE6E11" w:rsidR="00612AA3" w:rsidRPr="005303D7" w:rsidRDefault="00267C93" w:rsidP="00612AA3">
            <w:pPr>
              <w:rPr>
                <w:rFonts w:ascii="Arial Narrow" w:hAnsi="Arial Narrow"/>
                <w:b/>
                <w:color w:val="C0504D" w:themeColor="accent2"/>
                <w:sz w:val="24"/>
                <w:szCs w:val="24"/>
              </w:rPr>
            </w:pPr>
            <w:r>
              <w:rPr>
                <w:rFonts w:ascii="Arial Narrow" w:hAnsi="Arial Narrow"/>
                <w:b/>
                <w:color w:val="C0504D" w:themeColor="accent2"/>
                <w:sz w:val="24"/>
                <w:szCs w:val="24"/>
              </w:rPr>
              <w:t xml:space="preserve">Κυρίαρχος Κλάδος </w:t>
            </w:r>
          </w:p>
        </w:tc>
        <w:tc>
          <w:tcPr>
            <w:tcW w:w="2443" w:type="dxa"/>
          </w:tcPr>
          <w:p w14:paraId="1C086F54" w14:textId="5A778321" w:rsidR="00612AA3" w:rsidRPr="005303D7" w:rsidRDefault="00267C93" w:rsidP="00612AA3">
            <w:pPr>
              <w:rPr>
                <w:rFonts w:ascii="Arial Narrow" w:hAnsi="Arial Narrow"/>
                <w:b/>
                <w:color w:val="C0504D" w:themeColor="accent2"/>
                <w:sz w:val="24"/>
                <w:szCs w:val="24"/>
              </w:rPr>
            </w:pPr>
            <w:r>
              <w:rPr>
                <w:rFonts w:ascii="Arial Narrow" w:hAnsi="Arial Narrow"/>
                <w:b/>
                <w:color w:val="C0504D" w:themeColor="accent2"/>
                <w:sz w:val="24"/>
                <w:szCs w:val="24"/>
              </w:rPr>
              <w:t xml:space="preserve">Καπνός/βιομηχανικά προϊόντα </w:t>
            </w:r>
          </w:p>
        </w:tc>
        <w:tc>
          <w:tcPr>
            <w:tcW w:w="2443" w:type="dxa"/>
          </w:tcPr>
          <w:p w14:paraId="0AA3BA71" w14:textId="77777777" w:rsidR="00612AA3" w:rsidRPr="005303D7" w:rsidRDefault="00612AA3" w:rsidP="00612AA3">
            <w:pPr>
              <w:rPr>
                <w:rFonts w:ascii="Arial Narrow" w:hAnsi="Arial Narrow"/>
                <w:b/>
                <w:color w:val="C0504D" w:themeColor="accent2"/>
                <w:sz w:val="24"/>
                <w:szCs w:val="24"/>
              </w:rPr>
            </w:pPr>
          </w:p>
        </w:tc>
        <w:tc>
          <w:tcPr>
            <w:tcW w:w="2443" w:type="dxa"/>
          </w:tcPr>
          <w:p w14:paraId="46343B1F" w14:textId="77777777" w:rsidR="00612AA3" w:rsidRPr="005303D7" w:rsidRDefault="00612AA3" w:rsidP="00612AA3">
            <w:pPr>
              <w:rPr>
                <w:rFonts w:ascii="Arial Narrow" w:hAnsi="Arial Narrow"/>
                <w:b/>
                <w:color w:val="C0504D" w:themeColor="accent2"/>
                <w:sz w:val="24"/>
                <w:szCs w:val="24"/>
              </w:rPr>
            </w:pPr>
          </w:p>
        </w:tc>
      </w:tr>
      <w:tr w:rsidR="005303D7" w:rsidRPr="005303D7" w14:paraId="1EDEE706" w14:textId="77777777" w:rsidTr="008E0187">
        <w:trPr>
          <w:trHeight w:val="737"/>
        </w:trPr>
        <w:tc>
          <w:tcPr>
            <w:tcW w:w="2442" w:type="dxa"/>
          </w:tcPr>
          <w:p w14:paraId="002D8F6F" w14:textId="77777777" w:rsidR="008E0187" w:rsidRDefault="008E0187" w:rsidP="00612AA3">
            <w:pPr>
              <w:rPr>
                <w:rFonts w:ascii="Arial Narrow" w:hAnsi="Arial Narrow"/>
                <w:b/>
                <w:color w:val="C0504D" w:themeColor="accent2"/>
                <w:sz w:val="24"/>
                <w:szCs w:val="24"/>
              </w:rPr>
            </w:pPr>
          </w:p>
          <w:p w14:paraId="3B86DC40" w14:textId="2FE50640" w:rsidR="00612AA3" w:rsidRPr="005303D7" w:rsidRDefault="00267C93" w:rsidP="00612AA3">
            <w:pPr>
              <w:rPr>
                <w:rFonts w:ascii="Arial Narrow" w:hAnsi="Arial Narrow"/>
                <w:b/>
                <w:color w:val="C0504D" w:themeColor="accent2"/>
                <w:sz w:val="24"/>
                <w:szCs w:val="24"/>
              </w:rPr>
            </w:pPr>
            <w:r>
              <w:rPr>
                <w:rFonts w:ascii="Arial Narrow" w:hAnsi="Arial Narrow"/>
                <w:b/>
                <w:color w:val="C0504D" w:themeColor="accent2"/>
                <w:sz w:val="24"/>
                <w:szCs w:val="24"/>
              </w:rPr>
              <w:t xml:space="preserve">Δεύτερος </w:t>
            </w:r>
            <w:r w:rsidR="008E0187">
              <w:rPr>
                <w:rFonts w:ascii="Arial Narrow" w:hAnsi="Arial Narrow"/>
                <w:b/>
                <w:color w:val="C0504D" w:themeColor="accent2"/>
                <w:sz w:val="24"/>
                <w:szCs w:val="24"/>
              </w:rPr>
              <w:t xml:space="preserve">Κλάδος </w:t>
            </w:r>
          </w:p>
        </w:tc>
        <w:tc>
          <w:tcPr>
            <w:tcW w:w="2443" w:type="dxa"/>
          </w:tcPr>
          <w:p w14:paraId="45C6FDC9" w14:textId="77777777" w:rsidR="008E0187" w:rsidRDefault="008E0187" w:rsidP="00612AA3">
            <w:pPr>
              <w:rPr>
                <w:rFonts w:ascii="Arial Narrow" w:hAnsi="Arial Narrow"/>
                <w:b/>
                <w:color w:val="C0504D" w:themeColor="accent2"/>
                <w:sz w:val="24"/>
                <w:szCs w:val="24"/>
              </w:rPr>
            </w:pPr>
          </w:p>
          <w:p w14:paraId="3FBC4C15" w14:textId="6EE4420E" w:rsidR="00612AA3" w:rsidRPr="005303D7" w:rsidRDefault="00267C93" w:rsidP="00612AA3">
            <w:pPr>
              <w:rPr>
                <w:rFonts w:ascii="Arial Narrow" w:hAnsi="Arial Narrow"/>
                <w:b/>
                <w:color w:val="C0504D" w:themeColor="accent2"/>
                <w:sz w:val="24"/>
                <w:szCs w:val="24"/>
              </w:rPr>
            </w:pPr>
            <w:r>
              <w:rPr>
                <w:rFonts w:ascii="Arial Narrow" w:hAnsi="Arial Narrow"/>
                <w:b/>
                <w:color w:val="C0504D" w:themeColor="accent2"/>
                <w:sz w:val="24"/>
                <w:szCs w:val="24"/>
              </w:rPr>
              <w:t xml:space="preserve">Καύσιμα / Μηχανές </w:t>
            </w:r>
          </w:p>
        </w:tc>
        <w:tc>
          <w:tcPr>
            <w:tcW w:w="2443" w:type="dxa"/>
          </w:tcPr>
          <w:p w14:paraId="35BF8A63" w14:textId="77777777" w:rsidR="00612AA3" w:rsidRPr="005303D7" w:rsidRDefault="00612AA3" w:rsidP="00612AA3">
            <w:pPr>
              <w:rPr>
                <w:rFonts w:ascii="Arial Narrow" w:hAnsi="Arial Narrow"/>
                <w:b/>
                <w:color w:val="C0504D" w:themeColor="accent2"/>
                <w:sz w:val="24"/>
                <w:szCs w:val="24"/>
              </w:rPr>
            </w:pPr>
          </w:p>
        </w:tc>
        <w:tc>
          <w:tcPr>
            <w:tcW w:w="2443" w:type="dxa"/>
          </w:tcPr>
          <w:p w14:paraId="102CB9C1" w14:textId="77777777" w:rsidR="00612AA3" w:rsidRPr="005303D7" w:rsidRDefault="00612AA3" w:rsidP="00612AA3">
            <w:pPr>
              <w:rPr>
                <w:rFonts w:ascii="Arial Narrow" w:hAnsi="Arial Narrow"/>
                <w:b/>
                <w:color w:val="C0504D" w:themeColor="accent2"/>
                <w:sz w:val="24"/>
                <w:szCs w:val="24"/>
              </w:rPr>
            </w:pPr>
          </w:p>
        </w:tc>
      </w:tr>
    </w:tbl>
    <w:p w14:paraId="001724CD" w14:textId="51E0C5EB" w:rsidR="00892EF7" w:rsidRDefault="00892EF7" w:rsidP="007F6F0B">
      <w:pPr>
        <w:pStyle w:val="Heading3"/>
        <w:numPr>
          <w:ilvl w:val="0"/>
          <w:numId w:val="0"/>
        </w:numPr>
        <w:rPr>
          <w:b w:val="0"/>
          <w:bCs w:val="0"/>
        </w:rPr>
      </w:pPr>
    </w:p>
    <w:p w14:paraId="3715AFD9" w14:textId="31EC8E2A" w:rsidR="007F6F0B" w:rsidRPr="00D565EA" w:rsidRDefault="007F6F0B" w:rsidP="007F6F0B">
      <w:pPr>
        <w:jc w:val="center"/>
        <w:rPr>
          <w:rFonts w:ascii="Arial Narrow" w:hAnsi="Arial Narrow"/>
          <w:b/>
          <w:color w:val="1F497D" w:themeColor="text2"/>
          <w:sz w:val="28"/>
          <w:szCs w:val="28"/>
        </w:rPr>
      </w:pPr>
      <w:r w:rsidRPr="00D565EA">
        <w:rPr>
          <w:rFonts w:ascii="Arial Narrow" w:hAnsi="Arial Narrow"/>
          <w:b/>
          <w:color w:val="1F497D" w:themeColor="text2"/>
          <w:sz w:val="28"/>
          <w:szCs w:val="28"/>
        </w:rPr>
        <w:t>5. Υπηρεσίες &amp; Τουριστικές Ροές από τα Ηνωμένα Αραβικά Εμιράτα προς την Ελλάδα</w:t>
      </w:r>
    </w:p>
    <w:p w14:paraId="1C72D7E3" w14:textId="41D70213" w:rsidR="00B61C7C" w:rsidRPr="00817F84" w:rsidRDefault="007F6F0B" w:rsidP="00025D9B">
      <w:pPr>
        <w:rPr>
          <w:rFonts w:ascii="Arial Narrow" w:hAnsi="Arial Narrow"/>
          <w:b/>
          <w:color w:val="4F81BD" w:themeColor="accent1"/>
          <w:sz w:val="24"/>
          <w:szCs w:val="24"/>
        </w:rPr>
      </w:pPr>
      <w:r w:rsidRPr="00817F84">
        <w:rPr>
          <w:rFonts w:ascii="Arial Narrow" w:hAnsi="Arial Narrow"/>
          <w:b/>
          <w:color w:val="4F81BD" w:themeColor="accent1"/>
          <w:sz w:val="24"/>
          <w:szCs w:val="24"/>
        </w:rPr>
        <w:t xml:space="preserve">5.1 Εισαγωγή </w:t>
      </w:r>
    </w:p>
    <w:p w14:paraId="4A06E057" w14:textId="77777777" w:rsidR="006124EB" w:rsidRDefault="00025D9B" w:rsidP="00025D9B">
      <w:pPr>
        <w:jc w:val="both"/>
        <w:rPr>
          <w:rFonts w:ascii="Arial Narrow" w:hAnsi="Arial Narrow"/>
          <w:sz w:val="24"/>
          <w:szCs w:val="24"/>
        </w:rPr>
      </w:pPr>
      <w:r w:rsidRPr="00025D9B">
        <w:rPr>
          <w:rFonts w:ascii="Arial Narrow" w:hAnsi="Arial Narrow"/>
          <w:sz w:val="24"/>
          <w:szCs w:val="24"/>
        </w:rPr>
        <w:t>Ο τουρισμός αποτελεί έναν από τους σημαντικότερους πυλώνες της οικονομικής συνεργασίας</w:t>
      </w:r>
      <w:r>
        <w:rPr>
          <w:rFonts w:ascii="Arial Narrow" w:hAnsi="Arial Narrow"/>
          <w:sz w:val="24"/>
          <w:szCs w:val="24"/>
        </w:rPr>
        <w:t xml:space="preserve"> μεταξύ Ελλάδας και ΗΑΕ. Παρόλο το σχετικά μικρό μέγεθος της αγοράς των ΗΑΕ (περίπου 11 εκατ.κάτοικοι), χαρακτηρίζεται από πολύ υψηλό κατά κεφαλήν εισόδημα, μεγάλη εξερχόμενη τουριστική δαπάνη, υψηλή συχνότητα ταξιδίων, σημαντικό αριθμό αλλοδαπών κατοίκων (άνω του 88% του συνολικού πληθυσμού) και σημαντική αεροπορική συνδεσιμότητα</w:t>
      </w:r>
      <w:r w:rsidR="006124EB">
        <w:rPr>
          <w:rFonts w:ascii="Arial Narrow" w:hAnsi="Arial Narrow"/>
          <w:sz w:val="24"/>
          <w:szCs w:val="24"/>
        </w:rPr>
        <w:t xml:space="preserve">. Οι τουριστικές ροές από τα ΗΑΕ προς την Ελλάδα παρουσιάζουν συνεχή άνοδο μετά την πανδημία, υποστηριζόμενες από την ενίσχυση των αεροπορικών συνδέσεων και τη στρατηγική συνεργασία των δύο χωρών στους τομείς του τουρισμού και των υπηρεσιών. </w:t>
      </w:r>
    </w:p>
    <w:p w14:paraId="5625ACF0" w14:textId="77777777" w:rsidR="006124EB" w:rsidRPr="00817F84" w:rsidRDefault="006124EB" w:rsidP="00025D9B">
      <w:pPr>
        <w:jc w:val="both"/>
        <w:rPr>
          <w:rFonts w:ascii="Arial Narrow" w:hAnsi="Arial Narrow"/>
          <w:b/>
          <w:color w:val="4F81BD" w:themeColor="accent1"/>
          <w:sz w:val="24"/>
          <w:szCs w:val="24"/>
        </w:rPr>
      </w:pPr>
      <w:r w:rsidRPr="00817F84">
        <w:rPr>
          <w:rFonts w:ascii="Arial Narrow" w:hAnsi="Arial Narrow"/>
          <w:b/>
          <w:color w:val="4F81BD" w:themeColor="accent1"/>
          <w:sz w:val="24"/>
          <w:szCs w:val="24"/>
        </w:rPr>
        <w:t>5.2. Ο τομέας των υπηρεσιών στις διμερείς οικονομικές σχέσεις</w:t>
      </w:r>
    </w:p>
    <w:p w14:paraId="75813F91" w14:textId="77777777" w:rsidR="0079124E" w:rsidRDefault="006124EB" w:rsidP="00025D9B">
      <w:pPr>
        <w:jc w:val="both"/>
        <w:rPr>
          <w:rFonts w:ascii="Arial Narrow" w:hAnsi="Arial Narrow"/>
          <w:sz w:val="24"/>
          <w:szCs w:val="24"/>
        </w:rPr>
      </w:pPr>
      <w:r>
        <w:rPr>
          <w:rFonts w:ascii="Arial Narrow" w:hAnsi="Arial Narrow"/>
          <w:sz w:val="24"/>
          <w:szCs w:val="24"/>
        </w:rPr>
        <w:t xml:space="preserve">Οι υπηρεσίες αποτελούν το σημαντικότερο ίσως τμήμα των οικονομικών σχέσεων Ελλάδας – ΗΑΕ. Οι βασικότεροι τομείς περιλαμβάνουν, τουριστικές υπηρεσίες, αεροπορικές μεταφορές, ναυτιλιακές υπηρεσίες, ξενοδοχειακές υπηρεσίες, χρηματοοικονομικές υπηρεσίες, υπηρεσίες ακινήτων, συμβουλευτικές υπηρεσίες, υπηρεσίες </w:t>
      </w:r>
      <w:r w:rsidR="00923429">
        <w:rPr>
          <w:rFonts w:ascii="Arial Narrow" w:hAnsi="Arial Narrow"/>
          <w:sz w:val="24"/>
          <w:szCs w:val="24"/>
          <w:lang w:val="en-US"/>
        </w:rPr>
        <w:t>logistics</w:t>
      </w:r>
      <w:r w:rsidR="00923429" w:rsidRPr="00923429">
        <w:rPr>
          <w:rFonts w:ascii="Arial Narrow" w:hAnsi="Arial Narrow"/>
          <w:sz w:val="24"/>
          <w:szCs w:val="24"/>
        </w:rPr>
        <w:t xml:space="preserve">, </w:t>
      </w:r>
      <w:r w:rsidR="00923429">
        <w:rPr>
          <w:rFonts w:ascii="Arial Narrow" w:hAnsi="Arial Narrow"/>
          <w:sz w:val="24"/>
          <w:szCs w:val="24"/>
        </w:rPr>
        <w:t xml:space="preserve">εκπαίδευση και υγεία. Η συνεργασία επεκτείνεται πλέον και σε επενδύσεις στο τουρισμό, την τεχνητή νοημοσύνη, τα </w:t>
      </w:r>
      <w:r w:rsidR="00923429">
        <w:rPr>
          <w:rFonts w:ascii="Arial Narrow" w:hAnsi="Arial Narrow"/>
          <w:sz w:val="24"/>
          <w:szCs w:val="24"/>
          <w:lang w:val="en-US"/>
        </w:rPr>
        <w:t>data</w:t>
      </w:r>
      <w:r w:rsidR="00923429" w:rsidRPr="00923429">
        <w:rPr>
          <w:rFonts w:ascii="Arial Narrow" w:hAnsi="Arial Narrow"/>
          <w:sz w:val="24"/>
          <w:szCs w:val="24"/>
        </w:rPr>
        <w:t xml:space="preserve"> </w:t>
      </w:r>
      <w:r w:rsidR="00923429">
        <w:rPr>
          <w:rFonts w:ascii="Arial Narrow" w:hAnsi="Arial Narrow"/>
          <w:sz w:val="24"/>
          <w:szCs w:val="24"/>
          <w:lang w:val="en-US"/>
        </w:rPr>
        <w:t>centers</w:t>
      </w:r>
      <w:r w:rsidR="00923429" w:rsidRPr="00923429">
        <w:rPr>
          <w:rFonts w:ascii="Arial Narrow" w:hAnsi="Arial Narrow"/>
          <w:sz w:val="24"/>
          <w:szCs w:val="24"/>
        </w:rPr>
        <w:t xml:space="preserve"> </w:t>
      </w:r>
      <w:r w:rsidR="00923429">
        <w:rPr>
          <w:rFonts w:ascii="Arial Narrow" w:hAnsi="Arial Narrow"/>
          <w:sz w:val="24"/>
          <w:szCs w:val="24"/>
        </w:rPr>
        <w:t>και τις ψηφιακές υπηρεσίες. Τα ΗΑΕ αποτελούν επίσης μία από τις πλέον δυναμικές αγορές εξερχόμενου τουρισμού παγκοσμίως με κύρια χαρακτηριστικά όπως: υψηλή μέση ταξειδιωτική δαπάνη, ταξίδια πολυτελείας, οικογενειακός τουρισμός</w:t>
      </w:r>
      <w:r w:rsidR="00923429" w:rsidRPr="00923429">
        <w:rPr>
          <w:rFonts w:ascii="Arial Narrow" w:hAnsi="Arial Narrow"/>
          <w:sz w:val="24"/>
          <w:szCs w:val="24"/>
        </w:rPr>
        <w:t xml:space="preserve">, </w:t>
      </w:r>
      <w:r w:rsidR="00923429">
        <w:rPr>
          <w:rFonts w:ascii="Arial Narrow" w:hAnsi="Arial Narrow"/>
          <w:sz w:val="24"/>
          <w:szCs w:val="24"/>
          <w:lang w:val="en-US"/>
        </w:rPr>
        <w:t>VIP</w:t>
      </w:r>
      <w:r w:rsidR="00923429" w:rsidRPr="00923429">
        <w:rPr>
          <w:rFonts w:ascii="Arial Narrow" w:hAnsi="Arial Narrow"/>
          <w:sz w:val="24"/>
          <w:szCs w:val="24"/>
        </w:rPr>
        <w:t xml:space="preserve"> </w:t>
      </w:r>
      <w:r w:rsidR="00923429">
        <w:rPr>
          <w:rFonts w:ascii="Arial Narrow" w:hAnsi="Arial Narrow"/>
          <w:sz w:val="24"/>
          <w:szCs w:val="24"/>
        </w:rPr>
        <w:t xml:space="preserve">ταξίδια, τουρισμός εμπειρίας, γαστρονομικός τουρισμός, </w:t>
      </w:r>
      <w:r w:rsidR="00923429">
        <w:rPr>
          <w:rFonts w:ascii="Arial Narrow" w:hAnsi="Arial Narrow"/>
          <w:sz w:val="24"/>
          <w:szCs w:val="24"/>
          <w:lang w:val="en-US"/>
        </w:rPr>
        <w:t>luxury</w:t>
      </w:r>
      <w:r w:rsidR="00923429" w:rsidRPr="00923429">
        <w:rPr>
          <w:rFonts w:ascii="Arial Narrow" w:hAnsi="Arial Narrow"/>
          <w:sz w:val="24"/>
          <w:szCs w:val="24"/>
        </w:rPr>
        <w:t xml:space="preserve"> </w:t>
      </w:r>
      <w:r w:rsidR="00923429">
        <w:rPr>
          <w:rFonts w:ascii="Arial Narrow" w:hAnsi="Arial Narrow"/>
          <w:sz w:val="24"/>
          <w:szCs w:val="24"/>
          <w:lang w:val="en-US"/>
        </w:rPr>
        <w:t>shopping</w:t>
      </w:r>
      <w:r w:rsidR="00923429" w:rsidRPr="00923429">
        <w:rPr>
          <w:rFonts w:ascii="Arial Narrow" w:hAnsi="Arial Narrow"/>
          <w:sz w:val="24"/>
          <w:szCs w:val="24"/>
        </w:rPr>
        <w:t xml:space="preserve">, </w:t>
      </w:r>
      <w:r w:rsidR="0079124E">
        <w:rPr>
          <w:rFonts w:ascii="Arial Narrow" w:hAnsi="Arial Narrow"/>
          <w:sz w:val="24"/>
          <w:szCs w:val="24"/>
          <w:lang w:val="en-US"/>
        </w:rPr>
        <w:t>wellness</w:t>
      </w:r>
      <w:r w:rsidR="0079124E" w:rsidRPr="0079124E">
        <w:rPr>
          <w:rFonts w:ascii="Arial Narrow" w:hAnsi="Arial Narrow"/>
          <w:sz w:val="24"/>
          <w:szCs w:val="24"/>
        </w:rPr>
        <w:t xml:space="preserve">, </w:t>
      </w:r>
      <w:r w:rsidR="0079124E">
        <w:rPr>
          <w:rFonts w:ascii="Arial Narrow" w:hAnsi="Arial Narrow"/>
          <w:sz w:val="24"/>
          <w:szCs w:val="24"/>
          <w:lang w:val="en-US"/>
        </w:rPr>
        <w:t>yachting</w:t>
      </w:r>
      <w:r w:rsidR="0079124E" w:rsidRPr="0079124E">
        <w:rPr>
          <w:rFonts w:ascii="Arial Narrow" w:hAnsi="Arial Narrow"/>
          <w:sz w:val="24"/>
          <w:szCs w:val="24"/>
        </w:rPr>
        <w:t xml:space="preserve"> </w:t>
      </w:r>
      <w:r w:rsidR="0079124E">
        <w:rPr>
          <w:rFonts w:ascii="Arial Narrow" w:hAnsi="Arial Narrow"/>
          <w:sz w:val="24"/>
          <w:szCs w:val="24"/>
          <w:lang w:val="en-US"/>
        </w:rPr>
        <w:t>and</w:t>
      </w:r>
      <w:r w:rsidR="0079124E" w:rsidRPr="0079124E">
        <w:rPr>
          <w:rFonts w:ascii="Arial Narrow" w:hAnsi="Arial Narrow"/>
          <w:sz w:val="24"/>
          <w:szCs w:val="24"/>
        </w:rPr>
        <w:t xml:space="preserve"> </w:t>
      </w:r>
      <w:r w:rsidR="0079124E">
        <w:rPr>
          <w:rFonts w:ascii="Arial Narrow" w:hAnsi="Arial Narrow"/>
          <w:sz w:val="24"/>
          <w:szCs w:val="24"/>
          <w:lang w:val="en-US"/>
        </w:rPr>
        <w:t>island</w:t>
      </w:r>
      <w:r w:rsidR="0079124E" w:rsidRPr="0079124E">
        <w:rPr>
          <w:rFonts w:ascii="Arial Narrow" w:hAnsi="Arial Narrow"/>
          <w:sz w:val="24"/>
          <w:szCs w:val="24"/>
        </w:rPr>
        <w:t xml:space="preserve"> </w:t>
      </w:r>
      <w:r w:rsidR="0079124E">
        <w:rPr>
          <w:rFonts w:ascii="Arial Narrow" w:hAnsi="Arial Narrow"/>
          <w:sz w:val="24"/>
          <w:szCs w:val="24"/>
          <w:lang w:val="en-US"/>
        </w:rPr>
        <w:t>tourism</w:t>
      </w:r>
      <w:r w:rsidR="0079124E" w:rsidRPr="0079124E">
        <w:rPr>
          <w:rFonts w:ascii="Arial Narrow" w:hAnsi="Arial Narrow"/>
          <w:sz w:val="24"/>
          <w:szCs w:val="24"/>
        </w:rPr>
        <w:t>.</w:t>
      </w:r>
    </w:p>
    <w:p w14:paraId="0F69B028" w14:textId="0ED6C736" w:rsidR="003D3446" w:rsidRPr="003D3446" w:rsidRDefault="0079124E" w:rsidP="00025D9B">
      <w:pPr>
        <w:jc w:val="both"/>
        <w:rPr>
          <w:rFonts w:ascii="Arial Narrow" w:hAnsi="Arial Narrow"/>
          <w:sz w:val="24"/>
          <w:szCs w:val="24"/>
        </w:rPr>
      </w:pPr>
      <w:r>
        <w:rPr>
          <w:rFonts w:ascii="Arial Narrow" w:hAnsi="Arial Narrow"/>
          <w:sz w:val="24"/>
          <w:szCs w:val="24"/>
        </w:rPr>
        <w:t xml:space="preserve">Οι κάτοικοι των ΗΑΕ πραγματοποιούν κυρίως 2-4 διεθνή ταξίδια ετησίως, με διάρκεια διαμονής 5-10 ημέρες και μέση ημερήσια δαπάνη αισθητά υψηλότερη από τον ευρωπαϊκό μέσο όρο. Η Ελλάδα συγκαταλέγεται πλέον στους περισσότερο αναγνωρίσιμους ευρωπαϊκούς προορισμούς για κατοίκους των ΗΑΕ. Ως κυριότεροι λόγοι επιλογής αποτελούν </w:t>
      </w:r>
      <w:r w:rsidR="005841E2">
        <w:rPr>
          <w:rFonts w:ascii="Arial Narrow" w:hAnsi="Arial Narrow"/>
          <w:sz w:val="24"/>
          <w:szCs w:val="24"/>
        </w:rPr>
        <w:t>η πληθώρα των ελληνικών νησιών, η ασφάλεια, το φυσικό περιβάλλον, ο πολιτισμός, τα πολυτελή</w:t>
      </w:r>
      <w:r w:rsidR="00183979" w:rsidRPr="00183979">
        <w:rPr>
          <w:rFonts w:ascii="Arial Narrow" w:hAnsi="Arial Narrow"/>
          <w:sz w:val="24"/>
          <w:szCs w:val="24"/>
        </w:rPr>
        <w:t xml:space="preserve"> </w:t>
      </w:r>
      <w:r w:rsidR="00183979">
        <w:rPr>
          <w:rFonts w:ascii="Arial Narrow" w:hAnsi="Arial Narrow"/>
          <w:sz w:val="24"/>
          <w:szCs w:val="24"/>
          <w:lang w:val="en-US"/>
        </w:rPr>
        <w:t>resorts</w:t>
      </w:r>
      <w:r w:rsidR="00183979" w:rsidRPr="00183979">
        <w:rPr>
          <w:rFonts w:ascii="Arial Narrow" w:hAnsi="Arial Narrow"/>
          <w:sz w:val="24"/>
          <w:szCs w:val="24"/>
        </w:rPr>
        <w:t xml:space="preserve">, </w:t>
      </w:r>
      <w:r w:rsidR="00183979">
        <w:rPr>
          <w:rFonts w:ascii="Arial Narrow" w:hAnsi="Arial Narrow"/>
          <w:sz w:val="24"/>
          <w:szCs w:val="24"/>
        </w:rPr>
        <w:t xml:space="preserve">η ελληνική κουζίνα και γαστρονομία, </w:t>
      </w:r>
      <w:r w:rsidR="00183979">
        <w:rPr>
          <w:rFonts w:ascii="Arial Narrow" w:hAnsi="Arial Narrow"/>
          <w:sz w:val="24"/>
          <w:szCs w:val="24"/>
          <w:lang w:val="en-US"/>
        </w:rPr>
        <w:t>shopping</w:t>
      </w:r>
      <w:r w:rsidR="00183979" w:rsidRPr="00183979">
        <w:rPr>
          <w:rFonts w:ascii="Arial Narrow" w:hAnsi="Arial Narrow"/>
          <w:sz w:val="24"/>
          <w:szCs w:val="24"/>
        </w:rPr>
        <w:t xml:space="preserve">, </w:t>
      </w:r>
      <w:r w:rsidR="00183979">
        <w:rPr>
          <w:rFonts w:ascii="Arial Narrow" w:hAnsi="Arial Narrow"/>
          <w:sz w:val="24"/>
          <w:szCs w:val="24"/>
        </w:rPr>
        <w:t xml:space="preserve">βίζα </w:t>
      </w:r>
      <w:r w:rsidR="00183979">
        <w:rPr>
          <w:rFonts w:ascii="Arial Narrow" w:hAnsi="Arial Narrow"/>
          <w:sz w:val="24"/>
          <w:szCs w:val="24"/>
          <w:lang w:val="en-US"/>
        </w:rPr>
        <w:t>Schengen</w:t>
      </w:r>
      <w:r w:rsidR="00183979" w:rsidRPr="00183979">
        <w:rPr>
          <w:rFonts w:ascii="Arial Narrow" w:hAnsi="Arial Narrow"/>
          <w:sz w:val="24"/>
          <w:szCs w:val="24"/>
        </w:rPr>
        <w:t xml:space="preserve"> </w:t>
      </w:r>
      <w:r w:rsidR="00AF039A">
        <w:rPr>
          <w:rFonts w:ascii="Arial Narrow" w:hAnsi="Arial Narrow"/>
          <w:sz w:val="24"/>
          <w:szCs w:val="24"/>
        </w:rPr>
        <w:t xml:space="preserve">και οι εύκολες αεροπορικές συνδέσεις. Οι περισσότεροι επισκέπτες ανήκουν στις κατηγορίες υψηλού εισοδήματος, επιχειρηματίες, οικογένειες, οι επαγγελματίες, τα στελέχη μεγάλων πολυεθνικών επιχειρήσεων και οι αλλοδαποί υψηλής αγοραστικής δύναμης. Οι ανωτέρω κατηγορίες τουριστών χαρακτηρίζονται από υψηλή κατά κεφαλή δαπάνη, προτίμηση σε ξενοδοχεία 5 αστέρων, χρήση ιδιωτικών μεταφορών, </w:t>
      </w:r>
      <w:r w:rsidR="00AF039A">
        <w:rPr>
          <w:rFonts w:ascii="Arial Narrow" w:hAnsi="Arial Narrow"/>
          <w:sz w:val="24"/>
          <w:szCs w:val="24"/>
          <w:lang w:val="en-US"/>
        </w:rPr>
        <w:t>luxury</w:t>
      </w:r>
      <w:r w:rsidR="00AF039A" w:rsidRPr="00AF039A">
        <w:rPr>
          <w:rFonts w:ascii="Arial Narrow" w:hAnsi="Arial Narrow"/>
          <w:sz w:val="24"/>
          <w:szCs w:val="24"/>
        </w:rPr>
        <w:t xml:space="preserve"> </w:t>
      </w:r>
      <w:r w:rsidR="00AF039A">
        <w:rPr>
          <w:rFonts w:ascii="Arial Narrow" w:hAnsi="Arial Narrow"/>
          <w:sz w:val="24"/>
          <w:szCs w:val="24"/>
        </w:rPr>
        <w:t>εμπειρίες και πολυτελείς αγορές</w:t>
      </w:r>
      <w:r w:rsidR="003D3446">
        <w:rPr>
          <w:rFonts w:ascii="Arial Narrow" w:hAnsi="Arial Narrow"/>
          <w:sz w:val="24"/>
          <w:szCs w:val="24"/>
        </w:rPr>
        <w:t>.</w:t>
      </w:r>
    </w:p>
    <w:p w14:paraId="74B71E0F" w14:textId="47386433" w:rsidR="00AF039A" w:rsidRPr="00817F84" w:rsidRDefault="00AF039A" w:rsidP="00025D9B">
      <w:pPr>
        <w:jc w:val="both"/>
        <w:rPr>
          <w:rFonts w:ascii="Arial Narrow" w:hAnsi="Arial Narrow"/>
          <w:b/>
          <w:color w:val="4F81BD" w:themeColor="accent1"/>
          <w:sz w:val="24"/>
          <w:szCs w:val="24"/>
        </w:rPr>
      </w:pPr>
      <w:r w:rsidRPr="00817F84">
        <w:rPr>
          <w:rFonts w:ascii="Arial Narrow" w:hAnsi="Arial Narrow"/>
          <w:b/>
          <w:color w:val="4F81BD" w:themeColor="accent1"/>
          <w:sz w:val="24"/>
          <w:szCs w:val="24"/>
        </w:rPr>
        <w:t xml:space="preserve">5.3. Κυριότεροι ελληνικοί προορισμοί </w:t>
      </w:r>
    </w:p>
    <w:p w14:paraId="5968E147" w14:textId="37EC7CD9" w:rsidR="00AF039A" w:rsidRDefault="00AF039A" w:rsidP="00025D9B">
      <w:pPr>
        <w:jc w:val="both"/>
        <w:rPr>
          <w:rFonts w:ascii="Arial Narrow" w:hAnsi="Arial Narrow"/>
          <w:sz w:val="24"/>
          <w:szCs w:val="24"/>
        </w:rPr>
      </w:pPr>
      <w:r>
        <w:rPr>
          <w:rFonts w:ascii="Arial Narrow" w:hAnsi="Arial Narrow"/>
          <w:sz w:val="24"/>
          <w:szCs w:val="24"/>
        </w:rPr>
        <w:t>ΟΙ δημοφιλέστεροι ελληνικοί προορισμοί είναι η Αθήνα, η Μύκονος, η Σαντορίνη, η Κρήτη, η Ρόδος, η Κέρκυρα, η Χαλκιδική, η Πελοπόννησος, η Πάρος και η Νάξος.</w:t>
      </w:r>
    </w:p>
    <w:p w14:paraId="067E6907" w14:textId="27468DA6" w:rsidR="00AF039A" w:rsidRPr="00817F84" w:rsidRDefault="00AF039A" w:rsidP="00025D9B">
      <w:pPr>
        <w:jc w:val="both"/>
        <w:rPr>
          <w:rFonts w:ascii="Arial Narrow" w:hAnsi="Arial Narrow"/>
          <w:b/>
          <w:color w:val="4F81BD" w:themeColor="accent1"/>
          <w:sz w:val="24"/>
          <w:szCs w:val="24"/>
        </w:rPr>
      </w:pPr>
      <w:r w:rsidRPr="00817F84">
        <w:rPr>
          <w:rFonts w:ascii="Arial Narrow" w:hAnsi="Arial Narrow"/>
          <w:b/>
          <w:color w:val="4F81BD" w:themeColor="accent1"/>
          <w:sz w:val="24"/>
          <w:szCs w:val="24"/>
        </w:rPr>
        <w:t>5.4. Εποχικότητα</w:t>
      </w:r>
    </w:p>
    <w:p w14:paraId="58B4DE1F" w14:textId="60A508C1" w:rsidR="00AF039A" w:rsidRDefault="00AF039A" w:rsidP="00025D9B">
      <w:pPr>
        <w:jc w:val="both"/>
        <w:rPr>
          <w:rFonts w:ascii="Arial Narrow" w:hAnsi="Arial Narrow"/>
          <w:sz w:val="24"/>
          <w:szCs w:val="24"/>
        </w:rPr>
      </w:pPr>
      <w:r>
        <w:rPr>
          <w:rFonts w:ascii="Arial Narrow" w:hAnsi="Arial Narrow"/>
          <w:sz w:val="24"/>
          <w:szCs w:val="24"/>
        </w:rPr>
        <w:t>Η μεγαλύτερη ζήτηση παρατηρείται τους μήνες Μ</w:t>
      </w:r>
      <w:r w:rsidR="003D3446">
        <w:rPr>
          <w:rFonts w:ascii="Arial Narrow" w:hAnsi="Arial Narrow"/>
          <w:sz w:val="24"/>
          <w:szCs w:val="24"/>
        </w:rPr>
        <w:t xml:space="preserve">άϊο, Ιούνιο, Ιούλιο, Αύγουστο και Σεπτέμβριο. Αναπτύσσεται όμως πλέον και χειμερινός τουρισμός, </w:t>
      </w:r>
      <w:r w:rsidR="003D3446">
        <w:rPr>
          <w:rFonts w:ascii="Arial Narrow" w:hAnsi="Arial Narrow"/>
          <w:sz w:val="24"/>
          <w:szCs w:val="24"/>
          <w:lang w:val="en-US"/>
        </w:rPr>
        <w:t>city</w:t>
      </w:r>
      <w:r w:rsidR="003D3446" w:rsidRPr="003D3446">
        <w:rPr>
          <w:rFonts w:ascii="Arial Narrow" w:hAnsi="Arial Narrow"/>
          <w:sz w:val="24"/>
          <w:szCs w:val="24"/>
        </w:rPr>
        <w:t xml:space="preserve"> </w:t>
      </w:r>
      <w:r w:rsidR="003D3446">
        <w:rPr>
          <w:rFonts w:ascii="Arial Narrow" w:hAnsi="Arial Narrow"/>
          <w:sz w:val="24"/>
          <w:szCs w:val="24"/>
          <w:lang w:val="en-US"/>
        </w:rPr>
        <w:t>breaks</w:t>
      </w:r>
      <w:r w:rsidR="003D3446" w:rsidRPr="003D3446">
        <w:rPr>
          <w:rFonts w:ascii="Arial Narrow" w:hAnsi="Arial Narrow"/>
          <w:sz w:val="24"/>
          <w:szCs w:val="24"/>
        </w:rPr>
        <w:t xml:space="preserve">, </w:t>
      </w:r>
      <w:r w:rsidR="003D3446">
        <w:rPr>
          <w:rFonts w:ascii="Arial Narrow" w:hAnsi="Arial Narrow"/>
          <w:sz w:val="24"/>
          <w:szCs w:val="24"/>
        </w:rPr>
        <w:t xml:space="preserve">συνέδρια και </w:t>
      </w:r>
      <w:r w:rsidR="003D3446">
        <w:rPr>
          <w:rFonts w:ascii="Arial Narrow" w:hAnsi="Arial Narrow"/>
          <w:sz w:val="24"/>
          <w:szCs w:val="24"/>
          <w:lang w:val="en-US"/>
        </w:rPr>
        <w:t>luxury</w:t>
      </w:r>
      <w:r w:rsidR="003D3446" w:rsidRPr="003D3446">
        <w:rPr>
          <w:rFonts w:ascii="Arial Narrow" w:hAnsi="Arial Narrow"/>
          <w:sz w:val="24"/>
          <w:szCs w:val="24"/>
        </w:rPr>
        <w:t xml:space="preserve"> </w:t>
      </w:r>
      <w:r w:rsidR="003D3446">
        <w:rPr>
          <w:rFonts w:ascii="Arial Narrow" w:hAnsi="Arial Narrow"/>
          <w:sz w:val="24"/>
          <w:szCs w:val="24"/>
          <w:lang w:val="en-US"/>
        </w:rPr>
        <w:t>weekends</w:t>
      </w:r>
      <w:r w:rsidR="003D3446" w:rsidRPr="003D3446">
        <w:rPr>
          <w:rFonts w:ascii="Arial Narrow" w:hAnsi="Arial Narrow"/>
          <w:sz w:val="24"/>
          <w:szCs w:val="24"/>
        </w:rPr>
        <w:t xml:space="preserve">. </w:t>
      </w:r>
    </w:p>
    <w:p w14:paraId="364DBF69" w14:textId="01A56EC5" w:rsidR="003D3446" w:rsidRPr="00817F84" w:rsidRDefault="003D3446" w:rsidP="00025D9B">
      <w:pPr>
        <w:jc w:val="both"/>
        <w:rPr>
          <w:rFonts w:ascii="Arial Narrow" w:hAnsi="Arial Narrow"/>
          <w:b/>
          <w:color w:val="4F81BD" w:themeColor="accent1"/>
          <w:sz w:val="24"/>
          <w:szCs w:val="24"/>
        </w:rPr>
      </w:pPr>
      <w:r w:rsidRPr="00817F84">
        <w:rPr>
          <w:rFonts w:ascii="Arial Narrow" w:hAnsi="Arial Narrow"/>
          <w:b/>
          <w:color w:val="4F81BD" w:themeColor="accent1"/>
          <w:sz w:val="24"/>
          <w:szCs w:val="24"/>
        </w:rPr>
        <w:t xml:space="preserve">5.5. Αεροπορική Συνδεσιμότητα </w:t>
      </w:r>
    </w:p>
    <w:p w14:paraId="42973603" w14:textId="48186E35" w:rsidR="003D3446" w:rsidRDefault="003D3446" w:rsidP="00025D9B">
      <w:pPr>
        <w:jc w:val="both"/>
        <w:rPr>
          <w:rFonts w:ascii="Arial Narrow" w:hAnsi="Arial Narrow"/>
          <w:b/>
          <w:sz w:val="24"/>
          <w:szCs w:val="24"/>
        </w:rPr>
      </w:pPr>
      <w:r>
        <w:rPr>
          <w:rFonts w:ascii="Arial Narrow" w:hAnsi="Arial Narrow"/>
          <w:sz w:val="24"/>
          <w:szCs w:val="24"/>
        </w:rPr>
        <w:t xml:space="preserve">Η αύξηση των τουριστικών ροών οφείλεται κυρίως στην άριστη αεροπορική διασύνδεση. Απευθείας πτήσεις υπάρχουν Ντουμπάϊ – Αθήνα, Αμπου Ντάμπι – Αθήνα (εποχιακά ή ανάλογα με τον προγραμματισμό και εποχικές συνδέσεις προς ελληνικά νησιά μέσω συνεργασιών. Ιδίαιτερη σημασία έχει η στρατηγική συνεργασία μεταξύ της </w:t>
      </w:r>
      <w:r>
        <w:rPr>
          <w:rFonts w:ascii="Arial Narrow" w:hAnsi="Arial Narrow"/>
          <w:sz w:val="24"/>
          <w:szCs w:val="24"/>
          <w:lang w:val="en-US"/>
        </w:rPr>
        <w:t>EMIRATES</w:t>
      </w:r>
      <w:r w:rsidRPr="003D3446">
        <w:rPr>
          <w:rFonts w:ascii="Arial Narrow" w:hAnsi="Arial Narrow"/>
          <w:sz w:val="24"/>
          <w:szCs w:val="24"/>
        </w:rPr>
        <w:t xml:space="preserve"> </w:t>
      </w:r>
      <w:r>
        <w:rPr>
          <w:rFonts w:ascii="Arial Narrow" w:hAnsi="Arial Narrow"/>
          <w:sz w:val="24"/>
          <w:szCs w:val="24"/>
        </w:rPr>
        <w:t xml:space="preserve">και της </w:t>
      </w:r>
      <w:r>
        <w:rPr>
          <w:rFonts w:ascii="Arial Narrow" w:hAnsi="Arial Narrow"/>
          <w:sz w:val="24"/>
          <w:szCs w:val="24"/>
          <w:lang w:val="en-US"/>
        </w:rPr>
        <w:t>AEGEAN</w:t>
      </w:r>
      <w:r w:rsidRPr="003D3446">
        <w:rPr>
          <w:rFonts w:ascii="Arial Narrow" w:hAnsi="Arial Narrow"/>
          <w:sz w:val="24"/>
          <w:szCs w:val="24"/>
        </w:rPr>
        <w:t xml:space="preserve"> </w:t>
      </w:r>
      <w:r>
        <w:rPr>
          <w:rFonts w:ascii="Arial Narrow" w:hAnsi="Arial Narrow"/>
          <w:sz w:val="24"/>
          <w:szCs w:val="24"/>
          <w:lang w:val="en-US"/>
        </w:rPr>
        <w:t>AIRLINES</w:t>
      </w:r>
      <w:r w:rsidRPr="003D3446">
        <w:rPr>
          <w:rFonts w:ascii="Arial Narrow" w:hAnsi="Arial Narrow"/>
          <w:sz w:val="24"/>
          <w:szCs w:val="24"/>
        </w:rPr>
        <w:t xml:space="preserve">, </w:t>
      </w:r>
      <w:r w:rsidR="00F30F3B">
        <w:rPr>
          <w:rFonts w:ascii="Arial Narrow" w:hAnsi="Arial Narrow"/>
          <w:sz w:val="24"/>
          <w:szCs w:val="24"/>
        </w:rPr>
        <w:t>η οποία μέσω συμφωνιών κοινού κωδικού (</w:t>
      </w:r>
      <w:r w:rsidR="00F30F3B">
        <w:rPr>
          <w:rFonts w:ascii="Arial Narrow" w:hAnsi="Arial Narrow"/>
          <w:sz w:val="24"/>
          <w:szCs w:val="24"/>
          <w:lang w:val="en-US"/>
        </w:rPr>
        <w:t>codeshare</w:t>
      </w:r>
      <w:r w:rsidR="00F30F3B" w:rsidRPr="00F30F3B">
        <w:rPr>
          <w:rFonts w:ascii="Arial Narrow" w:hAnsi="Arial Narrow"/>
          <w:sz w:val="24"/>
          <w:szCs w:val="24"/>
        </w:rPr>
        <w:t xml:space="preserve">) </w:t>
      </w:r>
      <w:r w:rsidR="00F30F3B">
        <w:rPr>
          <w:rFonts w:ascii="Arial Narrow" w:hAnsi="Arial Narrow"/>
          <w:sz w:val="24"/>
          <w:szCs w:val="24"/>
        </w:rPr>
        <w:t>διευρύνει την πρόσβαση των επιβατών προς ελληνικούς προορισμούς καθόλη τη διάρκεια του έτους</w:t>
      </w:r>
      <w:r w:rsidR="00475D37">
        <w:rPr>
          <w:rFonts w:ascii="Arial Narrow" w:hAnsi="Arial Narrow"/>
          <w:sz w:val="24"/>
          <w:szCs w:val="24"/>
        </w:rPr>
        <w:t xml:space="preserve">. </w:t>
      </w:r>
      <w:r w:rsidR="00475D37">
        <w:rPr>
          <w:rFonts w:ascii="Arial Narrow" w:hAnsi="Arial Narrow"/>
          <w:b/>
          <w:sz w:val="24"/>
          <w:szCs w:val="24"/>
        </w:rPr>
        <w:t xml:space="preserve">Στο σημείο αυτό οφείλουμε να τονίσουμε ότι λόγω της τεταμένης κατάστασης που επικρατεί στον Αραβικό Κόλπο και στην ευρύτερη περιοχή της Μέσης Ανατολής, η </w:t>
      </w:r>
      <w:r w:rsidR="00475D37">
        <w:rPr>
          <w:rFonts w:ascii="Arial Narrow" w:hAnsi="Arial Narrow"/>
          <w:b/>
          <w:sz w:val="24"/>
          <w:szCs w:val="24"/>
          <w:lang w:val="en-US"/>
        </w:rPr>
        <w:t>AEGEAN</w:t>
      </w:r>
      <w:r w:rsidR="00475D37" w:rsidRPr="00475D37">
        <w:rPr>
          <w:rFonts w:ascii="Arial Narrow" w:hAnsi="Arial Narrow"/>
          <w:b/>
          <w:sz w:val="24"/>
          <w:szCs w:val="24"/>
        </w:rPr>
        <w:t xml:space="preserve"> </w:t>
      </w:r>
      <w:r w:rsidR="00475D37">
        <w:rPr>
          <w:rFonts w:ascii="Arial Narrow" w:hAnsi="Arial Narrow"/>
          <w:b/>
          <w:sz w:val="24"/>
          <w:szCs w:val="24"/>
          <w:lang w:val="en-US"/>
        </w:rPr>
        <w:t>AIRLINES</w:t>
      </w:r>
      <w:r w:rsidR="00475D37" w:rsidRPr="00475D37">
        <w:rPr>
          <w:rFonts w:ascii="Arial Narrow" w:hAnsi="Arial Narrow"/>
          <w:b/>
          <w:sz w:val="24"/>
          <w:szCs w:val="24"/>
        </w:rPr>
        <w:t xml:space="preserve"> </w:t>
      </w:r>
      <w:r w:rsidR="00475D37">
        <w:rPr>
          <w:rFonts w:ascii="Arial Narrow" w:hAnsi="Arial Narrow"/>
          <w:b/>
          <w:sz w:val="24"/>
          <w:szCs w:val="24"/>
        </w:rPr>
        <w:t xml:space="preserve">όπως και άλλες ευρωπαϊκές αεροπορικές εταιρείες έχουν διακόψει, το αργότερο έως τα τέλη Αυγούστου τ.ε., τις απευθείας πτήσεις τους τόσο από Ντουμπάϊ, όσο και από Αμπου – Ντάμπι. </w:t>
      </w:r>
    </w:p>
    <w:p w14:paraId="6C48BE05" w14:textId="52F07D9C" w:rsidR="00475D37" w:rsidRDefault="00475D37" w:rsidP="00025D9B">
      <w:pPr>
        <w:jc w:val="both"/>
        <w:rPr>
          <w:rFonts w:ascii="Arial Narrow" w:hAnsi="Arial Narrow"/>
          <w:b/>
          <w:color w:val="1F497D" w:themeColor="text2"/>
          <w:sz w:val="24"/>
          <w:szCs w:val="24"/>
        </w:rPr>
      </w:pPr>
      <w:r>
        <w:rPr>
          <w:rFonts w:ascii="Arial Narrow" w:hAnsi="Arial Narrow"/>
          <w:b/>
          <w:color w:val="1F497D" w:themeColor="text2"/>
          <w:sz w:val="24"/>
          <w:szCs w:val="24"/>
        </w:rPr>
        <w:t>5.6. Τουριστική Δαπάνη</w:t>
      </w:r>
    </w:p>
    <w:p w14:paraId="6F0FA5C2" w14:textId="33D65F23" w:rsidR="00475D37" w:rsidRDefault="00475D37" w:rsidP="00025D9B">
      <w:pPr>
        <w:jc w:val="both"/>
        <w:rPr>
          <w:rFonts w:ascii="Arial Narrow" w:hAnsi="Arial Narrow"/>
          <w:sz w:val="24"/>
          <w:szCs w:val="24"/>
        </w:rPr>
      </w:pPr>
      <w:r>
        <w:rPr>
          <w:rFonts w:ascii="Arial Narrow" w:hAnsi="Arial Narrow"/>
          <w:sz w:val="24"/>
          <w:szCs w:val="24"/>
        </w:rPr>
        <w:t xml:space="preserve">Οι επισκέπτες από τα ΗΑΕ εμφανίζουν ιδιαίτερα υψηλή δαπάνη  λόγω των πολυτελών ξενοδοχείων, </w:t>
      </w:r>
      <w:r>
        <w:rPr>
          <w:rFonts w:ascii="Arial Narrow" w:hAnsi="Arial Narrow"/>
          <w:sz w:val="24"/>
          <w:szCs w:val="24"/>
          <w:lang w:val="en-US"/>
        </w:rPr>
        <w:t>luxury</w:t>
      </w:r>
      <w:r w:rsidRPr="00475D37">
        <w:rPr>
          <w:rFonts w:ascii="Arial Narrow" w:hAnsi="Arial Narrow"/>
          <w:sz w:val="24"/>
          <w:szCs w:val="24"/>
        </w:rPr>
        <w:t xml:space="preserve"> </w:t>
      </w:r>
      <w:r>
        <w:rPr>
          <w:rFonts w:ascii="Arial Narrow" w:hAnsi="Arial Narrow"/>
          <w:sz w:val="24"/>
          <w:szCs w:val="24"/>
          <w:lang w:val="en-US"/>
        </w:rPr>
        <w:t>shopping</w:t>
      </w:r>
      <w:r w:rsidRPr="00475D37">
        <w:rPr>
          <w:rFonts w:ascii="Arial Narrow" w:hAnsi="Arial Narrow"/>
          <w:sz w:val="24"/>
          <w:szCs w:val="24"/>
        </w:rPr>
        <w:t xml:space="preserve">, </w:t>
      </w:r>
      <w:r w:rsidR="00DA7EB7">
        <w:rPr>
          <w:rFonts w:ascii="Arial Narrow" w:hAnsi="Arial Narrow"/>
          <w:sz w:val="24"/>
          <w:szCs w:val="24"/>
          <w:lang w:val="en-US"/>
        </w:rPr>
        <w:t>VIP</w:t>
      </w:r>
      <w:r w:rsidR="00DA7EB7" w:rsidRPr="00DA7EB7">
        <w:rPr>
          <w:rFonts w:ascii="Arial Narrow" w:hAnsi="Arial Narrow"/>
          <w:sz w:val="24"/>
          <w:szCs w:val="24"/>
        </w:rPr>
        <w:t xml:space="preserve"> </w:t>
      </w:r>
      <w:r w:rsidR="00DA7EB7">
        <w:rPr>
          <w:rFonts w:ascii="Arial Narrow" w:hAnsi="Arial Narrow"/>
          <w:sz w:val="24"/>
          <w:szCs w:val="24"/>
        </w:rPr>
        <w:t xml:space="preserve">μετακινήσεων και ιδιωτικών ξεναγήσεων. Αποτελούν μία από τις πλέον αποδοτικές αγορές για τον ελληνικό τουρισμό. </w:t>
      </w:r>
    </w:p>
    <w:p w14:paraId="420C8141" w14:textId="4A1FEC0F" w:rsidR="00DA7EB7" w:rsidRDefault="00DA7EB7" w:rsidP="00025D9B">
      <w:pPr>
        <w:jc w:val="both"/>
        <w:rPr>
          <w:rFonts w:ascii="Arial Narrow" w:hAnsi="Arial Narrow"/>
          <w:b/>
          <w:color w:val="1F497D" w:themeColor="text2"/>
          <w:sz w:val="24"/>
          <w:szCs w:val="24"/>
        </w:rPr>
      </w:pPr>
      <w:r>
        <w:rPr>
          <w:rFonts w:ascii="Arial Narrow" w:hAnsi="Arial Narrow"/>
          <w:b/>
          <w:color w:val="1F497D" w:themeColor="text2"/>
          <w:sz w:val="24"/>
          <w:szCs w:val="24"/>
        </w:rPr>
        <w:t xml:space="preserve">5.7. Είδη τουρισμού με σημαντικές προοπτικές </w:t>
      </w:r>
    </w:p>
    <w:p w14:paraId="45AFCD6C" w14:textId="2844FA9D" w:rsidR="00DA7EB7" w:rsidRDefault="00DA7EB7" w:rsidP="00025D9B">
      <w:pPr>
        <w:jc w:val="both"/>
        <w:rPr>
          <w:rFonts w:ascii="Arial Narrow" w:hAnsi="Arial Narrow"/>
          <w:sz w:val="24"/>
          <w:szCs w:val="24"/>
        </w:rPr>
      </w:pPr>
      <w:r>
        <w:rPr>
          <w:rFonts w:ascii="Arial Narrow" w:hAnsi="Arial Narrow"/>
          <w:b/>
          <w:color w:val="1F497D" w:themeColor="text2"/>
          <w:sz w:val="24"/>
          <w:szCs w:val="24"/>
          <w:lang w:val="en-US"/>
        </w:rPr>
        <w:t>Luxury</w:t>
      </w:r>
      <w:r w:rsidRPr="00DA7EB7">
        <w:rPr>
          <w:rFonts w:ascii="Arial Narrow" w:hAnsi="Arial Narrow"/>
          <w:b/>
          <w:color w:val="1F497D" w:themeColor="text2"/>
          <w:sz w:val="24"/>
          <w:szCs w:val="24"/>
        </w:rPr>
        <w:t xml:space="preserve"> </w:t>
      </w:r>
      <w:r>
        <w:rPr>
          <w:rFonts w:ascii="Arial Narrow" w:hAnsi="Arial Narrow"/>
          <w:b/>
          <w:color w:val="1F497D" w:themeColor="text2"/>
          <w:sz w:val="24"/>
          <w:szCs w:val="24"/>
          <w:lang w:val="en-US"/>
        </w:rPr>
        <w:t>Tourism</w:t>
      </w:r>
      <w:r w:rsidRPr="00DA7EB7">
        <w:rPr>
          <w:rFonts w:ascii="Arial Narrow" w:hAnsi="Arial Narrow"/>
          <w:b/>
          <w:color w:val="1F497D" w:themeColor="text2"/>
          <w:sz w:val="24"/>
          <w:szCs w:val="24"/>
        </w:rPr>
        <w:t xml:space="preserve"> – </w:t>
      </w:r>
      <w:r>
        <w:rPr>
          <w:rFonts w:ascii="Arial Narrow" w:hAnsi="Arial Narrow"/>
          <w:sz w:val="24"/>
          <w:szCs w:val="24"/>
        </w:rPr>
        <w:t>Τα</w:t>
      </w:r>
      <w:r w:rsidRPr="00DA7EB7">
        <w:rPr>
          <w:rFonts w:ascii="Arial Narrow" w:hAnsi="Arial Narrow"/>
          <w:sz w:val="24"/>
          <w:szCs w:val="24"/>
        </w:rPr>
        <w:t xml:space="preserve"> </w:t>
      </w:r>
      <w:r>
        <w:rPr>
          <w:rFonts w:ascii="Arial Narrow" w:hAnsi="Arial Narrow"/>
          <w:sz w:val="24"/>
          <w:szCs w:val="24"/>
        </w:rPr>
        <w:t>ΗΑΕ</w:t>
      </w:r>
      <w:r w:rsidRPr="00DA7EB7">
        <w:rPr>
          <w:rFonts w:ascii="Arial Narrow" w:hAnsi="Arial Narrow"/>
          <w:sz w:val="24"/>
          <w:szCs w:val="24"/>
        </w:rPr>
        <w:t xml:space="preserve"> </w:t>
      </w:r>
      <w:r>
        <w:rPr>
          <w:rFonts w:ascii="Arial Narrow" w:hAnsi="Arial Narrow"/>
          <w:sz w:val="24"/>
          <w:szCs w:val="24"/>
        </w:rPr>
        <w:t xml:space="preserve">αποτελούν τη σημαντικότερη αγορά </w:t>
      </w:r>
    </w:p>
    <w:p w14:paraId="794F0EE8" w14:textId="469F12A5" w:rsidR="00DA7EB7" w:rsidRDefault="00DA7EB7" w:rsidP="00025D9B">
      <w:pPr>
        <w:jc w:val="both"/>
        <w:rPr>
          <w:rFonts w:ascii="Arial Narrow" w:hAnsi="Arial Narrow"/>
          <w:sz w:val="24"/>
          <w:szCs w:val="24"/>
        </w:rPr>
      </w:pPr>
      <w:r>
        <w:rPr>
          <w:rFonts w:ascii="Arial Narrow" w:hAnsi="Arial Narrow"/>
          <w:b/>
          <w:color w:val="1F497D" w:themeColor="text2"/>
          <w:sz w:val="24"/>
          <w:szCs w:val="24"/>
          <w:lang w:val="en-US"/>
        </w:rPr>
        <w:t>Medical</w:t>
      </w:r>
      <w:r w:rsidRPr="00DD4BBC">
        <w:rPr>
          <w:rFonts w:ascii="Arial Narrow" w:hAnsi="Arial Narrow"/>
          <w:b/>
          <w:color w:val="1F497D" w:themeColor="text2"/>
          <w:sz w:val="24"/>
          <w:szCs w:val="24"/>
        </w:rPr>
        <w:t xml:space="preserve"> </w:t>
      </w:r>
      <w:r>
        <w:rPr>
          <w:rFonts w:ascii="Arial Narrow" w:hAnsi="Arial Narrow"/>
          <w:b/>
          <w:color w:val="1F497D" w:themeColor="text2"/>
          <w:sz w:val="24"/>
          <w:szCs w:val="24"/>
          <w:lang w:val="en-US"/>
        </w:rPr>
        <w:t>Tourism</w:t>
      </w:r>
      <w:r w:rsidRPr="00DD4BBC">
        <w:rPr>
          <w:rFonts w:ascii="Arial Narrow" w:hAnsi="Arial Narrow"/>
          <w:b/>
          <w:color w:val="1F497D" w:themeColor="text2"/>
          <w:sz w:val="24"/>
          <w:szCs w:val="24"/>
        </w:rPr>
        <w:t xml:space="preserve"> </w:t>
      </w:r>
      <w:r w:rsidR="00DD4BBC" w:rsidRPr="00DD4BBC">
        <w:rPr>
          <w:rFonts w:ascii="Arial Narrow" w:hAnsi="Arial Narrow"/>
          <w:b/>
          <w:color w:val="1F497D" w:themeColor="text2"/>
          <w:sz w:val="24"/>
          <w:szCs w:val="24"/>
        </w:rPr>
        <w:t>–</w:t>
      </w:r>
      <w:r w:rsidRPr="00DD4BBC">
        <w:rPr>
          <w:rFonts w:ascii="Arial Narrow" w:hAnsi="Arial Narrow"/>
          <w:b/>
          <w:color w:val="1F497D" w:themeColor="text2"/>
          <w:sz w:val="24"/>
          <w:szCs w:val="24"/>
        </w:rPr>
        <w:t xml:space="preserve"> </w:t>
      </w:r>
      <w:r w:rsidR="00DD4BBC">
        <w:rPr>
          <w:rFonts w:ascii="Arial Narrow" w:hAnsi="Arial Narrow"/>
          <w:sz w:val="24"/>
          <w:szCs w:val="24"/>
        </w:rPr>
        <w:t>τα</w:t>
      </w:r>
      <w:r w:rsidR="00DD4BBC" w:rsidRPr="00DD4BBC">
        <w:rPr>
          <w:rFonts w:ascii="Arial Narrow" w:hAnsi="Arial Narrow"/>
          <w:sz w:val="24"/>
          <w:szCs w:val="24"/>
        </w:rPr>
        <w:t xml:space="preserve"> </w:t>
      </w:r>
      <w:r w:rsidR="00DD4BBC">
        <w:rPr>
          <w:rFonts w:ascii="Arial Narrow" w:hAnsi="Arial Narrow"/>
          <w:sz w:val="24"/>
          <w:szCs w:val="24"/>
        </w:rPr>
        <w:t>ΗΑΕ</w:t>
      </w:r>
      <w:r w:rsidR="00DD4BBC" w:rsidRPr="00DD4BBC">
        <w:rPr>
          <w:rFonts w:ascii="Arial Narrow" w:hAnsi="Arial Narrow"/>
          <w:sz w:val="24"/>
          <w:szCs w:val="24"/>
        </w:rPr>
        <w:t xml:space="preserve"> </w:t>
      </w:r>
      <w:r w:rsidR="00DD4BBC">
        <w:rPr>
          <w:rFonts w:ascii="Arial Narrow" w:hAnsi="Arial Narrow"/>
          <w:sz w:val="24"/>
          <w:szCs w:val="24"/>
        </w:rPr>
        <w:t xml:space="preserve">προσφέρουν μεγαλύτερες δυνατότητες ανάπτυξης σε αποκατάσταση, </w:t>
      </w:r>
      <w:r w:rsidR="00DD4BBC">
        <w:rPr>
          <w:rFonts w:ascii="Arial Narrow" w:hAnsi="Arial Narrow"/>
          <w:sz w:val="24"/>
          <w:szCs w:val="24"/>
          <w:lang w:val="en-US"/>
        </w:rPr>
        <w:t>IVF</w:t>
      </w:r>
      <w:r w:rsidR="00DD4BBC" w:rsidRPr="00DD4BBC">
        <w:rPr>
          <w:rFonts w:ascii="Arial Narrow" w:hAnsi="Arial Narrow"/>
          <w:sz w:val="24"/>
          <w:szCs w:val="24"/>
        </w:rPr>
        <w:t xml:space="preserve">, </w:t>
      </w:r>
      <w:r w:rsidR="00DD4BBC">
        <w:rPr>
          <w:rFonts w:ascii="Arial Narrow" w:hAnsi="Arial Narrow"/>
          <w:sz w:val="24"/>
          <w:szCs w:val="24"/>
        </w:rPr>
        <w:t xml:space="preserve">ορθοπεδικές υπηρεσίες και αισθητική ιατρική. </w:t>
      </w:r>
    </w:p>
    <w:p w14:paraId="5F9B2CFE" w14:textId="40A909C0" w:rsidR="00DD4BBC" w:rsidRDefault="00DD4BBC" w:rsidP="00025D9B">
      <w:pPr>
        <w:jc w:val="both"/>
        <w:rPr>
          <w:rFonts w:ascii="Arial Narrow" w:hAnsi="Arial Narrow"/>
          <w:sz w:val="24"/>
          <w:szCs w:val="24"/>
          <w:lang w:val="en-US"/>
        </w:rPr>
      </w:pPr>
      <w:r>
        <w:rPr>
          <w:rFonts w:ascii="Arial Narrow" w:hAnsi="Arial Narrow"/>
          <w:b/>
          <w:color w:val="1F497D" w:themeColor="text2"/>
          <w:sz w:val="24"/>
          <w:szCs w:val="24"/>
          <w:lang w:val="en-US"/>
        </w:rPr>
        <w:t>Wellness</w:t>
      </w:r>
      <w:r w:rsidRPr="001B1CAC">
        <w:rPr>
          <w:rFonts w:ascii="Arial Narrow" w:hAnsi="Arial Narrow"/>
          <w:b/>
          <w:color w:val="1F497D" w:themeColor="text2"/>
          <w:sz w:val="24"/>
          <w:szCs w:val="24"/>
          <w:lang w:val="en-AE"/>
        </w:rPr>
        <w:t xml:space="preserve"> </w:t>
      </w:r>
      <w:r>
        <w:rPr>
          <w:rFonts w:ascii="Arial Narrow" w:hAnsi="Arial Narrow"/>
          <w:b/>
          <w:color w:val="1F497D" w:themeColor="text2"/>
          <w:sz w:val="24"/>
          <w:szCs w:val="24"/>
          <w:lang w:val="en-US"/>
        </w:rPr>
        <w:t>Tourism</w:t>
      </w:r>
      <w:r w:rsidRPr="001B1CAC">
        <w:rPr>
          <w:rFonts w:ascii="Arial Narrow" w:hAnsi="Arial Narrow"/>
          <w:b/>
          <w:color w:val="1F497D" w:themeColor="text2"/>
          <w:sz w:val="24"/>
          <w:szCs w:val="24"/>
          <w:lang w:val="en-AE"/>
        </w:rPr>
        <w:t xml:space="preserve"> </w:t>
      </w:r>
      <w:r w:rsidR="001B1CAC" w:rsidRPr="001B1CAC">
        <w:rPr>
          <w:rFonts w:ascii="Arial Narrow" w:hAnsi="Arial Narrow"/>
          <w:b/>
          <w:color w:val="1F497D" w:themeColor="text2"/>
          <w:sz w:val="24"/>
          <w:szCs w:val="24"/>
          <w:lang w:val="en-AE"/>
        </w:rPr>
        <w:t>–</w:t>
      </w:r>
      <w:r w:rsidRPr="001B1CAC">
        <w:rPr>
          <w:rFonts w:ascii="Arial Narrow" w:hAnsi="Arial Narrow"/>
          <w:b/>
          <w:color w:val="1F497D" w:themeColor="text2"/>
          <w:sz w:val="24"/>
          <w:szCs w:val="24"/>
          <w:lang w:val="en-AE"/>
        </w:rPr>
        <w:t xml:space="preserve"> </w:t>
      </w:r>
      <w:r w:rsidR="001B1CAC">
        <w:rPr>
          <w:rFonts w:ascii="Arial Narrow" w:hAnsi="Arial Narrow"/>
          <w:sz w:val="24"/>
          <w:szCs w:val="24"/>
        </w:rPr>
        <w:t>τα</w:t>
      </w:r>
      <w:r w:rsidR="001B1CAC" w:rsidRPr="001B1CAC">
        <w:rPr>
          <w:rFonts w:ascii="Arial Narrow" w:hAnsi="Arial Narrow"/>
          <w:sz w:val="24"/>
          <w:szCs w:val="24"/>
          <w:lang w:val="en-AE"/>
        </w:rPr>
        <w:t xml:space="preserve"> </w:t>
      </w:r>
      <w:r w:rsidR="001B1CAC">
        <w:rPr>
          <w:rFonts w:ascii="Arial Narrow" w:hAnsi="Arial Narrow"/>
          <w:sz w:val="24"/>
          <w:szCs w:val="24"/>
        </w:rPr>
        <w:t>ΗΑΕ</w:t>
      </w:r>
      <w:r w:rsidR="001B1CAC" w:rsidRPr="001B1CAC">
        <w:rPr>
          <w:rFonts w:ascii="Arial Narrow" w:hAnsi="Arial Narrow"/>
          <w:sz w:val="24"/>
          <w:szCs w:val="24"/>
          <w:lang w:val="en-AE"/>
        </w:rPr>
        <w:t xml:space="preserve"> </w:t>
      </w:r>
      <w:r w:rsidR="001B1CAC">
        <w:rPr>
          <w:rFonts w:ascii="Arial Narrow" w:hAnsi="Arial Narrow"/>
          <w:sz w:val="24"/>
          <w:szCs w:val="24"/>
        </w:rPr>
        <w:t>διαθέτουν</w:t>
      </w:r>
      <w:r w:rsidR="001B1CAC" w:rsidRPr="001B1CAC">
        <w:rPr>
          <w:rFonts w:ascii="Arial Narrow" w:hAnsi="Arial Narrow"/>
          <w:sz w:val="24"/>
          <w:szCs w:val="24"/>
          <w:lang w:val="en-AE"/>
        </w:rPr>
        <w:t xml:space="preserve"> </w:t>
      </w:r>
      <w:r w:rsidR="001B1CAC">
        <w:rPr>
          <w:rFonts w:ascii="Arial Narrow" w:hAnsi="Arial Narrow"/>
          <w:sz w:val="24"/>
          <w:szCs w:val="24"/>
          <w:lang w:val="en-US"/>
        </w:rPr>
        <w:t>Spa, Thermal Tourism &amp; Yoga retreats.</w:t>
      </w:r>
    </w:p>
    <w:p w14:paraId="2FE7E9E9" w14:textId="3111F43F" w:rsidR="001B1CAC" w:rsidRDefault="001B1CAC" w:rsidP="00025D9B">
      <w:pPr>
        <w:jc w:val="both"/>
        <w:rPr>
          <w:rFonts w:ascii="Arial Narrow" w:hAnsi="Arial Narrow"/>
          <w:sz w:val="24"/>
          <w:szCs w:val="24"/>
          <w:lang w:val="en-US"/>
        </w:rPr>
      </w:pPr>
      <w:r w:rsidRPr="001B1CAC">
        <w:rPr>
          <w:rFonts w:ascii="Arial Narrow" w:hAnsi="Arial Narrow"/>
          <w:b/>
          <w:color w:val="1F497D" w:themeColor="text2"/>
          <w:sz w:val="24"/>
          <w:szCs w:val="24"/>
          <w:lang w:val="en-US"/>
        </w:rPr>
        <w:t>Gastronomy</w:t>
      </w:r>
      <w:r w:rsidRPr="008920EC">
        <w:rPr>
          <w:rFonts w:ascii="Arial Narrow" w:hAnsi="Arial Narrow"/>
          <w:b/>
          <w:color w:val="1F497D" w:themeColor="text2"/>
          <w:sz w:val="24"/>
          <w:szCs w:val="24"/>
          <w:lang w:val="en-US"/>
        </w:rPr>
        <w:t xml:space="preserve"> </w:t>
      </w:r>
      <w:r w:rsidRPr="001B1CAC">
        <w:rPr>
          <w:rFonts w:ascii="Arial Narrow" w:hAnsi="Arial Narrow"/>
          <w:b/>
          <w:color w:val="1F497D" w:themeColor="text2"/>
          <w:sz w:val="24"/>
          <w:szCs w:val="24"/>
          <w:lang w:val="en-US"/>
        </w:rPr>
        <w:t>Tourism</w:t>
      </w:r>
      <w:r w:rsidRPr="008920EC">
        <w:rPr>
          <w:rFonts w:ascii="Arial Narrow" w:hAnsi="Arial Narrow"/>
          <w:b/>
          <w:color w:val="1F497D" w:themeColor="text2"/>
          <w:sz w:val="24"/>
          <w:szCs w:val="24"/>
          <w:lang w:val="en-US"/>
        </w:rPr>
        <w:t xml:space="preserve"> </w:t>
      </w:r>
      <w:r w:rsidR="008920EC" w:rsidRPr="008920EC">
        <w:rPr>
          <w:rFonts w:ascii="Arial Narrow" w:hAnsi="Arial Narrow"/>
          <w:b/>
          <w:color w:val="1F497D" w:themeColor="text2"/>
          <w:sz w:val="24"/>
          <w:szCs w:val="24"/>
          <w:lang w:val="en-US"/>
        </w:rPr>
        <w:t>–</w:t>
      </w:r>
      <w:r w:rsidRPr="008920EC">
        <w:rPr>
          <w:rFonts w:ascii="Arial Narrow" w:hAnsi="Arial Narrow"/>
          <w:b/>
          <w:color w:val="1F497D" w:themeColor="text2"/>
          <w:sz w:val="24"/>
          <w:szCs w:val="24"/>
          <w:lang w:val="en-US"/>
        </w:rPr>
        <w:t xml:space="preserve"> </w:t>
      </w:r>
      <w:r w:rsidR="008920EC">
        <w:rPr>
          <w:rFonts w:ascii="Arial Narrow" w:hAnsi="Arial Narrow"/>
          <w:sz w:val="24"/>
          <w:szCs w:val="24"/>
        </w:rPr>
        <w:t>ελληνική</w:t>
      </w:r>
      <w:r w:rsidR="008920EC" w:rsidRPr="008920EC">
        <w:rPr>
          <w:rFonts w:ascii="Arial Narrow" w:hAnsi="Arial Narrow"/>
          <w:sz w:val="24"/>
          <w:szCs w:val="24"/>
          <w:lang w:val="en-US"/>
        </w:rPr>
        <w:t xml:space="preserve"> </w:t>
      </w:r>
      <w:r w:rsidR="008920EC">
        <w:rPr>
          <w:rFonts w:ascii="Arial Narrow" w:hAnsi="Arial Narrow"/>
          <w:sz w:val="24"/>
          <w:szCs w:val="24"/>
        </w:rPr>
        <w:t>κουζίνα</w:t>
      </w:r>
      <w:r w:rsidR="008920EC" w:rsidRPr="008920EC">
        <w:rPr>
          <w:rFonts w:ascii="Arial Narrow" w:hAnsi="Arial Narrow"/>
          <w:sz w:val="24"/>
          <w:szCs w:val="24"/>
          <w:lang w:val="en-US"/>
        </w:rPr>
        <w:t xml:space="preserve">, </w:t>
      </w:r>
      <w:r w:rsidR="008920EC">
        <w:rPr>
          <w:rFonts w:ascii="Arial Narrow" w:hAnsi="Arial Narrow"/>
          <w:sz w:val="24"/>
          <w:szCs w:val="24"/>
        </w:rPr>
        <w:t>οινοτουρισμός</w:t>
      </w:r>
      <w:r w:rsidR="008920EC" w:rsidRPr="008920EC">
        <w:rPr>
          <w:rFonts w:ascii="Arial Narrow" w:hAnsi="Arial Narrow"/>
          <w:sz w:val="24"/>
          <w:szCs w:val="24"/>
          <w:lang w:val="en-US"/>
        </w:rPr>
        <w:t xml:space="preserve">, </w:t>
      </w:r>
      <w:r w:rsidR="008920EC">
        <w:rPr>
          <w:rFonts w:ascii="Arial Narrow" w:hAnsi="Arial Narrow"/>
          <w:sz w:val="24"/>
          <w:szCs w:val="24"/>
        </w:rPr>
        <w:t>ελαιόλαδο</w:t>
      </w:r>
      <w:r w:rsidR="008920EC" w:rsidRPr="008920EC">
        <w:rPr>
          <w:rFonts w:ascii="Arial Narrow" w:hAnsi="Arial Narrow"/>
          <w:sz w:val="24"/>
          <w:szCs w:val="24"/>
          <w:lang w:val="en-US"/>
        </w:rPr>
        <w:t xml:space="preserve">, </w:t>
      </w:r>
      <w:r w:rsidR="008920EC">
        <w:rPr>
          <w:rFonts w:ascii="Arial Narrow" w:hAnsi="Arial Narrow"/>
          <w:sz w:val="24"/>
          <w:szCs w:val="24"/>
          <w:lang w:val="en-US"/>
        </w:rPr>
        <w:t>yachting</w:t>
      </w:r>
      <w:r w:rsidR="008920EC" w:rsidRPr="008920EC">
        <w:rPr>
          <w:rFonts w:ascii="Arial Narrow" w:hAnsi="Arial Narrow"/>
          <w:sz w:val="24"/>
          <w:szCs w:val="24"/>
          <w:lang w:val="en-US"/>
        </w:rPr>
        <w:t xml:space="preserve">, </w:t>
      </w:r>
      <w:r w:rsidR="008920EC">
        <w:rPr>
          <w:rFonts w:ascii="Arial Narrow" w:hAnsi="Arial Narrow"/>
          <w:sz w:val="24"/>
          <w:szCs w:val="24"/>
          <w:lang w:val="en-US"/>
        </w:rPr>
        <w:t>mega yachts, island hopping.</w:t>
      </w:r>
    </w:p>
    <w:p w14:paraId="18EA0A45" w14:textId="45188B34" w:rsidR="008920EC" w:rsidRDefault="008920EC" w:rsidP="00025D9B">
      <w:pPr>
        <w:jc w:val="both"/>
        <w:rPr>
          <w:rFonts w:ascii="Arial Narrow" w:hAnsi="Arial Narrow"/>
          <w:sz w:val="24"/>
          <w:szCs w:val="24"/>
        </w:rPr>
      </w:pPr>
      <w:r w:rsidRPr="008920EC">
        <w:rPr>
          <w:rFonts w:ascii="Arial Narrow" w:hAnsi="Arial Narrow"/>
          <w:b/>
          <w:color w:val="1F497D" w:themeColor="text2"/>
          <w:sz w:val="24"/>
          <w:szCs w:val="24"/>
          <w:lang w:val="en-US"/>
        </w:rPr>
        <w:t>Religious</w:t>
      </w:r>
      <w:r w:rsidRPr="008920EC">
        <w:rPr>
          <w:rFonts w:ascii="Arial Narrow" w:hAnsi="Arial Narrow"/>
          <w:b/>
          <w:color w:val="1F497D" w:themeColor="text2"/>
          <w:sz w:val="24"/>
          <w:szCs w:val="24"/>
        </w:rPr>
        <w:t xml:space="preserve"> </w:t>
      </w:r>
      <w:r w:rsidRPr="008920EC">
        <w:rPr>
          <w:rFonts w:ascii="Arial Narrow" w:hAnsi="Arial Narrow"/>
          <w:b/>
          <w:color w:val="1F497D" w:themeColor="text2"/>
          <w:sz w:val="24"/>
          <w:szCs w:val="24"/>
          <w:lang w:val="en-US"/>
        </w:rPr>
        <w:t>Tourism</w:t>
      </w:r>
      <w:r w:rsidRPr="008920EC">
        <w:rPr>
          <w:rFonts w:ascii="Arial Narrow" w:hAnsi="Arial Narrow"/>
          <w:b/>
          <w:color w:val="1F497D" w:themeColor="text2"/>
          <w:sz w:val="24"/>
          <w:szCs w:val="24"/>
        </w:rPr>
        <w:t xml:space="preserve"> – </w:t>
      </w:r>
      <w:r>
        <w:rPr>
          <w:rFonts w:ascii="Arial Narrow" w:hAnsi="Arial Narrow"/>
          <w:sz w:val="24"/>
          <w:szCs w:val="24"/>
        </w:rPr>
        <w:t>Ελκυστικοί</w:t>
      </w:r>
      <w:r w:rsidRPr="008920EC">
        <w:rPr>
          <w:rFonts w:ascii="Arial Narrow" w:hAnsi="Arial Narrow"/>
          <w:sz w:val="24"/>
          <w:szCs w:val="24"/>
        </w:rPr>
        <w:t xml:space="preserve"> </w:t>
      </w:r>
      <w:r>
        <w:rPr>
          <w:rFonts w:ascii="Arial Narrow" w:hAnsi="Arial Narrow"/>
          <w:sz w:val="24"/>
          <w:szCs w:val="24"/>
        </w:rPr>
        <w:t>Προορισμοί</w:t>
      </w:r>
      <w:r w:rsidRPr="008920EC">
        <w:rPr>
          <w:rFonts w:ascii="Arial Narrow" w:hAnsi="Arial Narrow"/>
          <w:sz w:val="24"/>
          <w:szCs w:val="24"/>
        </w:rPr>
        <w:t xml:space="preserve"> </w:t>
      </w:r>
      <w:r>
        <w:rPr>
          <w:rFonts w:ascii="Arial Narrow" w:hAnsi="Arial Narrow"/>
          <w:sz w:val="24"/>
          <w:szCs w:val="24"/>
        </w:rPr>
        <w:t>Πάτμος</w:t>
      </w:r>
      <w:r w:rsidRPr="008920EC">
        <w:rPr>
          <w:rFonts w:ascii="Arial Narrow" w:hAnsi="Arial Narrow"/>
          <w:sz w:val="24"/>
          <w:szCs w:val="24"/>
        </w:rPr>
        <w:t xml:space="preserve">, </w:t>
      </w:r>
      <w:r>
        <w:rPr>
          <w:rFonts w:ascii="Arial Narrow" w:hAnsi="Arial Narrow"/>
          <w:sz w:val="24"/>
          <w:szCs w:val="24"/>
        </w:rPr>
        <w:t>Μετέωρα</w:t>
      </w:r>
      <w:r w:rsidRPr="008920EC">
        <w:rPr>
          <w:rFonts w:ascii="Arial Narrow" w:hAnsi="Arial Narrow"/>
          <w:sz w:val="24"/>
          <w:szCs w:val="24"/>
        </w:rPr>
        <w:t xml:space="preserve"> </w:t>
      </w:r>
      <w:r>
        <w:rPr>
          <w:rFonts w:ascii="Arial Narrow" w:hAnsi="Arial Narrow"/>
          <w:sz w:val="24"/>
          <w:szCs w:val="24"/>
        </w:rPr>
        <w:t>και</w:t>
      </w:r>
      <w:r w:rsidRPr="008920EC">
        <w:rPr>
          <w:rFonts w:ascii="Arial Narrow" w:hAnsi="Arial Narrow"/>
          <w:sz w:val="24"/>
          <w:szCs w:val="24"/>
        </w:rPr>
        <w:t xml:space="preserve"> </w:t>
      </w:r>
      <w:r>
        <w:rPr>
          <w:rFonts w:ascii="Arial Narrow" w:hAnsi="Arial Narrow"/>
          <w:sz w:val="24"/>
          <w:szCs w:val="24"/>
        </w:rPr>
        <w:t>Άγιο</w:t>
      </w:r>
      <w:r w:rsidRPr="008920EC">
        <w:rPr>
          <w:rFonts w:ascii="Arial Narrow" w:hAnsi="Arial Narrow"/>
          <w:sz w:val="24"/>
          <w:szCs w:val="24"/>
        </w:rPr>
        <w:t xml:space="preserve"> </w:t>
      </w:r>
      <w:r>
        <w:rPr>
          <w:rFonts w:ascii="Arial Narrow" w:hAnsi="Arial Narrow"/>
          <w:sz w:val="24"/>
          <w:szCs w:val="24"/>
        </w:rPr>
        <w:t>΄Ορος</w:t>
      </w:r>
      <w:r w:rsidRPr="008920EC">
        <w:rPr>
          <w:rFonts w:ascii="Arial Narrow" w:hAnsi="Arial Narrow"/>
          <w:sz w:val="24"/>
          <w:szCs w:val="24"/>
        </w:rPr>
        <w:t xml:space="preserve"> (</w:t>
      </w:r>
      <w:r>
        <w:rPr>
          <w:rFonts w:ascii="Arial Narrow" w:hAnsi="Arial Narrow"/>
          <w:sz w:val="24"/>
          <w:szCs w:val="24"/>
        </w:rPr>
        <w:t>για όσους πληρούν τις προϋποθέσεις).</w:t>
      </w:r>
    </w:p>
    <w:p w14:paraId="59A120A8" w14:textId="6BB32754" w:rsidR="008920EC" w:rsidRDefault="008920EC" w:rsidP="00025D9B">
      <w:pPr>
        <w:jc w:val="both"/>
        <w:rPr>
          <w:rFonts w:ascii="Arial Narrow" w:hAnsi="Arial Narrow"/>
          <w:sz w:val="24"/>
          <w:szCs w:val="24"/>
        </w:rPr>
      </w:pPr>
      <w:r w:rsidRPr="008920EC">
        <w:rPr>
          <w:rFonts w:ascii="Arial Narrow" w:hAnsi="Arial Narrow"/>
          <w:b/>
          <w:color w:val="1F497D" w:themeColor="text2"/>
          <w:sz w:val="24"/>
          <w:szCs w:val="24"/>
          <w:lang w:val="en-US"/>
        </w:rPr>
        <w:t>MICE</w:t>
      </w:r>
      <w:r w:rsidRPr="0034034A">
        <w:rPr>
          <w:rFonts w:ascii="Arial Narrow" w:hAnsi="Arial Narrow"/>
          <w:b/>
          <w:color w:val="1F497D" w:themeColor="text2"/>
          <w:sz w:val="24"/>
          <w:szCs w:val="24"/>
        </w:rPr>
        <w:t xml:space="preserve"> </w:t>
      </w:r>
      <w:r w:rsidR="0034034A" w:rsidRPr="0034034A">
        <w:rPr>
          <w:rFonts w:ascii="Arial Narrow" w:hAnsi="Arial Narrow"/>
          <w:b/>
          <w:color w:val="1F497D" w:themeColor="text2"/>
          <w:sz w:val="24"/>
          <w:szCs w:val="24"/>
        </w:rPr>
        <w:t>–</w:t>
      </w:r>
      <w:r w:rsidRPr="0034034A">
        <w:rPr>
          <w:rFonts w:ascii="Arial Narrow" w:hAnsi="Arial Narrow"/>
          <w:b/>
          <w:color w:val="1F497D" w:themeColor="text2"/>
          <w:sz w:val="24"/>
          <w:szCs w:val="24"/>
        </w:rPr>
        <w:t xml:space="preserve"> </w:t>
      </w:r>
      <w:r w:rsidR="0034034A">
        <w:rPr>
          <w:rFonts w:ascii="Arial Narrow" w:hAnsi="Arial Narrow"/>
          <w:sz w:val="24"/>
          <w:szCs w:val="24"/>
        </w:rPr>
        <w:t xml:space="preserve">Τα ΗΑΕ προσφέρονται για ιατρικά συνέδρια, επιχειρηματικές αποστολές και </w:t>
      </w:r>
      <w:r w:rsidR="0034034A">
        <w:rPr>
          <w:rFonts w:ascii="Arial Narrow" w:hAnsi="Arial Narrow"/>
          <w:sz w:val="24"/>
          <w:szCs w:val="24"/>
          <w:lang w:val="en-US"/>
        </w:rPr>
        <w:t>incentive</w:t>
      </w:r>
      <w:r w:rsidR="0034034A" w:rsidRPr="0034034A">
        <w:rPr>
          <w:rFonts w:ascii="Arial Narrow" w:hAnsi="Arial Narrow"/>
          <w:sz w:val="24"/>
          <w:szCs w:val="24"/>
        </w:rPr>
        <w:t xml:space="preserve"> </w:t>
      </w:r>
      <w:r w:rsidR="0034034A">
        <w:rPr>
          <w:rFonts w:ascii="Arial Narrow" w:hAnsi="Arial Narrow"/>
          <w:sz w:val="24"/>
          <w:szCs w:val="24"/>
          <w:lang w:val="en-US"/>
        </w:rPr>
        <w:t>travel</w:t>
      </w:r>
      <w:r w:rsidR="0034034A" w:rsidRPr="0034034A">
        <w:rPr>
          <w:rFonts w:ascii="Arial Narrow" w:hAnsi="Arial Narrow"/>
          <w:sz w:val="24"/>
          <w:szCs w:val="24"/>
        </w:rPr>
        <w:t>.</w:t>
      </w:r>
    </w:p>
    <w:p w14:paraId="52F8A9E4" w14:textId="77777777" w:rsidR="0034034A" w:rsidRPr="0034034A" w:rsidRDefault="0034034A" w:rsidP="00025D9B">
      <w:pPr>
        <w:jc w:val="both"/>
        <w:rPr>
          <w:rFonts w:ascii="Arial Narrow" w:hAnsi="Arial Narrow"/>
          <w:sz w:val="24"/>
          <w:szCs w:val="24"/>
        </w:rPr>
      </w:pPr>
    </w:p>
    <w:p w14:paraId="5CC5F4AD" w14:textId="1A61ED03" w:rsidR="0026453E" w:rsidRPr="00026058" w:rsidRDefault="0029045A" w:rsidP="00817F84">
      <w:pPr>
        <w:pStyle w:val="Caption"/>
        <w:jc w:val="center"/>
        <w:rPr>
          <w:rFonts w:ascii="Arial Narrow" w:hAnsi="Arial Narrow"/>
          <w:sz w:val="28"/>
          <w:szCs w:val="28"/>
        </w:rPr>
      </w:pPr>
      <w:bookmarkStart w:id="47" w:name="_Toc200448563"/>
      <w:r w:rsidRPr="00026058">
        <w:rPr>
          <w:rFonts w:ascii="Arial Narrow" w:hAnsi="Arial Narrow"/>
          <w:sz w:val="28"/>
          <w:szCs w:val="28"/>
        </w:rPr>
        <w:t>Π</w:t>
      </w:r>
      <w:r w:rsidR="00B4267B" w:rsidRPr="00026058">
        <w:rPr>
          <w:rFonts w:ascii="Arial Narrow" w:hAnsi="Arial Narrow"/>
          <w:sz w:val="28"/>
          <w:szCs w:val="28"/>
        </w:rPr>
        <w:t>ΙΝΑΚΑΣ 2</w:t>
      </w:r>
      <w:r w:rsidR="008E0187">
        <w:rPr>
          <w:rFonts w:ascii="Arial Narrow" w:hAnsi="Arial Narrow"/>
          <w:sz w:val="28"/>
          <w:szCs w:val="28"/>
        </w:rPr>
        <w:t xml:space="preserve">2 </w:t>
      </w:r>
      <w:r w:rsidR="00026058" w:rsidRPr="00026058">
        <w:rPr>
          <w:rFonts w:ascii="Arial Narrow" w:hAnsi="Arial Narrow"/>
          <w:sz w:val="28"/>
          <w:szCs w:val="28"/>
        </w:rPr>
        <w:t xml:space="preserve"> </w:t>
      </w:r>
      <w:r w:rsidR="00B4267B" w:rsidRPr="00026058">
        <w:rPr>
          <w:rFonts w:ascii="Arial Narrow" w:hAnsi="Arial Narrow"/>
          <w:sz w:val="28"/>
          <w:szCs w:val="28"/>
        </w:rPr>
        <w:t xml:space="preserve">- </w:t>
      </w:r>
      <w:r w:rsidRPr="00026058">
        <w:rPr>
          <w:rFonts w:ascii="Arial Narrow" w:hAnsi="Arial Narrow"/>
          <w:sz w:val="28"/>
          <w:szCs w:val="28"/>
        </w:rPr>
        <w:t>Εμπόριο Υπηρεσιών Ελλάδας – ΗΑΕ, 20</w:t>
      </w:r>
      <w:r w:rsidR="0026453E" w:rsidRPr="00026058">
        <w:rPr>
          <w:rFonts w:ascii="Arial Narrow" w:hAnsi="Arial Narrow"/>
          <w:sz w:val="28"/>
          <w:szCs w:val="28"/>
        </w:rPr>
        <w:t>2</w:t>
      </w:r>
      <w:r w:rsidR="00921CE6" w:rsidRPr="00026058">
        <w:rPr>
          <w:rFonts w:ascii="Arial Narrow" w:hAnsi="Arial Narrow"/>
          <w:sz w:val="28"/>
          <w:szCs w:val="28"/>
        </w:rPr>
        <w:t>2</w:t>
      </w:r>
      <w:r w:rsidRPr="00026058">
        <w:rPr>
          <w:rFonts w:ascii="Arial Narrow" w:hAnsi="Arial Narrow"/>
          <w:sz w:val="28"/>
          <w:szCs w:val="28"/>
        </w:rPr>
        <w:t>-202</w:t>
      </w:r>
      <w:r w:rsidR="00921CE6" w:rsidRPr="00026058">
        <w:rPr>
          <w:rFonts w:ascii="Arial Narrow" w:hAnsi="Arial Narrow"/>
          <w:sz w:val="28"/>
          <w:szCs w:val="28"/>
        </w:rPr>
        <w:t>4</w:t>
      </w:r>
      <w:r w:rsidRPr="00026058">
        <w:rPr>
          <w:rFonts w:ascii="Arial Narrow" w:hAnsi="Arial Narrow"/>
          <w:sz w:val="28"/>
          <w:szCs w:val="28"/>
        </w:rPr>
        <w:t xml:space="preserve">, Αξία σε εκατ. </w:t>
      </w:r>
      <w:r w:rsidR="00617A7D" w:rsidRPr="00026058">
        <w:rPr>
          <w:rFonts w:ascii="Arial Narrow" w:hAnsi="Arial Narrow"/>
          <w:sz w:val="28"/>
          <w:szCs w:val="28"/>
        </w:rPr>
        <w:t>Ευρώ</w:t>
      </w:r>
      <w:bookmarkEnd w:id="47"/>
    </w:p>
    <w:tbl>
      <w:tblPr>
        <w:tblW w:w="10466" w:type="dxa"/>
        <w:jc w:val="center"/>
        <w:tblLook w:val="04A0" w:firstRow="1" w:lastRow="0" w:firstColumn="1" w:lastColumn="0" w:noHBand="0" w:noVBand="1"/>
      </w:tblPr>
      <w:tblGrid>
        <w:gridCol w:w="5980"/>
        <w:gridCol w:w="700"/>
        <w:gridCol w:w="700"/>
        <w:gridCol w:w="700"/>
        <w:gridCol w:w="1180"/>
        <w:gridCol w:w="1206"/>
      </w:tblGrid>
      <w:tr w:rsidR="00921CE6" w:rsidRPr="00921CE6" w14:paraId="03CB6167" w14:textId="77777777" w:rsidTr="00411F3C">
        <w:trPr>
          <w:trHeight w:val="540"/>
          <w:jc w:val="center"/>
        </w:trPr>
        <w:tc>
          <w:tcPr>
            <w:tcW w:w="59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497ECA" w14:textId="77777777" w:rsidR="00921CE6" w:rsidRPr="00921CE6" w:rsidRDefault="00921CE6" w:rsidP="00921CE6">
            <w:pPr>
              <w:spacing w:after="0" w:line="240" w:lineRule="auto"/>
              <w:rPr>
                <w:rFonts w:ascii="Times New Roman" w:eastAsia="Times New Roman" w:hAnsi="Times New Roman" w:cs="Times New Roman"/>
                <w:color w:val="000000"/>
                <w:sz w:val="20"/>
                <w:szCs w:val="20"/>
                <w:lang w:eastAsia="en-AE"/>
              </w:rPr>
            </w:pPr>
            <w:r w:rsidRPr="00921CE6">
              <w:rPr>
                <w:rFonts w:ascii="Times New Roman" w:eastAsia="Times New Roman" w:hAnsi="Times New Roman" w:cs="Times New Roman"/>
                <w:color w:val="000000"/>
                <w:sz w:val="20"/>
                <w:szCs w:val="20"/>
                <w:lang w:val="en-AE" w:eastAsia="en-AE"/>
              </w:rPr>
              <w:t> </w:t>
            </w:r>
          </w:p>
        </w:tc>
        <w:tc>
          <w:tcPr>
            <w:tcW w:w="700" w:type="dxa"/>
            <w:tcBorders>
              <w:top w:val="single" w:sz="8" w:space="0" w:color="000000"/>
              <w:left w:val="nil"/>
              <w:bottom w:val="nil"/>
              <w:right w:val="single" w:sz="8" w:space="0" w:color="000000"/>
            </w:tcBorders>
            <w:shd w:val="clear" w:color="auto" w:fill="auto"/>
            <w:vAlign w:val="center"/>
            <w:hideMark/>
          </w:tcPr>
          <w:p w14:paraId="3091D8B6" w14:textId="77777777" w:rsidR="00921CE6" w:rsidRPr="00921CE6" w:rsidRDefault="00921CE6" w:rsidP="00921CE6">
            <w:pPr>
              <w:spacing w:after="0" w:line="240" w:lineRule="auto"/>
              <w:rPr>
                <w:rFonts w:ascii="Times New Roman" w:eastAsia="Times New Roman" w:hAnsi="Times New Roman" w:cs="Times New Roman"/>
                <w:b/>
                <w:bCs/>
                <w:color w:val="000000"/>
                <w:sz w:val="21"/>
                <w:szCs w:val="21"/>
                <w:lang w:eastAsia="en-AE"/>
              </w:rPr>
            </w:pPr>
            <w:r w:rsidRPr="00921CE6">
              <w:rPr>
                <w:rFonts w:ascii="Times New Roman" w:eastAsia="Times New Roman" w:hAnsi="Times New Roman" w:cs="Times New Roman"/>
                <w:b/>
                <w:bCs/>
                <w:color w:val="000000"/>
                <w:sz w:val="21"/>
                <w:szCs w:val="21"/>
                <w:lang w:val="en-AE" w:eastAsia="en-AE"/>
              </w:rPr>
              <w:t> </w:t>
            </w:r>
          </w:p>
        </w:tc>
        <w:tc>
          <w:tcPr>
            <w:tcW w:w="700" w:type="dxa"/>
            <w:tcBorders>
              <w:top w:val="single" w:sz="8" w:space="0" w:color="000000"/>
              <w:left w:val="nil"/>
              <w:bottom w:val="nil"/>
              <w:right w:val="single" w:sz="8" w:space="0" w:color="000000"/>
            </w:tcBorders>
            <w:shd w:val="clear" w:color="auto" w:fill="auto"/>
            <w:vAlign w:val="center"/>
            <w:hideMark/>
          </w:tcPr>
          <w:p w14:paraId="663382F9" w14:textId="77777777" w:rsidR="00921CE6" w:rsidRPr="00921CE6" w:rsidRDefault="00921CE6" w:rsidP="00921CE6">
            <w:pPr>
              <w:spacing w:after="0" w:line="240" w:lineRule="auto"/>
              <w:rPr>
                <w:rFonts w:ascii="Times New Roman" w:eastAsia="Times New Roman" w:hAnsi="Times New Roman" w:cs="Times New Roman"/>
                <w:b/>
                <w:bCs/>
                <w:color w:val="000000"/>
                <w:sz w:val="21"/>
                <w:szCs w:val="21"/>
                <w:lang w:eastAsia="en-AE"/>
              </w:rPr>
            </w:pPr>
            <w:r w:rsidRPr="00921CE6">
              <w:rPr>
                <w:rFonts w:ascii="Times New Roman" w:eastAsia="Times New Roman" w:hAnsi="Times New Roman" w:cs="Times New Roman"/>
                <w:b/>
                <w:bCs/>
                <w:color w:val="000000"/>
                <w:sz w:val="21"/>
                <w:szCs w:val="21"/>
                <w:lang w:val="en-AE" w:eastAsia="en-AE"/>
              </w:rPr>
              <w:t> </w:t>
            </w:r>
          </w:p>
        </w:tc>
        <w:tc>
          <w:tcPr>
            <w:tcW w:w="700" w:type="dxa"/>
            <w:tcBorders>
              <w:top w:val="single" w:sz="8" w:space="0" w:color="000000"/>
              <w:left w:val="nil"/>
              <w:bottom w:val="nil"/>
              <w:right w:val="single" w:sz="8" w:space="0" w:color="000000"/>
            </w:tcBorders>
            <w:shd w:val="clear" w:color="auto" w:fill="auto"/>
            <w:vAlign w:val="center"/>
            <w:hideMark/>
          </w:tcPr>
          <w:p w14:paraId="613487E3" w14:textId="77777777" w:rsidR="00921CE6" w:rsidRPr="00921CE6" w:rsidRDefault="00921CE6" w:rsidP="00921CE6">
            <w:pPr>
              <w:spacing w:after="0" w:line="240" w:lineRule="auto"/>
              <w:rPr>
                <w:rFonts w:ascii="Times New Roman" w:eastAsia="Times New Roman" w:hAnsi="Times New Roman" w:cs="Times New Roman"/>
                <w:b/>
                <w:bCs/>
                <w:color w:val="000000"/>
                <w:sz w:val="21"/>
                <w:szCs w:val="21"/>
                <w:lang w:eastAsia="en-AE"/>
              </w:rPr>
            </w:pPr>
            <w:r w:rsidRPr="00921CE6">
              <w:rPr>
                <w:rFonts w:ascii="Times New Roman" w:eastAsia="Times New Roman" w:hAnsi="Times New Roman" w:cs="Times New Roman"/>
                <w:b/>
                <w:bCs/>
                <w:color w:val="000000"/>
                <w:sz w:val="21"/>
                <w:szCs w:val="21"/>
                <w:lang w:val="en-AE" w:eastAsia="en-AE"/>
              </w:rPr>
              <w:t> </w:t>
            </w:r>
          </w:p>
        </w:tc>
        <w:tc>
          <w:tcPr>
            <w:tcW w:w="11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4DEBDA" w14:textId="77777777" w:rsidR="00921CE6" w:rsidRPr="00921CE6" w:rsidRDefault="00921CE6" w:rsidP="00921CE6">
            <w:pPr>
              <w:spacing w:after="0" w:line="240" w:lineRule="auto"/>
              <w:jc w:val="center"/>
              <w:rPr>
                <w:rFonts w:ascii="Times New Roman" w:eastAsia="Times New Roman" w:hAnsi="Times New Roman" w:cs="Times New Roman"/>
                <w:b/>
                <w:bCs/>
                <w:color w:val="000000"/>
                <w:lang w:val="en-AE" w:eastAsia="en-AE"/>
              </w:rPr>
            </w:pPr>
            <w:r w:rsidRPr="00921CE6">
              <w:rPr>
                <w:rFonts w:ascii="Times New Roman" w:eastAsia="Times New Roman" w:hAnsi="Times New Roman" w:cs="Times New Roman"/>
                <w:b/>
                <w:bCs/>
                <w:color w:val="000000"/>
                <w:lang w:val="en-AE" w:eastAsia="en-AE"/>
              </w:rPr>
              <w:t>% 2024/23</w:t>
            </w:r>
          </w:p>
        </w:tc>
        <w:tc>
          <w:tcPr>
            <w:tcW w:w="120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5DE29C" w14:textId="77777777" w:rsidR="00921CE6" w:rsidRPr="00921CE6" w:rsidRDefault="00921CE6" w:rsidP="00921CE6">
            <w:pPr>
              <w:spacing w:after="0" w:line="240" w:lineRule="auto"/>
              <w:jc w:val="center"/>
              <w:rPr>
                <w:rFonts w:ascii="Times New Roman" w:eastAsia="Times New Roman" w:hAnsi="Times New Roman" w:cs="Times New Roman"/>
                <w:b/>
                <w:bCs/>
                <w:color w:val="000000"/>
                <w:lang w:val="en-AE" w:eastAsia="en-AE"/>
              </w:rPr>
            </w:pPr>
            <w:r w:rsidRPr="00921CE6">
              <w:rPr>
                <w:rFonts w:ascii="Times New Roman" w:eastAsia="Times New Roman" w:hAnsi="Times New Roman" w:cs="Times New Roman"/>
                <w:b/>
                <w:bCs/>
                <w:color w:val="000000"/>
                <w:lang w:val="en-AE" w:eastAsia="en-AE"/>
              </w:rPr>
              <w:t>Μερίδιο 2024</w:t>
            </w:r>
          </w:p>
        </w:tc>
      </w:tr>
      <w:tr w:rsidR="00921CE6" w:rsidRPr="00921CE6" w14:paraId="13BAB7EE" w14:textId="77777777" w:rsidTr="00411F3C">
        <w:trPr>
          <w:trHeight w:val="315"/>
          <w:jc w:val="center"/>
        </w:trPr>
        <w:tc>
          <w:tcPr>
            <w:tcW w:w="5980" w:type="dxa"/>
            <w:vMerge/>
            <w:tcBorders>
              <w:top w:val="single" w:sz="8" w:space="0" w:color="000000"/>
              <w:left w:val="single" w:sz="8" w:space="0" w:color="000000"/>
              <w:bottom w:val="single" w:sz="8" w:space="0" w:color="000000"/>
              <w:right w:val="single" w:sz="8" w:space="0" w:color="000000"/>
            </w:tcBorders>
            <w:vAlign w:val="center"/>
            <w:hideMark/>
          </w:tcPr>
          <w:p w14:paraId="2C646105" w14:textId="77777777" w:rsidR="00921CE6" w:rsidRPr="00921CE6" w:rsidRDefault="00921CE6" w:rsidP="00921CE6">
            <w:pPr>
              <w:spacing w:after="0" w:line="240" w:lineRule="auto"/>
              <w:rPr>
                <w:rFonts w:ascii="Times New Roman" w:eastAsia="Times New Roman" w:hAnsi="Times New Roman" w:cs="Times New Roman"/>
                <w:color w:val="000000"/>
                <w:sz w:val="20"/>
                <w:szCs w:val="20"/>
                <w:lang w:val="en-AE" w:eastAsia="en-AE"/>
              </w:rPr>
            </w:pPr>
          </w:p>
        </w:tc>
        <w:tc>
          <w:tcPr>
            <w:tcW w:w="700" w:type="dxa"/>
            <w:tcBorders>
              <w:top w:val="nil"/>
              <w:left w:val="nil"/>
              <w:bottom w:val="single" w:sz="8" w:space="0" w:color="auto"/>
              <w:right w:val="single" w:sz="8" w:space="0" w:color="000000"/>
            </w:tcBorders>
            <w:shd w:val="clear" w:color="auto" w:fill="auto"/>
            <w:vAlign w:val="center"/>
            <w:hideMark/>
          </w:tcPr>
          <w:p w14:paraId="21EAC3ED" w14:textId="77777777" w:rsidR="00921CE6" w:rsidRPr="00921CE6" w:rsidRDefault="00921CE6" w:rsidP="00921CE6">
            <w:pPr>
              <w:spacing w:after="0" w:line="240" w:lineRule="auto"/>
              <w:jc w:val="right"/>
              <w:rPr>
                <w:rFonts w:ascii="Times New Roman" w:eastAsia="Times New Roman" w:hAnsi="Times New Roman" w:cs="Times New Roman"/>
                <w:b/>
                <w:bCs/>
                <w:color w:val="000000"/>
                <w:lang w:eastAsia="en-AE"/>
              </w:rPr>
            </w:pPr>
            <w:r w:rsidRPr="00921CE6">
              <w:rPr>
                <w:rFonts w:ascii="Times New Roman" w:eastAsia="Times New Roman" w:hAnsi="Times New Roman" w:cs="Times New Roman"/>
                <w:b/>
                <w:bCs/>
                <w:color w:val="000000"/>
                <w:lang w:val="en-AE" w:eastAsia="en-AE"/>
              </w:rPr>
              <w:t>202</w:t>
            </w:r>
            <w:r w:rsidRPr="00921CE6">
              <w:rPr>
                <w:rFonts w:ascii="Times New Roman" w:eastAsia="Times New Roman" w:hAnsi="Times New Roman" w:cs="Times New Roman"/>
                <w:b/>
                <w:bCs/>
                <w:color w:val="000000"/>
                <w:lang w:eastAsia="en-AE"/>
              </w:rPr>
              <w:t>2</w:t>
            </w:r>
          </w:p>
        </w:tc>
        <w:tc>
          <w:tcPr>
            <w:tcW w:w="700" w:type="dxa"/>
            <w:tcBorders>
              <w:top w:val="nil"/>
              <w:left w:val="nil"/>
              <w:bottom w:val="single" w:sz="8" w:space="0" w:color="auto"/>
              <w:right w:val="single" w:sz="8" w:space="0" w:color="000000"/>
            </w:tcBorders>
            <w:shd w:val="clear" w:color="auto" w:fill="auto"/>
            <w:vAlign w:val="center"/>
            <w:hideMark/>
          </w:tcPr>
          <w:p w14:paraId="466B1D09" w14:textId="77777777" w:rsidR="00921CE6" w:rsidRPr="00921CE6" w:rsidRDefault="00921CE6" w:rsidP="00921CE6">
            <w:pPr>
              <w:spacing w:after="0" w:line="240" w:lineRule="auto"/>
              <w:jc w:val="right"/>
              <w:rPr>
                <w:rFonts w:ascii="Times New Roman" w:eastAsia="Times New Roman" w:hAnsi="Times New Roman" w:cs="Times New Roman"/>
                <w:b/>
                <w:bCs/>
                <w:color w:val="000000"/>
                <w:lang w:eastAsia="en-AE"/>
              </w:rPr>
            </w:pPr>
            <w:r w:rsidRPr="00921CE6">
              <w:rPr>
                <w:rFonts w:ascii="Times New Roman" w:eastAsia="Times New Roman" w:hAnsi="Times New Roman" w:cs="Times New Roman"/>
                <w:b/>
                <w:bCs/>
                <w:color w:val="000000"/>
                <w:lang w:val="en-AE" w:eastAsia="en-AE"/>
              </w:rPr>
              <w:t>202</w:t>
            </w:r>
            <w:r w:rsidRPr="00921CE6">
              <w:rPr>
                <w:rFonts w:ascii="Times New Roman" w:eastAsia="Times New Roman" w:hAnsi="Times New Roman" w:cs="Times New Roman"/>
                <w:b/>
                <w:bCs/>
                <w:color w:val="000000"/>
                <w:lang w:eastAsia="en-AE"/>
              </w:rPr>
              <w:t>3</w:t>
            </w:r>
          </w:p>
        </w:tc>
        <w:tc>
          <w:tcPr>
            <w:tcW w:w="700" w:type="dxa"/>
            <w:tcBorders>
              <w:top w:val="nil"/>
              <w:left w:val="nil"/>
              <w:bottom w:val="single" w:sz="8" w:space="0" w:color="auto"/>
              <w:right w:val="single" w:sz="8" w:space="0" w:color="000000"/>
            </w:tcBorders>
            <w:shd w:val="clear" w:color="auto" w:fill="auto"/>
            <w:vAlign w:val="center"/>
            <w:hideMark/>
          </w:tcPr>
          <w:p w14:paraId="1645B61E" w14:textId="77777777" w:rsidR="00921CE6" w:rsidRPr="00921CE6" w:rsidRDefault="00921CE6" w:rsidP="00921CE6">
            <w:pPr>
              <w:spacing w:after="0" w:line="240" w:lineRule="auto"/>
              <w:jc w:val="right"/>
              <w:rPr>
                <w:rFonts w:ascii="Times New Roman" w:eastAsia="Times New Roman" w:hAnsi="Times New Roman" w:cs="Times New Roman"/>
                <w:b/>
                <w:bCs/>
                <w:color w:val="000000"/>
                <w:lang w:eastAsia="en-AE"/>
              </w:rPr>
            </w:pPr>
            <w:r w:rsidRPr="00921CE6">
              <w:rPr>
                <w:rFonts w:ascii="Times New Roman" w:eastAsia="Times New Roman" w:hAnsi="Times New Roman" w:cs="Times New Roman"/>
                <w:b/>
                <w:bCs/>
                <w:color w:val="000000"/>
                <w:lang w:val="en-AE" w:eastAsia="en-AE"/>
              </w:rPr>
              <w:t>202</w:t>
            </w:r>
            <w:r w:rsidRPr="00921CE6">
              <w:rPr>
                <w:rFonts w:ascii="Times New Roman" w:eastAsia="Times New Roman" w:hAnsi="Times New Roman" w:cs="Times New Roman"/>
                <w:b/>
                <w:bCs/>
                <w:color w:val="000000"/>
                <w:lang w:eastAsia="en-AE"/>
              </w:rPr>
              <w:t>4</w:t>
            </w:r>
          </w:p>
        </w:tc>
        <w:tc>
          <w:tcPr>
            <w:tcW w:w="1180" w:type="dxa"/>
            <w:vMerge/>
            <w:tcBorders>
              <w:top w:val="single" w:sz="8" w:space="0" w:color="000000"/>
              <w:left w:val="single" w:sz="8" w:space="0" w:color="000000"/>
              <w:bottom w:val="single" w:sz="8" w:space="0" w:color="000000"/>
              <w:right w:val="single" w:sz="8" w:space="0" w:color="000000"/>
            </w:tcBorders>
            <w:vAlign w:val="center"/>
            <w:hideMark/>
          </w:tcPr>
          <w:p w14:paraId="0B685A31" w14:textId="77777777" w:rsidR="00921CE6" w:rsidRPr="00921CE6" w:rsidRDefault="00921CE6" w:rsidP="00921CE6">
            <w:pPr>
              <w:spacing w:after="0" w:line="240" w:lineRule="auto"/>
              <w:rPr>
                <w:rFonts w:ascii="Times New Roman" w:eastAsia="Times New Roman" w:hAnsi="Times New Roman" w:cs="Times New Roman"/>
                <w:b/>
                <w:bCs/>
                <w:color w:val="000000"/>
                <w:lang w:val="en-AE" w:eastAsia="en-AE"/>
              </w:rPr>
            </w:pPr>
          </w:p>
        </w:tc>
        <w:tc>
          <w:tcPr>
            <w:tcW w:w="1206" w:type="dxa"/>
            <w:vMerge/>
            <w:tcBorders>
              <w:top w:val="single" w:sz="8" w:space="0" w:color="000000"/>
              <w:left w:val="single" w:sz="8" w:space="0" w:color="000000"/>
              <w:bottom w:val="single" w:sz="8" w:space="0" w:color="000000"/>
              <w:right w:val="single" w:sz="8" w:space="0" w:color="000000"/>
            </w:tcBorders>
            <w:vAlign w:val="center"/>
            <w:hideMark/>
          </w:tcPr>
          <w:p w14:paraId="3D58D39B" w14:textId="77777777" w:rsidR="00921CE6" w:rsidRPr="00921CE6" w:rsidRDefault="00921CE6" w:rsidP="00921CE6">
            <w:pPr>
              <w:spacing w:after="0" w:line="240" w:lineRule="auto"/>
              <w:rPr>
                <w:rFonts w:ascii="Times New Roman" w:eastAsia="Times New Roman" w:hAnsi="Times New Roman" w:cs="Times New Roman"/>
                <w:b/>
                <w:bCs/>
                <w:color w:val="000000"/>
                <w:lang w:val="en-AE" w:eastAsia="en-AE"/>
              </w:rPr>
            </w:pPr>
          </w:p>
        </w:tc>
      </w:tr>
      <w:tr w:rsidR="00921CE6" w:rsidRPr="00921CE6" w14:paraId="32A1E492" w14:textId="77777777" w:rsidTr="00411F3C">
        <w:trPr>
          <w:trHeight w:val="315"/>
          <w:jc w:val="center"/>
        </w:trPr>
        <w:tc>
          <w:tcPr>
            <w:tcW w:w="5980" w:type="dxa"/>
            <w:tcBorders>
              <w:top w:val="nil"/>
              <w:left w:val="single" w:sz="8" w:space="0" w:color="auto"/>
              <w:bottom w:val="single" w:sz="8" w:space="0" w:color="auto"/>
              <w:right w:val="single" w:sz="8" w:space="0" w:color="auto"/>
            </w:tcBorders>
            <w:shd w:val="clear" w:color="000000" w:fill="538DD3"/>
            <w:vAlign w:val="center"/>
            <w:hideMark/>
          </w:tcPr>
          <w:p w14:paraId="7D2ED809" w14:textId="77777777" w:rsidR="00921CE6" w:rsidRPr="00921CE6" w:rsidRDefault="00921CE6" w:rsidP="00921CE6">
            <w:pPr>
              <w:spacing w:after="0" w:line="240" w:lineRule="auto"/>
              <w:rPr>
                <w:rFonts w:ascii="Times New Roman" w:eastAsia="Times New Roman" w:hAnsi="Times New Roman" w:cs="Times New Roman"/>
                <w:b/>
                <w:bCs/>
                <w:color w:val="000000"/>
                <w:lang w:val="en-AE" w:eastAsia="en-AE"/>
              </w:rPr>
            </w:pPr>
            <w:r w:rsidRPr="00921CE6">
              <w:rPr>
                <w:rFonts w:ascii="Times New Roman" w:eastAsia="Times New Roman" w:hAnsi="Times New Roman" w:cs="Times New Roman"/>
                <w:b/>
                <w:bCs/>
                <w:color w:val="000000"/>
                <w:lang w:val="en-AE" w:eastAsia="en-AE"/>
              </w:rPr>
              <w:t>ΙΣΟΖΥΓΙΟ ΥΠΗΡΕΣΙΩΝ (Πλεόνασμα)</w:t>
            </w:r>
          </w:p>
        </w:tc>
        <w:tc>
          <w:tcPr>
            <w:tcW w:w="700" w:type="dxa"/>
            <w:tcBorders>
              <w:top w:val="nil"/>
              <w:left w:val="nil"/>
              <w:bottom w:val="single" w:sz="8" w:space="0" w:color="auto"/>
              <w:right w:val="single" w:sz="8" w:space="0" w:color="auto"/>
            </w:tcBorders>
            <w:shd w:val="clear" w:color="000000" w:fill="538DD3"/>
            <w:vAlign w:val="center"/>
            <w:hideMark/>
          </w:tcPr>
          <w:p w14:paraId="0922C26A" w14:textId="77777777" w:rsidR="00921CE6" w:rsidRPr="00921CE6" w:rsidRDefault="00921CE6" w:rsidP="00921CE6">
            <w:pPr>
              <w:spacing w:after="0" w:line="240" w:lineRule="auto"/>
              <w:jc w:val="center"/>
              <w:rPr>
                <w:rFonts w:ascii="Times New Roman" w:eastAsia="Times New Roman" w:hAnsi="Times New Roman" w:cs="Times New Roman"/>
                <w:b/>
                <w:bCs/>
                <w:color w:val="000000"/>
                <w:lang w:val="en-AE" w:eastAsia="en-AE"/>
              </w:rPr>
            </w:pPr>
            <w:r w:rsidRPr="00921CE6">
              <w:rPr>
                <w:rFonts w:ascii="Times New Roman" w:eastAsia="Times New Roman" w:hAnsi="Times New Roman" w:cs="Times New Roman"/>
                <w:b/>
                <w:bCs/>
                <w:color w:val="000000"/>
                <w:lang w:val="en-AE" w:eastAsia="en-AE"/>
              </w:rPr>
              <w:t>582</w:t>
            </w:r>
          </w:p>
        </w:tc>
        <w:tc>
          <w:tcPr>
            <w:tcW w:w="700" w:type="dxa"/>
            <w:tcBorders>
              <w:top w:val="nil"/>
              <w:left w:val="nil"/>
              <w:bottom w:val="single" w:sz="8" w:space="0" w:color="auto"/>
              <w:right w:val="single" w:sz="8" w:space="0" w:color="auto"/>
            </w:tcBorders>
            <w:shd w:val="clear" w:color="000000" w:fill="538DD3"/>
            <w:vAlign w:val="center"/>
            <w:hideMark/>
          </w:tcPr>
          <w:p w14:paraId="15891AC7" w14:textId="77777777" w:rsidR="00921CE6" w:rsidRPr="00921CE6" w:rsidRDefault="00921CE6" w:rsidP="00921CE6">
            <w:pPr>
              <w:spacing w:after="0" w:line="240" w:lineRule="auto"/>
              <w:jc w:val="center"/>
              <w:rPr>
                <w:rFonts w:ascii="Times New Roman" w:eastAsia="Times New Roman" w:hAnsi="Times New Roman" w:cs="Times New Roman"/>
                <w:b/>
                <w:bCs/>
                <w:color w:val="000000"/>
                <w:lang w:val="en-AE" w:eastAsia="en-AE"/>
              </w:rPr>
            </w:pPr>
            <w:r w:rsidRPr="00921CE6">
              <w:rPr>
                <w:rFonts w:ascii="Times New Roman" w:eastAsia="Times New Roman" w:hAnsi="Times New Roman" w:cs="Times New Roman"/>
                <w:b/>
                <w:bCs/>
                <w:color w:val="000000"/>
                <w:lang w:val="en-AE" w:eastAsia="en-AE"/>
              </w:rPr>
              <w:t>595</w:t>
            </w:r>
          </w:p>
        </w:tc>
        <w:tc>
          <w:tcPr>
            <w:tcW w:w="700" w:type="dxa"/>
            <w:tcBorders>
              <w:top w:val="nil"/>
              <w:left w:val="nil"/>
              <w:bottom w:val="single" w:sz="8" w:space="0" w:color="auto"/>
              <w:right w:val="single" w:sz="8" w:space="0" w:color="auto"/>
            </w:tcBorders>
            <w:shd w:val="clear" w:color="000000" w:fill="538DD3"/>
            <w:vAlign w:val="center"/>
            <w:hideMark/>
          </w:tcPr>
          <w:p w14:paraId="47D4F598" w14:textId="77777777" w:rsidR="00921CE6" w:rsidRPr="00921CE6" w:rsidRDefault="00921CE6" w:rsidP="00921CE6">
            <w:pPr>
              <w:spacing w:after="0" w:line="240" w:lineRule="auto"/>
              <w:jc w:val="center"/>
              <w:rPr>
                <w:rFonts w:ascii="Times New Roman" w:eastAsia="Times New Roman" w:hAnsi="Times New Roman" w:cs="Times New Roman"/>
                <w:b/>
                <w:bCs/>
                <w:color w:val="000000"/>
                <w:lang w:val="en-AE" w:eastAsia="en-AE"/>
              </w:rPr>
            </w:pPr>
            <w:r w:rsidRPr="00921CE6">
              <w:rPr>
                <w:rFonts w:ascii="Times New Roman" w:eastAsia="Times New Roman" w:hAnsi="Times New Roman" w:cs="Times New Roman"/>
                <w:b/>
                <w:bCs/>
                <w:color w:val="000000"/>
                <w:lang w:val="en-AE" w:eastAsia="en-AE"/>
              </w:rPr>
              <w:t>783</w:t>
            </w:r>
          </w:p>
        </w:tc>
        <w:tc>
          <w:tcPr>
            <w:tcW w:w="1180" w:type="dxa"/>
            <w:tcBorders>
              <w:top w:val="nil"/>
              <w:left w:val="nil"/>
              <w:bottom w:val="single" w:sz="8" w:space="0" w:color="auto"/>
              <w:right w:val="single" w:sz="8" w:space="0" w:color="auto"/>
            </w:tcBorders>
            <w:shd w:val="clear" w:color="000000" w:fill="538DD3"/>
            <w:vAlign w:val="center"/>
            <w:hideMark/>
          </w:tcPr>
          <w:p w14:paraId="4FDEB5FD" w14:textId="77777777" w:rsidR="00921CE6" w:rsidRPr="00921CE6" w:rsidRDefault="00921CE6" w:rsidP="00921CE6">
            <w:pPr>
              <w:spacing w:after="0" w:line="240" w:lineRule="auto"/>
              <w:jc w:val="center"/>
              <w:rPr>
                <w:rFonts w:ascii="Times New Roman" w:eastAsia="Times New Roman" w:hAnsi="Times New Roman" w:cs="Times New Roman"/>
                <w:b/>
                <w:bCs/>
                <w:color w:val="000000"/>
                <w:lang w:val="en-AE" w:eastAsia="en-AE"/>
              </w:rPr>
            </w:pPr>
            <w:r w:rsidRPr="00921CE6">
              <w:rPr>
                <w:rFonts w:ascii="Times New Roman" w:eastAsia="Times New Roman" w:hAnsi="Times New Roman" w:cs="Times New Roman"/>
                <w:b/>
                <w:bCs/>
                <w:color w:val="000000"/>
                <w:lang w:val="en-AE" w:eastAsia="en-AE"/>
              </w:rPr>
              <w:t>32%</w:t>
            </w:r>
          </w:p>
        </w:tc>
        <w:tc>
          <w:tcPr>
            <w:tcW w:w="1206" w:type="dxa"/>
            <w:tcBorders>
              <w:top w:val="nil"/>
              <w:left w:val="nil"/>
              <w:bottom w:val="single" w:sz="8" w:space="0" w:color="auto"/>
              <w:right w:val="single" w:sz="8" w:space="0" w:color="auto"/>
            </w:tcBorders>
            <w:shd w:val="clear" w:color="000000" w:fill="538DD3"/>
            <w:vAlign w:val="center"/>
            <w:hideMark/>
          </w:tcPr>
          <w:p w14:paraId="2DF888B9" w14:textId="77777777" w:rsidR="00921CE6" w:rsidRPr="00921CE6" w:rsidRDefault="00921CE6" w:rsidP="00921CE6">
            <w:pPr>
              <w:spacing w:after="0" w:line="240" w:lineRule="auto"/>
              <w:rPr>
                <w:rFonts w:ascii="Times New Roman" w:eastAsia="Times New Roman" w:hAnsi="Times New Roman" w:cs="Times New Roman"/>
                <w:color w:val="000000"/>
                <w:sz w:val="20"/>
                <w:szCs w:val="20"/>
                <w:lang w:val="en-AE" w:eastAsia="en-AE"/>
              </w:rPr>
            </w:pPr>
            <w:r w:rsidRPr="00921CE6">
              <w:rPr>
                <w:rFonts w:ascii="Times New Roman" w:eastAsia="Times New Roman" w:hAnsi="Times New Roman" w:cs="Times New Roman"/>
                <w:color w:val="000000"/>
                <w:sz w:val="20"/>
                <w:szCs w:val="20"/>
                <w:lang w:val="en-AE" w:eastAsia="en-AE"/>
              </w:rPr>
              <w:t> </w:t>
            </w:r>
          </w:p>
        </w:tc>
      </w:tr>
      <w:tr w:rsidR="00921CE6" w:rsidRPr="00921CE6" w14:paraId="679A3E59" w14:textId="77777777" w:rsidTr="00411F3C">
        <w:trPr>
          <w:trHeight w:val="315"/>
          <w:jc w:val="center"/>
        </w:trPr>
        <w:tc>
          <w:tcPr>
            <w:tcW w:w="5980" w:type="dxa"/>
            <w:tcBorders>
              <w:top w:val="nil"/>
              <w:left w:val="single" w:sz="8" w:space="0" w:color="auto"/>
              <w:bottom w:val="single" w:sz="8" w:space="0" w:color="auto"/>
              <w:right w:val="single" w:sz="8" w:space="0" w:color="auto"/>
            </w:tcBorders>
            <w:shd w:val="clear" w:color="000000" w:fill="8DB3E1"/>
            <w:vAlign w:val="center"/>
            <w:hideMark/>
          </w:tcPr>
          <w:p w14:paraId="07CA73D5" w14:textId="77777777" w:rsidR="00921CE6" w:rsidRPr="00921CE6" w:rsidRDefault="00921CE6" w:rsidP="00921CE6">
            <w:pPr>
              <w:spacing w:after="0" w:line="240" w:lineRule="auto"/>
              <w:rPr>
                <w:rFonts w:ascii="Times New Roman" w:eastAsia="Times New Roman" w:hAnsi="Times New Roman" w:cs="Times New Roman"/>
                <w:b/>
                <w:bCs/>
                <w:color w:val="000000"/>
                <w:lang w:val="en-AE" w:eastAsia="en-AE"/>
              </w:rPr>
            </w:pPr>
            <w:r w:rsidRPr="00921CE6">
              <w:rPr>
                <w:rFonts w:ascii="Times New Roman" w:eastAsia="Times New Roman" w:hAnsi="Times New Roman" w:cs="Times New Roman"/>
                <w:b/>
                <w:bCs/>
                <w:color w:val="000000"/>
                <w:lang w:val="en-AE" w:eastAsia="en-AE"/>
              </w:rPr>
              <w:t>Εισπράξεις</w:t>
            </w:r>
          </w:p>
        </w:tc>
        <w:tc>
          <w:tcPr>
            <w:tcW w:w="700" w:type="dxa"/>
            <w:tcBorders>
              <w:top w:val="nil"/>
              <w:left w:val="nil"/>
              <w:bottom w:val="single" w:sz="8" w:space="0" w:color="auto"/>
              <w:right w:val="single" w:sz="8" w:space="0" w:color="auto"/>
            </w:tcBorders>
            <w:shd w:val="clear" w:color="000000" w:fill="8DB3E1"/>
            <w:vAlign w:val="center"/>
            <w:hideMark/>
          </w:tcPr>
          <w:p w14:paraId="7CCA6E18" w14:textId="77777777" w:rsidR="00921CE6" w:rsidRPr="00921CE6" w:rsidRDefault="00921CE6" w:rsidP="00921CE6">
            <w:pPr>
              <w:spacing w:after="0" w:line="240" w:lineRule="auto"/>
              <w:jc w:val="center"/>
              <w:rPr>
                <w:rFonts w:ascii="Times New Roman" w:eastAsia="Times New Roman" w:hAnsi="Times New Roman" w:cs="Times New Roman"/>
                <w:b/>
                <w:bCs/>
                <w:color w:val="000000"/>
                <w:lang w:val="en-AE" w:eastAsia="en-AE"/>
              </w:rPr>
            </w:pPr>
            <w:r w:rsidRPr="00921CE6">
              <w:rPr>
                <w:rFonts w:ascii="Times New Roman" w:eastAsia="Times New Roman" w:hAnsi="Times New Roman" w:cs="Times New Roman"/>
                <w:b/>
                <w:bCs/>
                <w:color w:val="000000"/>
                <w:lang w:val="en-AE" w:eastAsia="en-AE"/>
              </w:rPr>
              <w:t>783</w:t>
            </w:r>
          </w:p>
        </w:tc>
        <w:tc>
          <w:tcPr>
            <w:tcW w:w="700" w:type="dxa"/>
            <w:tcBorders>
              <w:top w:val="nil"/>
              <w:left w:val="nil"/>
              <w:bottom w:val="single" w:sz="8" w:space="0" w:color="auto"/>
              <w:right w:val="single" w:sz="8" w:space="0" w:color="auto"/>
            </w:tcBorders>
            <w:shd w:val="clear" w:color="000000" w:fill="8DB3E1"/>
            <w:vAlign w:val="center"/>
            <w:hideMark/>
          </w:tcPr>
          <w:p w14:paraId="7CEE8600" w14:textId="77777777" w:rsidR="00921CE6" w:rsidRPr="00921CE6" w:rsidRDefault="00921CE6" w:rsidP="00921CE6">
            <w:pPr>
              <w:spacing w:after="0" w:line="240" w:lineRule="auto"/>
              <w:jc w:val="center"/>
              <w:rPr>
                <w:rFonts w:ascii="Times New Roman" w:eastAsia="Times New Roman" w:hAnsi="Times New Roman" w:cs="Times New Roman"/>
                <w:b/>
                <w:bCs/>
                <w:color w:val="000000"/>
                <w:lang w:val="en-AE" w:eastAsia="en-AE"/>
              </w:rPr>
            </w:pPr>
            <w:r w:rsidRPr="00921CE6">
              <w:rPr>
                <w:rFonts w:ascii="Times New Roman" w:eastAsia="Times New Roman" w:hAnsi="Times New Roman" w:cs="Times New Roman"/>
                <w:b/>
                <w:bCs/>
                <w:color w:val="000000"/>
                <w:lang w:val="en-AE" w:eastAsia="en-AE"/>
              </w:rPr>
              <w:t>801</w:t>
            </w:r>
          </w:p>
        </w:tc>
        <w:tc>
          <w:tcPr>
            <w:tcW w:w="700" w:type="dxa"/>
            <w:tcBorders>
              <w:top w:val="nil"/>
              <w:left w:val="nil"/>
              <w:bottom w:val="single" w:sz="8" w:space="0" w:color="auto"/>
              <w:right w:val="single" w:sz="8" w:space="0" w:color="auto"/>
            </w:tcBorders>
            <w:shd w:val="clear" w:color="000000" w:fill="8DB3E1"/>
            <w:vAlign w:val="center"/>
            <w:hideMark/>
          </w:tcPr>
          <w:p w14:paraId="6597B4CB" w14:textId="77777777" w:rsidR="00921CE6" w:rsidRPr="00921CE6" w:rsidRDefault="00921CE6" w:rsidP="00921CE6">
            <w:pPr>
              <w:spacing w:after="0" w:line="240" w:lineRule="auto"/>
              <w:jc w:val="center"/>
              <w:rPr>
                <w:rFonts w:ascii="Times New Roman" w:eastAsia="Times New Roman" w:hAnsi="Times New Roman" w:cs="Times New Roman"/>
                <w:b/>
                <w:bCs/>
                <w:color w:val="000000"/>
                <w:lang w:val="en-AE" w:eastAsia="en-AE"/>
              </w:rPr>
            </w:pPr>
            <w:r w:rsidRPr="00921CE6">
              <w:rPr>
                <w:rFonts w:ascii="Times New Roman" w:eastAsia="Times New Roman" w:hAnsi="Times New Roman" w:cs="Times New Roman"/>
                <w:b/>
                <w:bCs/>
                <w:color w:val="000000"/>
                <w:lang w:val="en-AE" w:eastAsia="en-AE"/>
              </w:rPr>
              <w:t>1014</w:t>
            </w:r>
          </w:p>
        </w:tc>
        <w:tc>
          <w:tcPr>
            <w:tcW w:w="1180" w:type="dxa"/>
            <w:tcBorders>
              <w:top w:val="nil"/>
              <w:left w:val="nil"/>
              <w:bottom w:val="single" w:sz="8" w:space="0" w:color="auto"/>
              <w:right w:val="single" w:sz="8" w:space="0" w:color="auto"/>
            </w:tcBorders>
            <w:shd w:val="clear" w:color="000000" w:fill="8DB3E1"/>
            <w:vAlign w:val="center"/>
            <w:hideMark/>
          </w:tcPr>
          <w:p w14:paraId="07FFC743" w14:textId="77777777" w:rsidR="00921CE6" w:rsidRPr="00921CE6" w:rsidRDefault="00921CE6" w:rsidP="00921CE6">
            <w:pPr>
              <w:spacing w:after="0" w:line="240" w:lineRule="auto"/>
              <w:jc w:val="center"/>
              <w:rPr>
                <w:rFonts w:ascii="Times New Roman" w:eastAsia="Times New Roman" w:hAnsi="Times New Roman" w:cs="Times New Roman"/>
                <w:b/>
                <w:bCs/>
                <w:color w:val="000000"/>
                <w:lang w:val="en-AE" w:eastAsia="en-AE"/>
              </w:rPr>
            </w:pPr>
            <w:r w:rsidRPr="00921CE6">
              <w:rPr>
                <w:rFonts w:ascii="Times New Roman" w:eastAsia="Times New Roman" w:hAnsi="Times New Roman" w:cs="Times New Roman"/>
                <w:b/>
                <w:bCs/>
                <w:color w:val="000000"/>
                <w:lang w:val="en-AE" w:eastAsia="en-AE"/>
              </w:rPr>
              <w:t>27%</w:t>
            </w:r>
          </w:p>
        </w:tc>
        <w:tc>
          <w:tcPr>
            <w:tcW w:w="1206" w:type="dxa"/>
            <w:tcBorders>
              <w:top w:val="nil"/>
              <w:left w:val="nil"/>
              <w:bottom w:val="single" w:sz="8" w:space="0" w:color="auto"/>
              <w:right w:val="single" w:sz="8" w:space="0" w:color="auto"/>
            </w:tcBorders>
            <w:shd w:val="clear" w:color="000000" w:fill="8DB3E1"/>
            <w:vAlign w:val="center"/>
            <w:hideMark/>
          </w:tcPr>
          <w:p w14:paraId="7A8BFDF3" w14:textId="77777777" w:rsidR="00921CE6" w:rsidRPr="00921CE6" w:rsidRDefault="00921CE6" w:rsidP="00921CE6">
            <w:pPr>
              <w:spacing w:after="0" w:line="240" w:lineRule="auto"/>
              <w:jc w:val="center"/>
              <w:rPr>
                <w:rFonts w:ascii="Times New Roman" w:eastAsia="Times New Roman" w:hAnsi="Times New Roman" w:cs="Times New Roman"/>
                <w:b/>
                <w:bCs/>
                <w:color w:val="000000"/>
                <w:lang w:val="en-AE" w:eastAsia="en-AE"/>
              </w:rPr>
            </w:pPr>
            <w:r w:rsidRPr="00921CE6">
              <w:rPr>
                <w:rFonts w:ascii="Times New Roman" w:eastAsia="Times New Roman" w:hAnsi="Times New Roman" w:cs="Times New Roman"/>
                <w:b/>
                <w:bCs/>
                <w:color w:val="000000"/>
                <w:lang w:val="en-AE" w:eastAsia="en-AE"/>
              </w:rPr>
              <w:t>100%</w:t>
            </w:r>
          </w:p>
        </w:tc>
      </w:tr>
      <w:tr w:rsidR="00921CE6" w:rsidRPr="00921CE6" w14:paraId="35AC3F56" w14:textId="77777777" w:rsidTr="00411F3C">
        <w:trPr>
          <w:trHeight w:val="315"/>
          <w:jc w:val="center"/>
        </w:trPr>
        <w:tc>
          <w:tcPr>
            <w:tcW w:w="5980" w:type="dxa"/>
            <w:tcBorders>
              <w:top w:val="nil"/>
              <w:left w:val="single" w:sz="8" w:space="0" w:color="auto"/>
              <w:bottom w:val="single" w:sz="8" w:space="0" w:color="auto"/>
              <w:right w:val="single" w:sz="8" w:space="0" w:color="auto"/>
            </w:tcBorders>
            <w:shd w:val="clear" w:color="auto" w:fill="auto"/>
            <w:vAlign w:val="center"/>
            <w:hideMark/>
          </w:tcPr>
          <w:p w14:paraId="2356CBE7" w14:textId="77777777" w:rsidR="00921CE6" w:rsidRPr="00921CE6" w:rsidRDefault="00921CE6" w:rsidP="00921CE6">
            <w:pPr>
              <w:spacing w:after="0" w:line="240" w:lineRule="auto"/>
              <w:rPr>
                <w:rFonts w:ascii="Times New Roman" w:eastAsia="Times New Roman" w:hAnsi="Times New Roman" w:cs="Times New Roman"/>
                <w:color w:val="000000"/>
                <w:lang w:eastAsia="en-AE"/>
              </w:rPr>
            </w:pPr>
            <w:r w:rsidRPr="00921CE6">
              <w:rPr>
                <w:rFonts w:ascii="Times New Roman" w:eastAsia="Times New Roman" w:hAnsi="Times New Roman" w:cs="Times New Roman"/>
                <w:color w:val="000000"/>
                <w:lang w:eastAsia="en-AE"/>
              </w:rPr>
              <w:t>Υπηρεσίες μεταποίησης αγαθών τα οποία ανήκουν σε άλλους</w:t>
            </w:r>
          </w:p>
        </w:tc>
        <w:tc>
          <w:tcPr>
            <w:tcW w:w="700" w:type="dxa"/>
            <w:tcBorders>
              <w:top w:val="nil"/>
              <w:left w:val="nil"/>
              <w:bottom w:val="single" w:sz="8" w:space="0" w:color="auto"/>
              <w:right w:val="single" w:sz="8" w:space="0" w:color="auto"/>
            </w:tcBorders>
            <w:shd w:val="clear" w:color="auto" w:fill="auto"/>
            <w:vAlign w:val="center"/>
            <w:hideMark/>
          </w:tcPr>
          <w:p w14:paraId="53D92227"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w:t>
            </w:r>
          </w:p>
        </w:tc>
        <w:tc>
          <w:tcPr>
            <w:tcW w:w="700" w:type="dxa"/>
            <w:tcBorders>
              <w:top w:val="nil"/>
              <w:left w:val="nil"/>
              <w:bottom w:val="single" w:sz="8" w:space="0" w:color="auto"/>
              <w:right w:val="single" w:sz="8" w:space="0" w:color="auto"/>
            </w:tcBorders>
            <w:shd w:val="clear" w:color="auto" w:fill="auto"/>
            <w:vAlign w:val="center"/>
            <w:hideMark/>
          </w:tcPr>
          <w:p w14:paraId="4C0005B6"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w:t>
            </w:r>
          </w:p>
        </w:tc>
        <w:tc>
          <w:tcPr>
            <w:tcW w:w="700" w:type="dxa"/>
            <w:tcBorders>
              <w:top w:val="nil"/>
              <w:left w:val="nil"/>
              <w:bottom w:val="single" w:sz="8" w:space="0" w:color="auto"/>
              <w:right w:val="single" w:sz="8" w:space="0" w:color="auto"/>
            </w:tcBorders>
            <w:shd w:val="clear" w:color="auto" w:fill="auto"/>
            <w:vAlign w:val="center"/>
            <w:hideMark/>
          </w:tcPr>
          <w:p w14:paraId="37E80543"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w:t>
            </w:r>
          </w:p>
        </w:tc>
        <w:tc>
          <w:tcPr>
            <w:tcW w:w="1180" w:type="dxa"/>
            <w:tcBorders>
              <w:top w:val="nil"/>
              <w:left w:val="nil"/>
              <w:bottom w:val="single" w:sz="8" w:space="0" w:color="auto"/>
              <w:right w:val="single" w:sz="8" w:space="0" w:color="auto"/>
            </w:tcBorders>
            <w:shd w:val="clear" w:color="auto" w:fill="auto"/>
            <w:vAlign w:val="center"/>
            <w:hideMark/>
          </w:tcPr>
          <w:p w14:paraId="5B1EB5A1"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μ/δ</w:t>
            </w:r>
          </w:p>
        </w:tc>
        <w:tc>
          <w:tcPr>
            <w:tcW w:w="1206" w:type="dxa"/>
            <w:tcBorders>
              <w:top w:val="nil"/>
              <w:left w:val="nil"/>
              <w:bottom w:val="single" w:sz="8" w:space="0" w:color="auto"/>
              <w:right w:val="single" w:sz="8" w:space="0" w:color="auto"/>
            </w:tcBorders>
            <w:shd w:val="clear" w:color="auto" w:fill="auto"/>
            <w:vAlign w:val="center"/>
            <w:hideMark/>
          </w:tcPr>
          <w:p w14:paraId="442AB69B"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w:t>
            </w:r>
          </w:p>
        </w:tc>
      </w:tr>
      <w:tr w:rsidR="00921CE6" w:rsidRPr="00921CE6" w14:paraId="2850E6FE" w14:textId="77777777" w:rsidTr="00411F3C">
        <w:trPr>
          <w:trHeight w:val="615"/>
          <w:jc w:val="center"/>
        </w:trPr>
        <w:tc>
          <w:tcPr>
            <w:tcW w:w="5980" w:type="dxa"/>
            <w:tcBorders>
              <w:top w:val="nil"/>
              <w:left w:val="single" w:sz="8" w:space="0" w:color="auto"/>
              <w:bottom w:val="single" w:sz="8" w:space="0" w:color="auto"/>
              <w:right w:val="single" w:sz="8" w:space="0" w:color="auto"/>
            </w:tcBorders>
            <w:shd w:val="clear" w:color="auto" w:fill="auto"/>
            <w:vAlign w:val="center"/>
            <w:hideMark/>
          </w:tcPr>
          <w:p w14:paraId="2C0696B7" w14:textId="77777777" w:rsidR="00921CE6" w:rsidRPr="00921CE6" w:rsidRDefault="00921CE6" w:rsidP="00921CE6">
            <w:pPr>
              <w:spacing w:after="0" w:line="240" w:lineRule="auto"/>
              <w:rPr>
                <w:rFonts w:ascii="Times New Roman" w:eastAsia="Times New Roman" w:hAnsi="Times New Roman" w:cs="Times New Roman"/>
                <w:color w:val="000000"/>
                <w:lang w:eastAsia="en-AE"/>
              </w:rPr>
            </w:pPr>
            <w:r w:rsidRPr="00921CE6">
              <w:rPr>
                <w:rFonts w:ascii="Times New Roman" w:eastAsia="Times New Roman" w:hAnsi="Times New Roman" w:cs="Times New Roman"/>
                <w:color w:val="000000"/>
                <w:lang w:eastAsia="en-AE"/>
              </w:rPr>
              <w:t>Υπηρεσίες συντήρησης και επισκευής που δεν περιλαμβάνονται αλλού</w:t>
            </w:r>
          </w:p>
        </w:tc>
        <w:tc>
          <w:tcPr>
            <w:tcW w:w="700" w:type="dxa"/>
            <w:tcBorders>
              <w:top w:val="nil"/>
              <w:left w:val="nil"/>
              <w:bottom w:val="single" w:sz="8" w:space="0" w:color="auto"/>
              <w:right w:val="single" w:sz="8" w:space="0" w:color="auto"/>
            </w:tcBorders>
            <w:shd w:val="clear" w:color="auto" w:fill="auto"/>
            <w:vAlign w:val="center"/>
            <w:hideMark/>
          </w:tcPr>
          <w:p w14:paraId="13D0C778"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2</w:t>
            </w:r>
          </w:p>
        </w:tc>
        <w:tc>
          <w:tcPr>
            <w:tcW w:w="700" w:type="dxa"/>
            <w:tcBorders>
              <w:top w:val="nil"/>
              <w:left w:val="nil"/>
              <w:bottom w:val="single" w:sz="8" w:space="0" w:color="auto"/>
              <w:right w:val="single" w:sz="8" w:space="0" w:color="auto"/>
            </w:tcBorders>
            <w:shd w:val="clear" w:color="auto" w:fill="auto"/>
            <w:vAlign w:val="center"/>
            <w:hideMark/>
          </w:tcPr>
          <w:p w14:paraId="4B810A07"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3</w:t>
            </w:r>
          </w:p>
        </w:tc>
        <w:tc>
          <w:tcPr>
            <w:tcW w:w="700" w:type="dxa"/>
            <w:tcBorders>
              <w:top w:val="nil"/>
              <w:left w:val="nil"/>
              <w:bottom w:val="single" w:sz="8" w:space="0" w:color="auto"/>
              <w:right w:val="single" w:sz="8" w:space="0" w:color="auto"/>
            </w:tcBorders>
            <w:shd w:val="clear" w:color="auto" w:fill="auto"/>
            <w:vAlign w:val="center"/>
            <w:hideMark/>
          </w:tcPr>
          <w:p w14:paraId="306A9AAA"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2</w:t>
            </w:r>
          </w:p>
        </w:tc>
        <w:tc>
          <w:tcPr>
            <w:tcW w:w="1180" w:type="dxa"/>
            <w:tcBorders>
              <w:top w:val="nil"/>
              <w:left w:val="nil"/>
              <w:bottom w:val="single" w:sz="8" w:space="0" w:color="auto"/>
              <w:right w:val="single" w:sz="8" w:space="0" w:color="auto"/>
            </w:tcBorders>
            <w:shd w:val="clear" w:color="auto" w:fill="auto"/>
            <w:vAlign w:val="center"/>
            <w:hideMark/>
          </w:tcPr>
          <w:p w14:paraId="04BC49B9"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-33%</w:t>
            </w:r>
          </w:p>
        </w:tc>
        <w:tc>
          <w:tcPr>
            <w:tcW w:w="1206" w:type="dxa"/>
            <w:tcBorders>
              <w:top w:val="nil"/>
              <w:left w:val="nil"/>
              <w:bottom w:val="single" w:sz="8" w:space="0" w:color="auto"/>
              <w:right w:val="single" w:sz="8" w:space="0" w:color="auto"/>
            </w:tcBorders>
            <w:shd w:val="clear" w:color="auto" w:fill="auto"/>
            <w:vAlign w:val="center"/>
            <w:hideMark/>
          </w:tcPr>
          <w:p w14:paraId="4664E924"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0,2%</w:t>
            </w:r>
          </w:p>
        </w:tc>
      </w:tr>
      <w:tr w:rsidR="00921CE6" w:rsidRPr="00921CE6" w14:paraId="7B5C12F6" w14:textId="77777777" w:rsidTr="00411F3C">
        <w:trPr>
          <w:trHeight w:val="315"/>
          <w:jc w:val="center"/>
        </w:trPr>
        <w:tc>
          <w:tcPr>
            <w:tcW w:w="5980" w:type="dxa"/>
            <w:tcBorders>
              <w:top w:val="nil"/>
              <w:left w:val="single" w:sz="8" w:space="0" w:color="auto"/>
              <w:bottom w:val="single" w:sz="8" w:space="0" w:color="auto"/>
              <w:right w:val="single" w:sz="8" w:space="0" w:color="auto"/>
            </w:tcBorders>
            <w:shd w:val="clear" w:color="auto" w:fill="auto"/>
            <w:vAlign w:val="center"/>
            <w:hideMark/>
          </w:tcPr>
          <w:p w14:paraId="42BA5ABE" w14:textId="77777777" w:rsidR="00921CE6" w:rsidRPr="00921CE6" w:rsidRDefault="00921CE6" w:rsidP="00921CE6">
            <w:pPr>
              <w:spacing w:after="0" w:line="240" w:lineRule="auto"/>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Ταξιδιωτικό</w:t>
            </w:r>
          </w:p>
        </w:tc>
        <w:tc>
          <w:tcPr>
            <w:tcW w:w="700" w:type="dxa"/>
            <w:tcBorders>
              <w:top w:val="nil"/>
              <w:left w:val="nil"/>
              <w:bottom w:val="single" w:sz="8" w:space="0" w:color="auto"/>
              <w:right w:val="single" w:sz="8" w:space="0" w:color="auto"/>
            </w:tcBorders>
            <w:shd w:val="clear" w:color="auto" w:fill="auto"/>
            <w:vAlign w:val="center"/>
            <w:hideMark/>
          </w:tcPr>
          <w:p w14:paraId="0237F4E8"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69</w:t>
            </w:r>
          </w:p>
        </w:tc>
        <w:tc>
          <w:tcPr>
            <w:tcW w:w="700" w:type="dxa"/>
            <w:tcBorders>
              <w:top w:val="nil"/>
              <w:left w:val="nil"/>
              <w:bottom w:val="single" w:sz="8" w:space="0" w:color="auto"/>
              <w:right w:val="single" w:sz="8" w:space="0" w:color="auto"/>
            </w:tcBorders>
            <w:shd w:val="clear" w:color="auto" w:fill="auto"/>
            <w:vAlign w:val="center"/>
            <w:hideMark/>
          </w:tcPr>
          <w:p w14:paraId="37BB1F81"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91</w:t>
            </w:r>
          </w:p>
        </w:tc>
        <w:tc>
          <w:tcPr>
            <w:tcW w:w="700" w:type="dxa"/>
            <w:tcBorders>
              <w:top w:val="nil"/>
              <w:left w:val="nil"/>
              <w:bottom w:val="single" w:sz="8" w:space="0" w:color="auto"/>
              <w:right w:val="single" w:sz="8" w:space="0" w:color="auto"/>
            </w:tcBorders>
            <w:shd w:val="clear" w:color="auto" w:fill="auto"/>
            <w:vAlign w:val="center"/>
            <w:hideMark/>
          </w:tcPr>
          <w:p w14:paraId="20B46CB0"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94</w:t>
            </w:r>
          </w:p>
        </w:tc>
        <w:tc>
          <w:tcPr>
            <w:tcW w:w="1180" w:type="dxa"/>
            <w:tcBorders>
              <w:top w:val="nil"/>
              <w:left w:val="nil"/>
              <w:bottom w:val="single" w:sz="8" w:space="0" w:color="auto"/>
              <w:right w:val="single" w:sz="8" w:space="0" w:color="auto"/>
            </w:tcBorders>
            <w:shd w:val="clear" w:color="auto" w:fill="auto"/>
            <w:vAlign w:val="center"/>
            <w:hideMark/>
          </w:tcPr>
          <w:p w14:paraId="44BA57BB"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3%</w:t>
            </w:r>
          </w:p>
        </w:tc>
        <w:tc>
          <w:tcPr>
            <w:tcW w:w="1206" w:type="dxa"/>
            <w:tcBorders>
              <w:top w:val="nil"/>
              <w:left w:val="nil"/>
              <w:bottom w:val="single" w:sz="8" w:space="0" w:color="auto"/>
              <w:right w:val="single" w:sz="8" w:space="0" w:color="auto"/>
            </w:tcBorders>
            <w:shd w:val="clear" w:color="auto" w:fill="auto"/>
            <w:vAlign w:val="center"/>
            <w:hideMark/>
          </w:tcPr>
          <w:p w14:paraId="3BC478D3"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9,3%</w:t>
            </w:r>
          </w:p>
        </w:tc>
      </w:tr>
      <w:tr w:rsidR="00921CE6" w:rsidRPr="00921CE6" w14:paraId="43FFF71C" w14:textId="77777777" w:rsidTr="00411F3C">
        <w:trPr>
          <w:trHeight w:val="315"/>
          <w:jc w:val="center"/>
        </w:trPr>
        <w:tc>
          <w:tcPr>
            <w:tcW w:w="5980" w:type="dxa"/>
            <w:tcBorders>
              <w:top w:val="nil"/>
              <w:left w:val="single" w:sz="8" w:space="0" w:color="auto"/>
              <w:bottom w:val="single" w:sz="8" w:space="0" w:color="auto"/>
              <w:right w:val="single" w:sz="8" w:space="0" w:color="auto"/>
            </w:tcBorders>
            <w:shd w:val="clear" w:color="auto" w:fill="auto"/>
            <w:vAlign w:val="center"/>
            <w:hideMark/>
          </w:tcPr>
          <w:p w14:paraId="16505F2E" w14:textId="77777777" w:rsidR="00921CE6" w:rsidRPr="00921CE6" w:rsidRDefault="00921CE6" w:rsidP="00921CE6">
            <w:pPr>
              <w:spacing w:after="0" w:line="240" w:lineRule="auto"/>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Θαλάσσιες μεταφορές</w:t>
            </w:r>
          </w:p>
        </w:tc>
        <w:tc>
          <w:tcPr>
            <w:tcW w:w="700" w:type="dxa"/>
            <w:tcBorders>
              <w:top w:val="nil"/>
              <w:left w:val="nil"/>
              <w:bottom w:val="single" w:sz="8" w:space="0" w:color="auto"/>
              <w:right w:val="single" w:sz="8" w:space="0" w:color="auto"/>
            </w:tcBorders>
            <w:shd w:val="clear" w:color="auto" w:fill="auto"/>
            <w:vAlign w:val="center"/>
            <w:hideMark/>
          </w:tcPr>
          <w:p w14:paraId="24602C46"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609</w:t>
            </w:r>
          </w:p>
        </w:tc>
        <w:tc>
          <w:tcPr>
            <w:tcW w:w="700" w:type="dxa"/>
            <w:tcBorders>
              <w:top w:val="nil"/>
              <w:left w:val="nil"/>
              <w:bottom w:val="single" w:sz="8" w:space="0" w:color="auto"/>
              <w:right w:val="single" w:sz="8" w:space="0" w:color="auto"/>
            </w:tcBorders>
            <w:shd w:val="clear" w:color="auto" w:fill="auto"/>
            <w:vAlign w:val="center"/>
            <w:hideMark/>
          </w:tcPr>
          <w:p w14:paraId="188F34A0"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571</w:t>
            </w:r>
          </w:p>
        </w:tc>
        <w:tc>
          <w:tcPr>
            <w:tcW w:w="700" w:type="dxa"/>
            <w:tcBorders>
              <w:top w:val="nil"/>
              <w:left w:val="nil"/>
              <w:bottom w:val="single" w:sz="8" w:space="0" w:color="auto"/>
              <w:right w:val="single" w:sz="8" w:space="0" w:color="auto"/>
            </w:tcBorders>
            <w:shd w:val="clear" w:color="auto" w:fill="auto"/>
            <w:vAlign w:val="center"/>
            <w:hideMark/>
          </w:tcPr>
          <w:p w14:paraId="48E2A4A2"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768</w:t>
            </w:r>
          </w:p>
        </w:tc>
        <w:tc>
          <w:tcPr>
            <w:tcW w:w="1180" w:type="dxa"/>
            <w:tcBorders>
              <w:top w:val="nil"/>
              <w:left w:val="nil"/>
              <w:bottom w:val="single" w:sz="8" w:space="0" w:color="auto"/>
              <w:right w:val="single" w:sz="8" w:space="0" w:color="auto"/>
            </w:tcBorders>
            <w:shd w:val="clear" w:color="auto" w:fill="auto"/>
            <w:vAlign w:val="center"/>
            <w:hideMark/>
          </w:tcPr>
          <w:p w14:paraId="39D2B1C5"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35%</w:t>
            </w:r>
          </w:p>
        </w:tc>
        <w:tc>
          <w:tcPr>
            <w:tcW w:w="1206" w:type="dxa"/>
            <w:tcBorders>
              <w:top w:val="nil"/>
              <w:left w:val="nil"/>
              <w:bottom w:val="single" w:sz="8" w:space="0" w:color="auto"/>
              <w:right w:val="single" w:sz="8" w:space="0" w:color="auto"/>
            </w:tcBorders>
            <w:shd w:val="clear" w:color="auto" w:fill="auto"/>
            <w:vAlign w:val="center"/>
            <w:hideMark/>
          </w:tcPr>
          <w:p w14:paraId="62FAA104"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75,7%</w:t>
            </w:r>
          </w:p>
        </w:tc>
      </w:tr>
      <w:tr w:rsidR="00921CE6" w:rsidRPr="00921CE6" w14:paraId="40288090" w14:textId="77777777" w:rsidTr="00411F3C">
        <w:trPr>
          <w:trHeight w:val="315"/>
          <w:jc w:val="center"/>
        </w:trPr>
        <w:tc>
          <w:tcPr>
            <w:tcW w:w="5980" w:type="dxa"/>
            <w:tcBorders>
              <w:top w:val="nil"/>
              <w:left w:val="single" w:sz="8" w:space="0" w:color="auto"/>
              <w:bottom w:val="single" w:sz="4" w:space="0" w:color="auto"/>
              <w:right w:val="single" w:sz="8" w:space="0" w:color="auto"/>
            </w:tcBorders>
            <w:shd w:val="clear" w:color="auto" w:fill="auto"/>
            <w:vAlign w:val="center"/>
            <w:hideMark/>
          </w:tcPr>
          <w:p w14:paraId="4DB7D326" w14:textId="77777777" w:rsidR="00921CE6" w:rsidRPr="00921CE6" w:rsidRDefault="00921CE6" w:rsidP="00921CE6">
            <w:pPr>
              <w:spacing w:after="0" w:line="240" w:lineRule="auto"/>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Λοιπές μεταφορές</w:t>
            </w:r>
          </w:p>
        </w:tc>
        <w:tc>
          <w:tcPr>
            <w:tcW w:w="700" w:type="dxa"/>
            <w:tcBorders>
              <w:top w:val="nil"/>
              <w:left w:val="nil"/>
              <w:bottom w:val="single" w:sz="4" w:space="0" w:color="auto"/>
              <w:right w:val="single" w:sz="8" w:space="0" w:color="auto"/>
            </w:tcBorders>
            <w:shd w:val="clear" w:color="auto" w:fill="auto"/>
            <w:vAlign w:val="center"/>
            <w:hideMark/>
          </w:tcPr>
          <w:p w14:paraId="202C3AD0"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25</w:t>
            </w:r>
          </w:p>
        </w:tc>
        <w:tc>
          <w:tcPr>
            <w:tcW w:w="700" w:type="dxa"/>
            <w:tcBorders>
              <w:top w:val="nil"/>
              <w:left w:val="nil"/>
              <w:bottom w:val="single" w:sz="4" w:space="0" w:color="auto"/>
              <w:right w:val="single" w:sz="8" w:space="0" w:color="auto"/>
            </w:tcBorders>
            <w:shd w:val="clear" w:color="auto" w:fill="auto"/>
            <w:vAlign w:val="center"/>
            <w:hideMark/>
          </w:tcPr>
          <w:p w14:paraId="5BD90784"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31</w:t>
            </w:r>
          </w:p>
        </w:tc>
        <w:tc>
          <w:tcPr>
            <w:tcW w:w="700" w:type="dxa"/>
            <w:tcBorders>
              <w:top w:val="nil"/>
              <w:left w:val="nil"/>
              <w:bottom w:val="single" w:sz="4" w:space="0" w:color="auto"/>
              <w:right w:val="single" w:sz="8" w:space="0" w:color="auto"/>
            </w:tcBorders>
            <w:shd w:val="clear" w:color="auto" w:fill="auto"/>
            <w:vAlign w:val="center"/>
            <w:hideMark/>
          </w:tcPr>
          <w:p w14:paraId="30023782"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40</w:t>
            </w:r>
          </w:p>
        </w:tc>
        <w:tc>
          <w:tcPr>
            <w:tcW w:w="1180" w:type="dxa"/>
            <w:tcBorders>
              <w:top w:val="nil"/>
              <w:left w:val="nil"/>
              <w:bottom w:val="single" w:sz="4" w:space="0" w:color="auto"/>
              <w:right w:val="single" w:sz="8" w:space="0" w:color="auto"/>
            </w:tcBorders>
            <w:shd w:val="clear" w:color="auto" w:fill="auto"/>
            <w:vAlign w:val="center"/>
            <w:hideMark/>
          </w:tcPr>
          <w:p w14:paraId="601846EC"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29%</w:t>
            </w:r>
          </w:p>
        </w:tc>
        <w:tc>
          <w:tcPr>
            <w:tcW w:w="1206" w:type="dxa"/>
            <w:tcBorders>
              <w:top w:val="nil"/>
              <w:left w:val="nil"/>
              <w:bottom w:val="single" w:sz="4" w:space="0" w:color="auto"/>
              <w:right w:val="single" w:sz="8" w:space="0" w:color="auto"/>
            </w:tcBorders>
            <w:shd w:val="clear" w:color="auto" w:fill="auto"/>
            <w:vAlign w:val="center"/>
            <w:hideMark/>
          </w:tcPr>
          <w:p w14:paraId="1E65BDA1"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3,9%</w:t>
            </w:r>
          </w:p>
        </w:tc>
      </w:tr>
      <w:tr w:rsidR="00921CE6" w:rsidRPr="00921CE6" w14:paraId="3FE3EA59" w14:textId="77777777" w:rsidTr="00411F3C">
        <w:trPr>
          <w:trHeight w:val="315"/>
          <w:jc w:val="center"/>
        </w:trPr>
        <w:tc>
          <w:tcPr>
            <w:tcW w:w="5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8DB31" w14:textId="77777777" w:rsidR="00921CE6" w:rsidRPr="00921CE6" w:rsidRDefault="00921CE6" w:rsidP="00921CE6">
            <w:pPr>
              <w:spacing w:after="0" w:line="240" w:lineRule="auto"/>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Κατασκευαστικές</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DE08F"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19</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CAE3B"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26</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4F6EF"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19</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1FF13"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-27%</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343FC"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1,9%</w:t>
            </w:r>
          </w:p>
        </w:tc>
      </w:tr>
      <w:tr w:rsidR="00921CE6" w:rsidRPr="00921CE6" w14:paraId="325942D5" w14:textId="77777777" w:rsidTr="00411F3C">
        <w:trPr>
          <w:trHeight w:val="315"/>
          <w:jc w:val="center"/>
        </w:trPr>
        <w:tc>
          <w:tcPr>
            <w:tcW w:w="598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5A21CF8" w14:textId="77777777" w:rsidR="00921CE6" w:rsidRPr="00921CE6" w:rsidRDefault="00921CE6" w:rsidP="00921CE6">
            <w:pPr>
              <w:spacing w:after="0" w:line="240" w:lineRule="auto"/>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Ασφαλιστικές και συνταξιοδοτικές</w:t>
            </w:r>
          </w:p>
        </w:tc>
        <w:tc>
          <w:tcPr>
            <w:tcW w:w="700" w:type="dxa"/>
            <w:tcBorders>
              <w:top w:val="single" w:sz="4" w:space="0" w:color="auto"/>
              <w:left w:val="nil"/>
              <w:bottom w:val="single" w:sz="8" w:space="0" w:color="auto"/>
              <w:right w:val="single" w:sz="8" w:space="0" w:color="auto"/>
            </w:tcBorders>
            <w:shd w:val="clear" w:color="auto" w:fill="auto"/>
            <w:vAlign w:val="center"/>
            <w:hideMark/>
          </w:tcPr>
          <w:p w14:paraId="573E1841"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4</w:t>
            </w:r>
          </w:p>
        </w:tc>
        <w:tc>
          <w:tcPr>
            <w:tcW w:w="700" w:type="dxa"/>
            <w:tcBorders>
              <w:top w:val="single" w:sz="4" w:space="0" w:color="auto"/>
              <w:left w:val="nil"/>
              <w:bottom w:val="single" w:sz="8" w:space="0" w:color="auto"/>
              <w:right w:val="single" w:sz="8" w:space="0" w:color="auto"/>
            </w:tcBorders>
            <w:shd w:val="clear" w:color="auto" w:fill="auto"/>
            <w:vAlign w:val="center"/>
            <w:hideMark/>
          </w:tcPr>
          <w:p w14:paraId="04355E5E"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4</w:t>
            </w:r>
          </w:p>
        </w:tc>
        <w:tc>
          <w:tcPr>
            <w:tcW w:w="700" w:type="dxa"/>
            <w:tcBorders>
              <w:top w:val="single" w:sz="4" w:space="0" w:color="auto"/>
              <w:left w:val="nil"/>
              <w:bottom w:val="single" w:sz="8" w:space="0" w:color="auto"/>
              <w:right w:val="single" w:sz="8" w:space="0" w:color="auto"/>
            </w:tcBorders>
            <w:shd w:val="clear" w:color="auto" w:fill="auto"/>
            <w:vAlign w:val="center"/>
            <w:hideMark/>
          </w:tcPr>
          <w:p w14:paraId="0E71ED14"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3</w:t>
            </w:r>
          </w:p>
        </w:tc>
        <w:tc>
          <w:tcPr>
            <w:tcW w:w="1180" w:type="dxa"/>
            <w:tcBorders>
              <w:top w:val="single" w:sz="4" w:space="0" w:color="auto"/>
              <w:left w:val="nil"/>
              <w:bottom w:val="single" w:sz="8" w:space="0" w:color="auto"/>
              <w:right w:val="single" w:sz="8" w:space="0" w:color="auto"/>
            </w:tcBorders>
            <w:shd w:val="clear" w:color="auto" w:fill="auto"/>
            <w:vAlign w:val="center"/>
            <w:hideMark/>
          </w:tcPr>
          <w:p w14:paraId="43A0E332"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-25%</w:t>
            </w:r>
          </w:p>
        </w:tc>
        <w:tc>
          <w:tcPr>
            <w:tcW w:w="1206" w:type="dxa"/>
            <w:tcBorders>
              <w:top w:val="single" w:sz="4" w:space="0" w:color="auto"/>
              <w:left w:val="nil"/>
              <w:bottom w:val="single" w:sz="8" w:space="0" w:color="auto"/>
              <w:right w:val="single" w:sz="8" w:space="0" w:color="auto"/>
            </w:tcBorders>
            <w:shd w:val="clear" w:color="auto" w:fill="auto"/>
            <w:vAlign w:val="center"/>
            <w:hideMark/>
          </w:tcPr>
          <w:p w14:paraId="0E38C138"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0,3%</w:t>
            </w:r>
          </w:p>
        </w:tc>
      </w:tr>
      <w:tr w:rsidR="00921CE6" w:rsidRPr="00921CE6" w14:paraId="6201A140" w14:textId="77777777" w:rsidTr="00411F3C">
        <w:trPr>
          <w:trHeight w:val="315"/>
          <w:jc w:val="center"/>
        </w:trPr>
        <w:tc>
          <w:tcPr>
            <w:tcW w:w="5980" w:type="dxa"/>
            <w:tcBorders>
              <w:top w:val="nil"/>
              <w:left w:val="single" w:sz="8" w:space="0" w:color="auto"/>
              <w:bottom w:val="single" w:sz="8" w:space="0" w:color="auto"/>
              <w:right w:val="single" w:sz="8" w:space="0" w:color="auto"/>
            </w:tcBorders>
            <w:shd w:val="clear" w:color="auto" w:fill="auto"/>
            <w:vAlign w:val="center"/>
            <w:hideMark/>
          </w:tcPr>
          <w:p w14:paraId="2565B5C7" w14:textId="77777777" w:rsidR="00921CE6" w:rsidRPr="00921CE6" w:rsidRDefault="00921CE6" w:rsidP="00921CE6">
            <w:pPr>
              <w:spacing w:after="0" w:line="240" w:lineRule="auto"/>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Χρηματοοοικονομικές</w:t>
            </w:r>
          </w:p>
        </w:tc>
        <w:tc>
          <w:tcPr>
            <w:tcW w:w="700" w:type="dxa"/>
            <w:tcBorders>
              <w:top w:val="nil"/>
              <w:left w:val="nil"/>
              <w:bottom w:val="single" w:sz="8" w:space="0" w:color="auto"/>
              <w:right w:val="single" w:sz="8" w:space="0" w:color="auto"/>
            </w:tcBorders>
            <w:shd w:val="clear" w:color="auto" w:fill="auto"/>
            <w:vAlign w:val="center"/>
            <w:hideMark/>
          </w:tcPr>
          <w:p w14:paraId="49FB694F"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1</w:t>
            </w:r>
          </w:p>
        </w:tc>
        <w:tc>
          <w:tcPr>
            <w:tcW w:w="700" w:type="dxa"/>
            <w:tcBorders>
              <w:top w:val="nil"/>
              <w:left w:val="nil"/>
              <w:bottom w:val="single" w:sz="8" w:space="0" w:color="auto"/>
              <w:right w:val="single" w:sz="8" w:space="0" w:color="auto"/>
            </w:tcBorders>
            <w:shd w:val="clear" w:color="auto" w:fill="auto"/>
            <w:vAlign w:val="center"/>
            <w:hideMark/>
          </w:tcPr>
          <w:p w14:paraId="4D03E99E"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3</w:t>
            </w:r>
          </w:p>
        </w:tc>
        <w:tc>
          <w:tcPr>
            <w:tcW w:w="700" w:type="dxa"/>
            <w:tcBorders>
              <w:top w:val="nil"/>
              <w:left w:val="nil"/>
              <w:bottom w:val="single" w:sz="8" w:space="0" w:color="auto"/>
              <w:right w:val="single" w:sz="8" w:space="0" w:color="auto"/>
            </w:tcBorders>
            <w:shd w:val="clear" w:color="auto" w:fill="auto"/>
            <w:vAlign w:val="center"/>
            <w:hideMark/>
          </w:tcPr>
          <w:p w14:paraId="2A263E26"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3</w:t>
            </w:r>
          </w:p>
        </w:tc>
        <w:tc>
          <w:tcPr>
            <w:tcW w:w="1180" w:type="dxa"/>
            <w:tcBorders>
              <w:top w:val="nil"/>
              <w:left w:val="nil"/>
              <w:bottom w:val="single" w:sz="8" w:space="0" w:color="auto"/>
              <w:right w:val="single" w:sz="8" w:space="0" w:color="auto"/>
            </w:tcBorders>
            <w:shd w:val="clear" w:color="auto" w:fill="auto"/>
            <w:vAlign w:val="center"/>
            <w:hideMark/>
          </w:tcPr>
          <w:p w14:paraId="182AF2ED"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w:t>
            </w:r>
          </w:p>
        </w:tc>
        <w:tc>
          <w:tcPr>
            <w:tcW w:w="1206" w:type="dxa"/>
            <w:tcBorders>
              <w:top w:val="nil"/>
              <w:left w:val="nil"/>
              <w:bottom w:val="single" w:sz="8" w:space="0" w:color="auto"/>
              <w:right w:val="single" w:sz="8" w:space="0" w:color="auto"/>
            </w:tcBorders>
            <w:shd w:val="clear" w:color="auto" w:fill="auto"/>
            <w:vAlign w:val="center"/>
            <w:hideMark/>
          </w:tcPr>
          <w:p w14:paraId="42B62DA3"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0,3%</w:t>
            </w:r>
          </w:p>
        </w:tc>
      </w:tr>
      <w:tr w:rsidR="00921CE6" w:rsidRPr="00921CE6" w14:paraId="611246B1" w14:textId="77777777" w:rsidTr="00411F3C">
        <w:trPr>
          <w:trHeight w:val="615"/>
          <w:jc w:val="center"/>
        </w:trPr>
        <w:tc>
          <w:tcPr>
            <w:tcW w:w="5980" w:type="dxa"/>
            <w:tcBorders>
              <w:top w:val="nil"/>
              <w:left w:val="single" w:sz="8" w:space="0" w:color="auto"/>
              <w:bottom w:val="single" w:sz="8" w:space="0" w:color="auto"/>
              <w:right w:val="single" w:sz="8" w:space="0" w:color="auto"/>
            </w:tcBorders>
            <w:shd w:val="clear" w:color="auto" w:fill="auto"/>
            <w:vAlign w:val="center"/>
            <w:hideMark/>
          </w:tcPr>
          <w:p w14:paraId="739408B0" w14:textId="77777777" w:rsidR="00921CE6" w:rsidRPr="00921CE6" w:rsidRDefault="00921CE6" w:rsidP="00921CE6">
            <w:pPr>
              <w:spacing w:after="0" w:line="240" w:lineRule="auto"/>
              <w:rPr>
                <w:rFonts w:ascii="Times New Roman" w:eastAsia="Times New Roman" w:hAnsi="Times New Roman" w:cs="Times New Roman"/>
                <w:color w:val="000000"/>
                <w:lang w:eastAsia="en-AE"/>
              </w:rPr>
            </w:pPr>
            <w:r w:rsidRPr="00921CE6">
              <w:rPr>
                <w:rFonts w:ascii="Times New Roman" w:eastAsia="Times New Roman" w:hAnsi="Times New Roman" w:cs="Times New Roman"/>
                <w:color w:val="000000"/>
                <w:lang w:eastAsia="en-AE"/>
              </w:rPr>
              <w:t>Χρεώσεις για τη χρήση δικαιωμάτων διανοητικής ιδιοκτησίας (</w:t>
            </w:r>
            <w:r w:rsidRPr="00921CE6">
              <w:rPr>
                <w:rFonts w:ascii="Times New Roman" w:eastAsia="Times New Roman" w:hAnsi="Times New Roman" w:cs="Times New Roman"/>
                <w:color w:val="000000"/>
                <w:lang w:val="en-AE" w:eastAsia="en-AE"/>
              </w:rPr>
              <w:t>Royalties</w:t>
            </w:r>
            <w:r w:rsidRPr="00921CE6">
              <w:rPr>
                <w:rFonts w:ascii="Times New Roman" w:eastAsia="Times New Roman" w:hAnsi="Times New Roman" w:cs="Times New Roman"/>
                <w:color w:val="000000"/>
                <w:lang w:eastAsia="en-AE"/>
              </w:rPr>
              <w:t>)</w:t>
            </w:r>
          </w:p>
        </w:tc>
        <w:tc>
          <w:tcPr>
            <w:tcW w:w="700" w:type="dxa"/>
            <w:tcBorders>
              <w:top w:val="nil"/>
              <w:left w:val="nil"/>
              <w:bottom w:val="single" w:sz="8" w:space="0" w:color="auto"/>
              <w:right w:val="single" w:sz="8" w:space="0" w:color="auto"/>
            </w:tcBorders>
            <w:shd w:val="clear" w:color="auto" w:fill="auto"/>
            <w:vAlign w:val="center"/>
            <w:hideMark/>
          </w:tcPr>
          <w:p w14:paraId="111E2C1F"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w:t>
            </w:r>
          </w:p>
        </w:tc>
        <w:tc>
          <w:tcPr>
            <w:tcW w:w="700" w:type="dxa"/>
            <w:tcBorders>
              <w:top w:val="nil"/>
              <w:left w:val="nil"/>
              <w:bottom w:val="single" w:sz="8" w:space="0" w:color="auto"/>
              <w:right w:val="single" w:sz="8" w:space="0" w:color="auto"/>
            </w:tcBorders>
            <w:shd w:val="clear" w:color="auto" w:fill="auto"/>
            <w:vAlign w:val="center"/>
            <w:hideMark/>
          </w:tcPr>
          <w:p w14:paraId="4D8F4F31"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w:t>
            </w:r>
          </w:p>
        </w:tc>
        <w:tc>
          <w:tcPr>
            <w:tcW w:w="700" w:type="dxa"/>
            <w:tcBorders>
              <w:top w:val="nil"/>
              <w:left w:val="nil"/>
              <w:bottom w:val="single" w:sz="8" w:space="0" w:color="auto"/>
              <w:right w:val="single" w:sz="8" w:space="0" w:color="auto"/>
            </w:tcBorders>
            <w:shd w:val="clear" w:color="auto" w:fill="auto"/>
            <w:vAlign w:val="center"/>
            <w:hideMark/>
          </w:tcPr>
          <w:p w14:paraId="0DDDF1E8"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w:t>
            </w:r>
          </w:p>
        </w:tc>
        <w:tc>
          <w:tcPr>
            <w:tcW w:w="1180" w:type="dxa"/>
            <w:tcBorders>
              <w:top w:val="nil"/>
              <w:left w:val="nil"/>
              <w:bottom w:val="single" w:sz="8" w:space="0" w:color="auto"/>
              <w:right w:val="single" w:sz="8" w:space="0" w:color="auto"/>
            </w:tcBorders>
            <w:shd w:val="clear" w:color="auto" w:fill="auto"/>
            <w:vAlign w:val="center"/>
            <w:hideMark/>
          </w:tcPr>
          <w:p w14:paraId="1696025D"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μ/δ</w:t>
            </w:r>
          </w:p>
        </w:tc>
        <w:tc>
          <w:tcPr>
            <w:tcW w:w="1206" w:type="dxa"/>
            <w:tcBorders>
              <w:top w:val="nil"/>
              <w:left w:val="nil"/>
              <w:bottom w:val="single" w:sz="8" w:space="0" w:color="auto"/>
              <w:right w:val="single" w:sz="8" w:space="0" w:color="auto"/>
            </w:tcBorders>
            <w:shd w:val="clear" w:color="auto" w:fill="auto"/>
            <w:vAlign w:val="center"/>
            <w:hideMark/>
          </w:tcPr>
          <w:p w14:paraId="13E55C4A"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w:t>
            </w:r>
          </w:p>
        </w:tc>
      </w:tr>
      <w:tr w:rsidR="00921CE6" w:rsidRPr="00921CE6" w14:paraId="448E4830" w14:textId="77777777" w:rsidTr="00411F3C">
        <w:trPr>
          <w:trHeight w:val="315"/>
          <w:jc w:val="center"/>
        </w:trPr>
        <w:tc>
          <w:tcPr>
            <w:tcW w:w="5980" w:type="dxa"/>
            <w:tcBorders>
              <w:top w:val="nil"/>
              <w:left w:val="single" w:sz="8" w:space="0" w:color="auto"/>
              <w:bottom w:val="single" w:sz="8" w:space="0" w:color="auto"/>
              <w:right w:val="single" w:sz="8" w:space="0" w:color="auto"/>
            </w:tcBorders>
            <w:shd w:val="clear" w:color="auto" w:fill="auto"/>
            <w:vAlign w:val="center"/>
            <w:hideMark/>
          </w:tcPr>
          <w:p w14:paraId="152EDCE7" w14:textId="77777777" w:rsidR="00921CE6" w:rsidRPr="00921CE6" w:rsidRDefault="00921CE6" w:rsidP="00921CE6">
            <w:pPr>
              <w:spacing w:after="0" w:line="240" w:lineRule="auto"/>
              <w:rPr>
                <w:rFonts w:ascii="Times New Roman" w:eastAsia="Times New Roman" w:hAnsi="Times New Roman" w:cs="Times New Roman"/>
                <w:color w:val="000000"/>
                <w:lang w:eastAsia="en-AE"/>
              </w:rPr>
            </w:pPr>
            <w:r w:rsidRPr="00921CE6">
              <w:rPr>
                <w:rFonts w:ascii="Times New Roman" w:eastAsia="Times New Roman" w:hAnsi="Times New Roman" w:cs="Times New Roman"/>
                <w:color w:val="000000"/>
                <w:lang w:eastAsia="en-AE"/>
              </w:rPr>
              <w:t>Υπηρεσίες τηλεπικοινωνιών, πληροφορικής και πληροφόρησης</w:t>
            </w:r>
          </w:p>
        </w:tc>
        <w:tc>
          <w:tcPr>
            <w:tcW w:w="700" w:type="dxa"/>
            <w:tcBorders>
              <w:top w:val="nil"/>
              <w:left w:val="nil"/>
              <w:bottom w:val="single" w:sz="8" w:space="0" w:color="auto"/>
              <w:right w:val="single" w:sz="8" w:space="0" w:color="auto"/>
            </w:tcBorders>
            <w:shd w:val="clear" w:color="auto" w:fill="auto"/>
            <w:vAlign w:val="center"/>
            <w:hideMark/>
          </w:tcPr>
          <w:p w14:paraId="41DD5346"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12</w:t>
            </w:r>
          </w:p>
        </w:tc>
        <w:tc>
          <w:tcPr>
            <w:tcW w:w="700" w:type="dxa"/>
            <w:tcBorders>
              <w:top w:val="nil"/>
              <w:left w:val="nil"/>
              <w:bottom w:val="single" w:sz="8" w:space="0" w:color="auto"/>
              <w:right w:val="single" w:sz="8" w:space="0" w:color="auto"/>
            </w:tcBorders>
            <w:shd w:val="clear" w:color="auto" w:fill="auto"/>
            <w:vAlign w:val="center"/>
            <w:hideMark/>
          </w:tcPr>
          <w:p w14:paraId="62D07799"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16</w:t>
            </w:r>
          </w:p>
        </w:tc>
        <w:tc>
          <w:tcPr>
            <w:tcW w:w="700" w:type="dxa"/>
            <w:tcBorders>
              <w:top w:val="nil"/>
              <w:left w:val="nil"/>
              <w:bottom w:val="single" w:sz="8" w:space="0" w:color="auto"/>
              <w:right w:val="single" w:sz="8" w:space="0" w:color="auto"/>
            </w:tcBorders>
            <w:shd w:val="clear" w:color="auto" w:fill="auto"/>
            <w:vAlign w:val="center"/>
            <w:hideMark/>
          </w:tcPr>
          <w:p w14:paraId="72891A3F"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19</w:t>
            </w:r>
          </w:p>
        </w:tc>
        <w:tc>
          <w:tcPr>
            <w:tcW w:w="1180" w:type="dxa"/>
            <w:tcBorders>
              <w:top w:val="nil"/>
              <w:left w:val="nil"/>
              <w:bottom w:val="single" w:sz="8" w:space="0" w:color="auto"/>
              <w:right w:val="single" w:sz="8" w:space="0" w:color="auto"/>
            </w:tcBorders>
            <w:shd w:val="clear" w:color="auto" w:fill="auto"/>
            <w:vAlign w:val="center"/>
            <w:hideMark/>
          </w:tcPr>
          <w:p w14:paraId="10C0D1C9"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19%</w:t>
            </w:r>
          </w:p>
        </w:tc>
        <w:tc>
          <w:tcPr>
            <w:tcW w:w="1206" w:type="dxa"/>
            <w:tcBorders>
              <w:top w:val="nil"/>
              <w:left w:val="nil"/>
              <w:bottom w:val="single" w:sz="8" w:space="0" w:color="auto"/>
              <w:right w:val="single" w:sz="8" w:space="0" w:color="auto"/>
            </w:tcBorders>
            <w:shd w:val="clear" w:color="auto" w:fill="auto"/>
            <w:vAlign w:val="center"/>
            <w:hideMark/>
          </w:tcPr>
          <w:p w14:paraId="503CB8E7"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1,9%</w:t>
            </w:r>
          </w:p>
        </w:tc>
      </w:tr>
      <w:tr w:rsidR="00921CE6" w:rsidRPr="00921CE6" w14:paraId="3A0A5D16" w14:textId="77777777" w:rsidTr="00411F3C">
        <w:trPr>
          <w:trHeight w:val="315"/>
          <w:jc w:val="center"/>
        </w:trPr>
        <w:tc>
          <w:tcPr>
            <w:tcW w:w="5980" w:type="dxa"/>
            <w:tcBorders>
              <w:top w:val="nil"/>
              <w:left w:val="single" w:sz="8" w:space="0" w:color="auto"/>
              <w:bottom w:val="single" w:sz="8" w:space="0" w:color="auto"/>
              <w:right w:val="single" w:sz="8" w:space="0" w:color="auto"/>
            </w:tcBorders>
            <w:shd w:val="clear" w:color="auto" w:fill="auto"/>
            <w:vAlign w:val="center"/>
            <w:hideMark/>
          </w:tcPr>
          <w:p w14:paraId="21744436" w14:textId="77777777" w:rsidR="00921CE6" w:rsidRPr="00921CE6" w:rsidRDefault="00921CE6" w:rsidP="00921CE6">
            <w:pPr>
              <w:spacing w:after="0" w:line="240" w:lineRule="auto"/>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Λοιπές υπηρεσίες επιχειρηματικής δραστηριότητας</w:t>
            </w:r>
          </w:p>
        </w:tc>
        <w:tc>
          <w:tcPr>
            <w:tcW w:w="700" w:type="dxa"/>
            <w:tcBorders>
              <w:top w:val="nil"/>
              <w:left w:val="nil"/>
              <w:bottom w:val="single" w:sz="8" w:space="0" w:color="auto"/>
              <w:right w:val="single" w:sz="8" w:space="0" w:color="auto"/>
            </w:tcBorders>
            <w:shd w:val="clear" w:color="auto" w:fill="auto"/>
            <w:vAlign w:val="center"/>
            <w:hideMark/>
          </w:tcPr>
          <w:p w14:paraId="04699F3E"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31</w:t>
            </w:r>
          </w:p>
        </w:tc>
        <w:tc>
          <w:tcPr>
            <w:tcW w:w="700" w:type="dxa"/>
            <w:tcBorders>
              <w:top w:val="nil"/>
              <w:left w:val="nil"/>
              <w:bottom w:val="single" w:sz="8" w:space="0" w:color="auto"/>
              <w:right w:val="single" w:sz="8" w:space="0" w:color="auto"/>
            </w:tcBorders>
            <w:shd w:val="clear" w:color="auto" w:fill="auto"/>
            <w:vAlign w:val="center"/>
            <w:hideMark/>
          </w:tcPr>
          <w:p w14:paraId="630EB5E8"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42</w:t>
            </w:r>
          </w:p>
        </w:tc>
        <w:tc>
          <w:tcPr>
            <w:tcW w:w="700" w:type="dxa"/>
            <w:tcBorders>
              <w:top w:val="nil"/>
              <w:left w:val="nil"/>
              <w:bottom w:val="single" w:sz="8" w:space="0" w:color="auto"/>
              <w:right w:val="single" w:sz="8" w:space="0" w:color="auto"/>
            </w:tcBorders>
            <w:shd w:val="clear" w:color="auto" w:fill="auto"/>
            <w:vAlign w:val="center"/>
            <w:hideMark/>
          </w:tcPr>
          <w:p w14:paraId="466581D0"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52</w:t>
            </w:r>
          </w:p>
        </w:tc>
        <w:tc>
          <w:tcPr>
            <w:tcW w:w="1180" w:type="dxa"/>
            <w:tcBorders>
              <w:top w:val="nil"/>
              <w:left w:val="nil"/>
              <w:bottom w:val="single" w:sz="8" w:space="0" w:color="auto"/>
              <w:right w:val="single" w:sz="8" w:space="0" w:color="auto"/>
            </w:tcBorders>
            <w:shd w:val="clear" w:color="auto" w:fill="auto"/>
            <w:vAlign w:val="center"/>
            <w:hideMark/>
          </w:tcPr>
          <w:p w14:paraId="3F31DE0E"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24%</w:t>
            </w:r>
          </w:p>
        </w:tc>
        <w:tc>
          <w:tcPr>
            <w:tcW w:w="1206" w:type="dxa"/>
            <w:tcBorders>
              <w:top w:val="nil"/>
              <w:left w:val="nil"/>
              <w:bottom w:val="single" w:sz="8" w:space="0" w:color="auto"/>
              <w:right w:val="single" w:sz="8" w:space="0" w:color="auto"/>
            </w:tcBorders>
            <w:shd w:val="clear" w:color="auto" w:fill="auto"/>
            <w:vAlign w:val="center"/>
            <w:hideMark/>
          </w:tcPr>
          <w:p w14:paraId="7720A296"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5,1%</w:t>
            </w:r>
          </w:p>
        </w:tc>
      </w:tr>
      <w:tr w:rsidR="00921CE6" w:rsidRPr="00921CE6" w14:paraId="7D28C5C0" w14:textId="77777777" w:rsidTr="00411F3C">
        <w:trPr>
          <w:trHeight w:val="315"/>
          <w:jc w:val="center"/>
        </w:trPr>
        <w:tc>
          <w:tcPr>
            <w:tcW w:w="5980" w:type="dxa"/>
            <w:tcBorders>
              <w:top w:val="nil"/>
              <w:left w:val="single" w:sz="8" w:space="0" w:color="auto"/>
              <w:bottom w:val="single" w:sz="8" w:space="0" w:color="auto"/>
              <w:right w:val="single" w:sz="8" w:space="0" w:color="auto"/>
            </w:tcBorders>
            <w:shd w:val="clear" w:color="auto" w:fill="auto"/>
            <w:vAlign w:val="center"/>
            <w:hideMark/>
          </w:tcPr>
          <w:p w14:paraId="3AA1F3ED" w14:textId="77777777" w:rsidR="00921CE6" w:rsidRPr="00921CE6" w:rsidRDefault="00921CE6" w:rsidP="00921CE6">
            <w:pPr>
              <w:spacing w:after="0" w:line="240" w:lineRule="auto"/>
              <w:rPr>
                <w:rFonts w:ascii="Times New Roman" w:eastAsia="Times New Roman" w:hAnsi="Times New Roman" w:cs="Times New Roman"/>
                <w:color w:val="000000"/>
                <w:lang w:eastAsia="en-AE"/>
              </w:rPr>
            </w:pPr>
            <w:r w:rsidRPr="00921CE6">
              <w:rPr>
                <w:rFonts w:ascii="Times New Roman" w:eastAsia="Times New Roman" w:hAnsi="Times New Roman" w:cs="Times New Roman"/>
                <w:color w:val="000000"/>
                <w:lang w:eastAsia="en-AE"/>
              </w:rPr>
              <w:t>Υπηρεσίες αναψυχής, πολιτιστικές, προσωπικές, κλπ.</w:t>
            </w:r>
          </w:p>
        </w:tc>
        <w:tc>
          <w:tcPr>
            <w:tcW w:w="700" w:type="dxa"/>
            <w:tcBorders>
              <w:top w:val="nil"/>
              <w:left w:val="nil"/>
              <w:bottom w:val="single" w:sz="8" w:space="0" w:color="auto"/>
              <w:right w:val="single" w:sz="8" w:space="0" w:color="auto"/>
            </w:tcBorders>
            <w:shd w:val="clear" w:color="auto" w:fill="auto"/>
            <w:vAlign w:val="center"/>
            <w:hideMark/>
          </w:tcPr>
          <w:p w14:paraId="7217AA41"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2</w:t>
            </w:r>
          </w:p>
        </w:tc>
        <w:tc>
          <w:tcPr>
            <w:tcW w:w="700" w:type="dxa"/>
            <w:tcBorders>
              <w:top w:val="nil"/>
              <w:left w:val="nil"/>
              <w:bottom w:val="single" w:sz="8" w:space="0" w:color="auto"/>
              <w:right w:val="single" w:sz="8" w:space="0" w:color="auto"/>
            </w:tcBorders>
            <w:shd w:val="clear" w:color="auto" w:fill="auto"/>
            <w:vAlign w:val="center"/>
            <w:hideMark/>
          </w:tcPr>
          <w:p w14:paraId="10EB73AE"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4</w:t>
            </w:r>
          </w:p>
        </w:tc>
        <w:tc>
          <w:tcPr>
            <w:tcW w:w="700" w:type="dxa"/>
            <w:tcBorders>
              <w:top w:val="nil"/>
              <w:left w:val="nil"/>
              <w:bottom w:val="single" w:sz="8" w:space="0" w:color="auto"/>
              <w:right w:val="single" w:sz="8" w:space="0" w:color="auto"/>
            </w:tcBorders>
            <w:shd w:val="clear" w:color="auto" w:fill="auto"/>
            <w:vAlign w:val="center"/>
            <w:hideMark/>
          </w:tcPr>
          <w:p w14:paraId="33C19BA0"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5</w:t>
            </w:r>
          </w:p>
        </w:tc>
        <w:tc>
          <w:tcPr>
            <w:tcW w:w="1180" w:type="dxa"/>
            <w:tcBorders>
              <w:top w:val="nil"/>
              <w:left w:val="nil"/>
              <w:bottom w:val="single" w:sz="8" w:space="0" w:color="auto"/>
              <w:right w:val="single" w:sz="8" w:space="0" w:color="auto"/>
            </w:tcBorders>
            <w:shd w:val="clear" w:color="auto" w:fill="auto"/>
            <w:vAlign w:val="center"/>
            <w:hideMark/>
          </w:tcPr>
          <w:p w14:paraId="257C128F"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25%</w:t>
            </w:r>
          </w:p>
        </w:tc>
        <w:tc>
          <w:tcPr>
            <w:tcW w:w="1206" w:type="dxa"/>
            <w:tcBorders>
              <w:top w:val="nil"/>
              <w:left w:val="nil"/>
              <w:bottom w:val="single" w:sz="8" w:space="0" w:color="auto"/>
              <w:right w:val="single" w:sz="8" w:space="0" w:color="auto"/>
            </w:tcBorders>
            <w:shd w:val="clear" w:color="auto" w:fill="auto"/>
            <w:vAlign w:val="center"/>
            <w:hideMark/>
          </w:tcPr>
          <w:p w14:paraId="23E0ABBA"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0,5%</w:t>
            </w:r>
          </w:p>
        </w:tc>
      </w:tr>
      <w:tr w:rsidR="00921CE6" w:rsidRPr="00921CE6" w14:paraId="04B96614" w14:textId="77777777" w:rsidTr="00411F3C">
        <w:trPr>
          <w:trHeight w:val="315"/>
          <w:jc w:val="center"/>
        </w:trPr>
        <w:tc>
          <w:tcPr>
            <w:tcW w:w="5980" w:type="dxa"/>
            <w:tcBorders>
              <w:top w:val="nil"/>
              <w:left w:val="single" w:sz="8" w:space="0" w:color="auto"/>
              <w:bottom w:val="single" w:sz="8" w:space="0" w:color="auto"/>
              <w:right w:val="single" w:sz="8" w:space="0" w:color="auto"/>
            </w:tcBorders>
            <w:shd w:val="clear" w:color="auto" w:fill="auto"/>
            <w:vAlign w:val="center"/>
            <w:hideMark/>
          </w:tcPr>
          <w:p w14:paraId="20374605" w14:textId="77777777" w:rsidR="00921CE6" w:rsidRPr="00921CE6" w:rsidRDefault="00921CE6" w:rsidP="00921CE6">
            <w:pPr>
              <w:spacing w:after="0" w:line="240" w:lineRule="auto"/>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Υπηρεσίες δημοσίου</w:t>
            </w:r>
          </w:p>
        </w:tc>
        <w:tc>
          <w:tcPr>
            <w:tcW w:w="700" w:type="dxa"/>
            <w:tcBorders>
              <w:top w:val="nil"/>
              <w:left w:val="nil"/>
              <w:bottom w:val="single" w:sz="8" w:space="0" w:color="auto"/>
              <w:right w:val="single" w:sz="8" w:space="0" w:color="auto"/>
            </w:tcBorders>
            <w:shd w:val="clear" w:color="auto" w:fill="auto"/>
            <w:vAlign w:val="center"/>
            <w:hideMark/>
          </w:tcPr>
          <w:p w14:paraId="0385FD9E"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9</w:t>
            </w:r>
          </w:p>
        </w:tc>
        <w:tc>
          <w:tcPr>
            <w:tcW w:w="700" w:type="dxa"/>
            <w:tcBorders>
              <w:top w:val="nil"/>
              <w:left w:val="nil"/>
              <w:bottom w:val="single" w:sz="8" w:space="0" w:color="auto"/>
              <w:right w:val="single" w:sz="8" w:space="0" w:color="auto"/>
            </w:tcBorders>
            <w:shd w:val="clear" w:color="auto" w:fill="auto"/>
            <w:vAlign w:val="center"/>
            <w:hideMark/>
          </w:tcPr>
          <w:p w14:paraId="465F5B08"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9</w:t>
            </w:r>
          </w:p>
        </w:tc>
        <w:tc>
          <w:tcPr>
            <w:tcW w:w="700" w:type="dxa"/>
            <w:tcBorders>
              <w:top w:val="nil"/>
              <w:left w:val="nil"/>
              <w:bottom w:val="single" w:sz="8" w:space="0" w:color="auto"/>
              <w:right w:val="single" w:sz="8" w:space="0" w:color="auto"/>
            </w:tcBorders>
            <w:shd w:val="clear" w:color="auto" w:fill="auto"/>
            <w:vAlign w:val="center"/>
            <w:hideMark/>
          </w:tcPr>
          <w:p w14:paraId="53342A6E"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9</w:t>
            </w:r>
          </w:p>
        </w:tc>
        <w:tc>
          <w:tcPr>
            <w:tcW w:w="1180" w:type="dxa"/>
            <w:tcBorders>
              <w:top w:val="nil"/>
              <w:left w:val="nil"/>
              <w:bottom w:val="single" w:sz="8" w:space="0" w:color="auto"/>
              <w:right w:val="single" w:sz="8" w:space="0" w:color="auto"/>
            </w:tcBorders>
            <w:shd w:val="clear" w:color="auto" w:fill="auto"/>
            <w:vAlign w:val="center"/>
            <w:hideMark/>
          </w:tcPr>
          <w:p w14:paraId="134CA6B7"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w:t>
            </w:r>
          </w:p>
        </w:tc>
        <w:tc>
          <w:tcPr>
            <w:tcW w:w="1206" w:type="dxa"/>
            <w:tcBorders>
              <w:top w:val="nil"/>
              <w:left w:val="nil"/>
              <w:bottom w:val="single" w:sz="8" w:space="0" w:color="auto"/>
              <w:right w:val="single" w:sz="8" w:space="0" w:color="auto"/>
            </w:tcBorders>
            <w:shd w:val="clear" w:color="auto" w:fill="auto"/>
            <w:vAlign w:val="center"/>
            <w:hideMark/>
          </w:tcPr>
          <w:p w14:paraId="7EA46B68"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0,9%</w:t>
            </w:r>
          </w:p>
        </w:tc>
      </w:tr>
      <w:tr w:rsidR="00921CE6" w:rsidRPr="00921CE6" w14:paraId="6AA3D879" w14:textId="77777777" w:rsidTr="00411F3C">
        <w:trPr>
          <w:trHeight w:val="315"/>
          <w:jc w:val="center"/>
        </w:trPr>
        <w:tc>
          <w:tcPr>
            <w:tcW w:w="5980" w:type="dxa"/>
            <w:tcBorders>
              <w:top w:val="nil"/>
              <w:left w:val="single" w:sz="8" w:space="0" w:color="auto"/>
              <w:bottom w:val="single" w:sz="8" w:space="0" w:color="auto"/>
              <w:right w:val="single" w:sz="8" w:space="0" w:color="auto"/>
            </w:tcBorders>
            <w:shd w:val="clear" w:color="000000" w:fill="8DB3E1"/>
            <w:vAlign w:val="center"/>
            <w:hideMark/>
          </w:tcPr>
          <w:p w14:paraId="578DB2F4" w14:textId="77777777" w:rsidR="00921CE6" w:rsidRPr="00921CE6" w:rsidRDefault="00921CE6" w:rsidP="00921CE6">
            <w:pPr>
              <w:spacing w:after="0" w:line="240" w:lineRule="auto"/>
              <w:rPr>
                <w:rFonts w:ascii="Times New Roman" w:eastAsia="Times New Roman" w:hAnsi="Times New Roman" w:cs="Times New Roman"/>
                <w:b/>
                <w:bCs/>
                <w:color w:val="000000"/>
                <w:lang w:val="en-AE" w:eastAsia="en-AE"/>
              </w:rPr>
            </w:pPr>
            <w:r w:rsidRPr="00921CE6">
              <w:rPr>
                <w:rFonts w:ascii="Times New Roman" w:eastAsia="Times New Roman" w:hAnsi="Times New Roman" w:cs="Times New Roman"/>
                <w:b/>
                <w:bCs/>
                <w:color w:val="000000"/>
                <w:lang w:val="en-AE" w:eastAsia="en-AE"/>
              </w:rPr>
              <w:t>Πληρωμές</w:t>
            </w:r>
          </w:p>
        </w:tc>
        <w:tc>
          <w:tcPr>
            <w:tcW w:w="700" w:type="dxa"/>
            <w:tcBorders>
              <w:top w:val="nil"/>
              <w:left w:val="nil"/>
              <w:bottom w:val="single" w:sz="8" w:space="0" w:color="auto"/>
              <w:right w:val="single" w:sz="8" w:space="0" w:color="auto"/>
            </w:tcBorders>
            <w:shd w:val="clear" w:color="000000" w:fill="8DB3E1"/>
            <w:vAlign w:val="center"/>
            <w:hideMark/>
          </w:tcPr>
          <w:p w14:paraId="7217227D" w14:textId="77777777" w:rsidR="00921CE6" w:rsidRPr="00921CE6" w:rsidRDefault="00921CE6" w:rsidP="00921CE6">
            <w:pPr>
              <w:spacing w:after="0" w:line="240" w:lineRule="auto"/>
              <w:jc w:val="center"/>
              <w:rPr>
                <w:rFonts w:ascii="Times New Roman" w:eastAsia="Times New Roman" w:hAnsi="Times New Roman" w:cs="Times New Roman"/>
                <w:b/>
                <w:bCs/>
                <w:color w:val="000000"/>
                <w:lang w:val="en-AE" w:eastAsia="en-AE"/>
              </w:rPr>
            </w:pPr>
            <w:r w:rsidRPr="00921CE6">
              <w:rPr>
                <w:rFonts w:ascii="Times New Roman" w:eastAsia="Times New Roman" w:hAnsi="Times New Roman" w:cs="Times New Roman"/>
                <w:b/>
                <w:bCs/>
                <w:color w:val="000000"/>
                <w:lang w:val="en-AE" w:eastAsia="en-AE"/>
              </w:rPr>
              <w:t>201</w:t>
            </w:r>
          </w:p>
        </w:tc>
        <w:tc>
          <w:tcPr>
            <w:tcW w:w="700" w:type="dxa"/>
            <w:tcBorders>
              <w:top w:val="nil"/>
              <w:left w:val="nil"/>
              <w:bottom w:val="single" w:sz="8" w:space="0" w:color="auto"/>
              <w:right w:val="single" w:sz="8" w:space="0" w:color="auto"/>
            </w:tcBorders>
            <w:shd w:val="clear" w:color="000000" w:fill="8DB3E1"/>
            <w:vAlign w:val="center"/>
            <w:hideMark/>
          </w:tcPr>
          <w:p w14:paraId="7C930C2B" w14:textId="77777777" w:rsidR="00921CE6" w:rsidRPr="00921CE6" w:rsidRDefault="00921CE6" w:rsidP="00921CE6">
            <w:pPr>
              <w:spacing w:after="0" w:line="240" w:lineRule="auto"/>
              <w:jc w:val="center"/>
              <w:rPr>
                <w:rFonts w:ascii="Times New Roman" w:eastAsia="Times New Roman" w:hAnsi="Times New Roman" w:cs="Times New Roman"/>
                <w:b/>
                <w:bCs/>
                <w:color w:val="000000"/>
                <w:lang w:val="en-AE" w:eastAsia="en-AE"/>
              </w:rPr>
            </w:pPr>
            <w:r w:rsidRPr="00921CE6">
              <w:rPr>
                <w:rFonts w:ascii="Times New Roman" w:eastAsia="Times New Roman" w:hAnsi="Times New Roman" w:cs="Times New Roman"/>
                <w:b/>
                <w:bCs/>
                <w:color w:val="000000"/>
                <w:lang w:val="en-AE" w:eastAsia="en-AE"/>
              </w:rPr>
              <w:t>206</w:t>
            </w:r>
          </w:p>
        </w:tc>
        <w:tc>
          <w:tcPr>
            <w:tcW w:w="700" w:type="dxa"/>
            <w:tcBorders>
              <w:top w:val="nil"/>
              <w:left w:val="nil"/>
              <w:bottom w:val="single" w:sz="8" w:space="0" w:color="auto"/>
              <w:right w:val="single" w:sz="8" w:space="0" w:color="auto"/>
            </w:tcBorders>
            <w:shd w:val="clear" w:color="000000" w:fill="8DB3E1"/>
            <w:vAlign w:val="center"/>
            <w:hideMark/>
          </w:tcPr>
          <w:p w14:paraId="3046CA14" w14:textId="77777777" w:rsidR="00921CE6" w:rsidRPr="00921CE6" w:rsidRDefault="00921CE6" w:rsidP="00921CE6">
            <w:pPr>
              <w:spacing w:after="0" w:line="240" w:lineRule="auto"/>
              <w:jc w:val="center"/>
              <w:rPr>
                <w:rFonts w:ascii="Times New Roman" w:eastAsia="Times New Roman" w:hAnsi="Times New Roman" w:cs="Times New Roman"/>
                <w:b/>
                <w:bCs/>
                <w:color w:val="000000"/>
                <w:lang w:val="en-AE" w:eastAsia="en-AE"/>
              </w:rPr>
            </w:pPr>
            <w:r w:rsidRPr="00921CE6">
              <w:rPr>
                <w:rFonts w:ascii="Times New Roman" w:eastAsia="Times New Roman" w:hAnsi="Times New Roman" w:cs="Times New Roman"/>
                <w:b/>
                <w:bCs/>
                <w:color w:val="000000"/>
                <w:lang w:val="en-AE" w:eastAsia="en-AE"/>
              </w:rPr>
              <w:t>231</w:t>
            </w:r>
          </w:p>
        </w:tc>
        <w:tc>
          <w:tcPr>
            <w:tcW w:w="1180" w:type="dxa"/>
            <w:tcBorders>
              <w:top w:val="nil"/>
              <w:left w:val="nil"/>
              <w:bottom w:val="single" w:sz="8" w:space="0" w:color="auto"/>
              <w:right w:val="single" w:sz="8" w:space="0" w:color="auto"/>
            </w:tcBorders>
            <w:shd w:val="clear" w:color="000000" w:fill="8DB3E1"/>
            <w:vAlign w:val="center"/>
            <w:hideMark/>
          </w:tcPr>
          <w:p w14:paraId="26C32FDE" w14:textId="77777777" w:rsidR="00921CE6" w:rsidRPr="00921CE6" w:rsidRDefault="00921CE6" w:rsidP="00921CE6">
            <w:pPr>
              <w:spacing w:after="0" w:line="240" w:lineRule="auto"/>
              <w:jc w:val="center"/>
              <w:rPr>
                <w:rFonts w:ascii="Times New Roman" w:eastAsia="Times New Roman" w:hAnsi="Times New Roman" w:cs="Times New Roman"/>
                <w:b/>
                <w:bCs/>
                <w:color w:val="000000"/>
                <w:lang w:val="en-AE" w:eastAsia="en-AE"/>
              </w:rPr>
            </w:pPr>
            <w:r w:rsidRPr="00921CE6">
              <w:rPr>
                <w:rFonts w:ascii="Times New Roman" w:eastAsia="Times New Roman" w:hAnsi="Times New Roman" w:cs="Times New Roman"/>
                <w:b/>
                <w:bCs/>
                <w:color w:val="000000"/>
                <w:lang w:val="en-AE" w:eastAsia="en-AE"/>
              </w:rPr>
              <w:t>12%</w:t>
            </w:r>
          </w:p>
        </w:tc>
        <w:tc>
          <w:tcPr>
            <w:tcW w:w="1206" w:type="dxa"/>
            <w:tcBorders>
              <w:top w:val="nil"/>
              <w:left w:val="nil"/>
              <w:bottom w:val="single" w:sz="8" w:space="0" w:color="auto"/>
              <w:right w:val="single" w:sz="8" w:space="0" w:color="auto"/>
            </w:tcBorders>
            <w:shd w:val="clear" w:color="000000" w:fill="8DB3E1"/>
            <w:vAlign w:val="center"/>
            <w:hideMark/>
          </w:tcPr>
          <w:p w14:paraId="29101FE2" w14:textId="77777777" w:rsidR="00921CE6" w:rsidRPr="00921CE6" w:rsidRDefault="00921CE6" w:rsidP="00921CE6">
            <w:pPr>
              <w:spacing w:after="0" w:line="240" w:lineRule="auto"/>
              <w:jc w:val="center"/>
              <w:rPr>
                <w:rFonts w:ascii="Times New Roman" w:eastAsia="Times New Roman" w:hAnsi="Times New Roman" w:cs="Times New Roman"/>
                <w:b/>
                <w:bCs/>
                <w:color w:val="000000"/>
                <w:lang w:val="en-AE" w:eastAsia="en-AE"/>
              </w:rPr>
            </w:pPr>
            <w:r w:rsidRPr="00921CE6">
              <w:rPr>
                <w:rFonts w:ascii="Times New Roman" w:eastAsia="Times New Roman" w:hAnsi="Times New Roman" w:cs="Times New Roman"/>
                <w:b/>
                <w:bCs/>
                <w:color w:val="000000"/>
                <w:lang w:val="en-AE" w:eastAsia="en-AE"/>
              </w:rPr>
              <w:t>100%</w:t>
            </w:r>
          </w:p>
        </w:tc>
      </w:tr>
      <w:tr w:rsidR="00921CE6" w:rsidRPr="00921CE6" w14:paraId="6529698C" w14:textId="77777777" w:rsidTr="00411F3C">
        <w:trPr>
          <w:trHeight w:val="315"/>
          <w:jc w:val="center"/>
        </w:trPr>
        <w:tc>
          <w:tcPr>
            <w:tcW w:w="5980" w:type="dxa"/>
            <w:tcBorders>
              <w:top w:val="nil"/>
              <w:left w:val="single" w:sz="8" w:space="0" w:color="auto"/>
              <w:bottom w:val="single" w:sz="8" w:space="0" w:color="auto"/>
              <w:right w:val="single" w:sz="8" w:space="0" w:color="auto"/>
            </w:tcBorders>
            <w:shd w:val="clear" w:color="auto" w:fill="auto"/>
            <w:vAlign w:val="center"/>
            <w:hideMark/>
          </w:tcPr>
          <w:p w14:paraId="2AB47CB7" w14:textId="77777777" w:rsidR="00921CE6" w:rsidRPr="00921CE6" w:rsidRDefault="00921CE6" w:rsidP="00921CE6">
            <w:pPr>
              <w:spacing w:after="0" w:line="240" w:lineRule="auto"/>
              <w:rPr>
                <w:rFonts w:ascii="Times New Roman" w:eastAsia="Times New Roman" w:hAnsi="Times New Roman" w:cs="Times New Roman"/>
                <w:color w:val="000000"/>
                <w:lang w:eastAsia="en-AE"/>
              </w:rPr>
            </w:pPr>
            <w:r w:rsidRPr="00921CE6">
              <w:rPr>
                <w:rFonts w:ascii="Times New Roman" w:eastAsia="Times New Roman" w:hAnsi="Times New Roman" w:cs="Times New Roman"/>
                <w:color w:val="000000"/>
                <w:lang w:eastAsia="en-AE"/>
              </w:rPr>
              <w:t>Υπηρεσίες μεταποίησης αγαθών τα οποία ανήκουν σε άλλους</w:t>
            </w:r>
          </w:p>
        </w:tc>
        <w:tc>
          <w:tcPr>
            <w:tcW w:w="700" w:type="dxa"/>
            <w:tcBorders>
              <w:top w:val="nil"/>
              <w:left w:val="nil"/>
              <w:bottom w:val="single" w:sz="8" w:space="0" w:color="auto"/>
              <w:right w:val="single" w:sz="8" w:space="0" w:color="auto"/>
            </w:tcBorders>
            <w:shd w:val="clear" w:color="auto" w:fill="auto"/>
            <w:vAlign w:val="center"/>
            <w:hideMark/>
          </w:tcPr>
          <w:p w14:paraId="69213B64"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w:t>
            </w:r>
          </w:p>
        </w:tc>
        <w:tc>
          <w:tcPr>
            <w:tcW w:w="700" w:type="dxa"/>
            <w:tcBorders>
              <w:top w:val="nil"/>
              <w:left w:val="nil"/>
              <w:bottom w:val="single" w:sz="8" w:space="0" w:color="auto"/>
              <w:right w:val="single" w:sz="8" w:space="0" w:color="auto"/>
            </w:tcBorders>
            <w:shd w:val="clear" w:color="auto" w:fill="auto"/>
            <w:vAlign w:val="center"/>
            <w:hideMark/>
          </w:tcPr>
          <w:p w14:paraId="3AF04D09"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w:t>
            </w:r>
          </w:p>
        </w:tc>
        <w:tc>
          <w:tcPr>
            <w:tcW w:w="700" w:type="dxa"/>
            <w:tcBorders>
              <w:top w:val="nil"/>
              <w:left w:val="nil"/>
              <w:bottom w:val="single" w:sz="8" w:space="0" w:color="auto"/>
              <w:right w:val="single" w:sz="8" w:space="0" w:color="auto"/>
            </w:tcBorders>
            <w:shd w:val="clear" w:color="auto" w:fill="auto"/>
            <w:vAlign w:val="center"/>
            <w:hideMark/>
          </w:tcPr>
          <w:p w14:paraId="2FC826B7"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w:t>
            </w:r>
          </w:p>
        </w:tc>
        <w:tc>
          <w:tcPr>
            <w:tcW w:w="1180" w:type="dxa"/>
            <w:tcBorders>
              <w:top w:val="nil"/>
              <w:left w:val="nil"/>
              <w:bottom w:val="single" w:sz="8" w:space="0" w:color="auto"/>
              <w:right w:val="single" w:sz="8" w:space="0" w:color="auto"/>
            </w:tcBorders>
            <w:shd w:val="clear" w:color="auto" w:fill="auto"/>
            <w:vAlign w:val="center"/>
            <w:hideMark/>
          </w:tcPr>
          <w:p w14:paraId="2C820928"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μ/δ</w:t>
            </w:r>
          </w:p>
        </w:tc>
        <w:tc>
          <w:tcPr>
            <w:tcW w:w="1206" w:type="dxa"/>
            <w:tcBorders>
              <w:top w:val="nil"/>
              <w:left w:val="nil"/>
              <w:bottom w:val="single" w:sz="8" w:space="0" w:color="auto"/>
              <w:right w:val="single" w:sz="8" w:space="0" w:color="auto"/>
            </w:tcBorders>
            <w:shd w:val="clear" w:color="auto" w:fill="auto"/>
            <w:vAlign w:val="center"/>
            <w:hideMark/>
          </w:tcPr>
          <w:p w14:paraId="13A612BC"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0,0%</w:t>
            </w:r>
          </w:p>
        </w:tc>
      </w:tr>
      <w:tr w:rsidR="00921CE6" w:rsidRPr="00921CE6" w14:paraId="1E66DCE8" w14:textId="77777777" w:rsidTr="00411F3C">
        <w:trPr>
          <w:trHeight w:val="615"/>
          <w:jc w:val="center"/>
        </w:trPr>
        <w:tc>
          <w:tcPr>
            <w:tcW w:w="5980" w:type="dxa"/>
            <w:tcBorders>
              <w:top w:val="nil"/>
              <w:left w:val="single" w:sz="8" w:space="0" w:color="auto"/>
              <w:bottom w:val="single" w:sz="8" w:space="0" w:color="auto"/>
              <w:right w:val="single" w:sz="8" w:space="0" w:color="auto"/>
            </w:tcBorders>
            <w:shd w:val="clear" w:color="auto" w:fill="auto"/>
            <w:vAlign w:val="center"/>
            <w:hideMark/>
          </w:tcPr>
          <w:p w14:paraId="00C302FE" w14:textId="77777777" w:rsidR="00921CE6" w:rsidRPr="00921CE6" w:rsidRDefault="00921CE6" w:rsidP="00921CE6">
            <w:pPr>
              <w:spacing w:after="0" w:line="240" w:lineRule="auto"/>
              <w:rPr>
                <w:rFonts w:ascii="Times New Roman" w:eastAsia="Times New Roman" w:hAnsi="Times New Roman" w:cs="Times New Roman"/>
                <w:color w:val="000000"/>
                <w:lang w:eastAsia="en-AE"/>
              </w:rPr>
            </w:pPr>
            <w:r w:rsidRPr="00921CE6">
              <w:rPr>
                <w:rFonts w:ascii="Times New Roman" w:eastAsia="Times New Roman" w:hAnsi="Times New Roman" w:cs="Times New Roman"/>
                <w:color w:val="000000"/>
                <w:lang w:eastAsia="en-AE"/>
              </w:rPr>
              <w:t>Υπηρεσίες συντήρησης και επισκευής που δεν περιλαμβάνονται αλλού</w:t>
            </w:r>
          </w:p>
        </w:tc>
        <w:tc>
          <w:tcPr>
            <w:tcW w:w="700" w:type="dxa"/>
            <w:tcBorders>
              <w:top w:val="nil"/>
              <w:left w:val="nil"/>
              <w:bottom w:val="single" w:sz="8" w:space="0" w:color="auto"/>
              <w:right w:val="single" w:sz="8" w:space="0" w:color="auto"/>
            </w:tcBorders>
            <w:shd w:val="clear" w:color="auto" w:fill="auto"/>
            <w:vAlign w:val="center"/>
            <w:hideMark/>
          </w:tcPr>
          <w:p w14:paraId="545689A9"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9</w:t>
            </w:r>
          </w:p>
        </w:tc>
        <w:tc>
          <w:tcPr>
            <w:tcW w:w="700" w:type="dxa"/>
            <w:tcBorders>
              <w:top w:val="nil"/>
              <w:left w:val="nil"/>
              <w:bottom w:val="single" w:sz="8" w:space="0" w:color="auto"/>
              <w:right w:val="single" w:sz="8" w:space="0" w:color="auto"/>
            </w:tcBorders>
            <w:shd w:val="clear" w:color="auto" w:fill="auto"/>
            <w:vAlign w:val="center"/>
            <w:hideMark/>
          </w:tcPr>
          <w:p w14:paraId="16EC0BDD"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8</w:t>
            </w:r>
          </w:p>
        </w:tc>
        <w:tc>
          <w:tcPr>
            <w:tcW w:w="700" w:type="dxa"/>
            <w:tcBorders>
              <w:top w:val="nil"/>
              <w:left w:val="nil"/>
              <w:bottom w:val="single" w:sz="8" w:space="0" w:color="auto"/>
              <w:right w:val="single" w:sz="8" w:space="0" w:color="auto"/>
            </w:tcBorders>
            <w:shd w:val="clear" w:color="auto" w:fill="auto"/>
            <w:vAlign w:val="center"/>
            <w:hideMark/>
          </w:tcPr>
          <w:p w14:paraId="788FD8B3"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8</w:t>
            </w:r>
          </w:p>
        </w:tc>
        <w:tc>
          <w:tcPr>
            <w:tcW w:w="1180" w:type="dxa"/>
            <w:tcBorders>
              <w:top w:val="nil"/>
              <w:left w:val="nil"/>
              <w:bottom w:val="single" w:sz="8" w:space="0" w:color="auto"/>
              <w:right w:val="single" w:sz="8" w:space="0" w:color="auto"/>
            </w:tcBorders>
            <w:shd w:val="clear" w:color="auto" w:fill="auto"/>
            <w:vAlign w:val="center"/>
            <w:hideMark/>
          </w:tcPr>
          <w:p w14:paraId="41794CCE"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w:t>
            </w:r>
          </w:p>
        </w:tc>
        <w:tc>
          <w:tcPr>
            <w:tcW w:w="1206" w:type="dxa"/>
            <w:tcBorders>
              <w:top w:val="nil"/>
              <w:left w:val="nil"/>
              <w:bottom w:val="single" w:sz="8" w:space="0" w:color="auto"/>
              <w:right w:val="single" w:sz="8" w:space="0" w:color="auto"/>
            </w:tcBorders>
            <w:shd w:val="clear" w:color="auto" w:fill="auto"/>
            <w:vAlign w:val="center"/>
            <w:hideMark/>
          </w:tcPr>
          <w:p w14:paraId="65844563"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3,5%</w:t>
            </w:r>
          </w:p>
        </w:tc>
      </w:tr>
      <w:tr w:rsidR="00921CE6" w:rsidRPr="00921CE6" w14:paraId="6A202EAB" w14:textId="77777777" w:rsidTr="00411F3C">
        <w:trPr>
          <w:trHeight w:val="315"/>
          <w:jc w:val="center"/>
        </w:trPr>
        <w:tc>
          <w:tcPr>
            <w:tcW w:w="5980" w:type="dxa"/>
            <w:tcBorders>
              <w:top w:val="nil"/>
              <w:left w:val="single" w:sz="8" w:space="0" w:color="auto"/>
              <w:bottom w:val="single" w:sz="8" w:space="0" w:color="auto"/>
              <w:right w:val="single" w:sz="8" w:space="0" w:color="auto"/>
            </w:tcBorders>
            <w:shd w:val="clear" w:color="auto" w:fill="auto"/>
            <w:vAlign w:val="center"/>
            <w:hideMark/>
          </w:tcPr>
          <w:p w14:paraId="6B356002" w14:textId="77777777" w:rsidR="00921CE6" w:rsidRPr="00921CE6" w:rsidRDefault="00921CE6" w:rsidP="00921CE6">
            <w:pPr>
              <w:spacing w:after="0" w:line="240" w:lineRule="auto"/>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Ταξιδιωτικό</w:t>
            </w:r>
          </w:p>
        </w:tc>
        <w:tc>
          <w:tcPr>
            <w:tcW w:w="700" w:type="dxa"/>
            <w:tcBorders>
              <w:top w:val="nil"/>
              <w:left w:val="nil"/>
              <w:bottom w:val="single" w:sz="8" w:space="0" w:color="auto"/>
              <w:right w:val="single" w:sz="8" w:space="0" w:color="auto"/>
            </w:tcBorders>
            <w:shd w:val="clear" w:color="auto" w:fill="auto"/>
            <w:vAlign w:val="center"/>
            <w:hideMark/>
          </w:tcPr>
          <w:p w14:paraId="79B1219D"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30</w:t>
            </w:r>
          </w:p>
        </w:tc>
        <w:tc>
          <w:tcPr>
            <w:tcW w:w="700" w:type="dxa"/>
            <w:tcBorders>
              <w:top w:val="nil"/>
              <w:left w:val="nil"/>
              <w:bottom w:val="single" w:sz="8" w:space="0" w:color="auto"/>
              <w:right w:val="single" w:sz="8" w:space="0" w:color="auto"/>
            </w:tcBorders>
            <w:shd w:val="clear" w:color="auto" w:fill="auto"/>
            <w:vAlign w:val="center"/>
            <w:hideMark/>
          </w:tcPr>
          <w:p w14:paraId="1B636BAA"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42</w:t>
            </w:r>
          </w:p>
        </w:tc>
        <w:tc>
          <w:tcPr>
            <w:tcW w:w="700" w:type="dxa"/>
            <w:tcBorders>
              <w:top w:val="nil"/>
              <w:left w:val="nil"/>
              <w:bottom w:val="single" w:sz="8" w:space="0" w:color="auto"/>
              <w:right w:val="single" w:sz="8" w:space="0" w:color="auto"/>
            </w:tcBorders>
            <w:shd w:val="clear" w:color="auto" w:fill="auto"/>
            <w:vAlign w:val="center"/>
            <w:hideMark/>
          </w:tcPr>
          <w:p w14:paraId="50261453"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61</w:t>
            </w:r>
          </w:p>
        </w:tc>
        <w:tc>
          <w:tcPr>
            <w:tcW w:w="1180" w:type="dxa"/>
            <w:tcBorders>
              <w:top w:val="nil"/>
              <w:left w:val="nil"/>
              <w:bottom w:val="single" w:sz="8" w:space="0" w:color="auto"/>
              <w:right w:val="single" w:sz="8" w:space="0" w:color="auto"/>
            </w:tcBorders>
            <w:shd w:val="clear" w:color="auto" w:fill="auto"/>
            <w:vAlign w:val="center"/>
            <w:hideMark/>
          </w:tcPr>
          <w:p w14:paraId="5FE69D80"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45%</w:t>
            </w:r>
          </w:p>
        </w:tc>
        <w:tc>
          <w:tcPr>
            <w:tcW w:w="1206" w:type="dxa"/>
            <w:tcBorders>
              <w:top w:val="nil"/>
              <w:left w:val="nil"/>
              <w:bottom w:val="single" w:sz="8" w:space="0" w:color="auto"/>
              <w:right w:val="single" w:sz="8" w:space="0" w:color="auto"/>
            </w:tcBorders>
            <w:shd w:val="clear" w:color="auto" w:fill="auto"/>
            <w:vAlign w:val="center"/>
            <w:hideMark/>
          </w:tcPr>
          <w:p w14:paraId="2D35202D"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26,4%</w:t>
            </w:r>
          </w:p>
        </w:tc>
      </w:tr>
      <w:tr w:rsidR="00921CE6" w:rsidRPr="00921CE6" w14:paraId="1A1FBB00" w14:textId="77777777" w:rsidTr="00411F3C">
        <w:trPr>
          <w:trHeight w:val="315"/>
          <w:jc w:val="center"/>
        </w:trPr>
        <w:tc>
          <w:tcPr>
            <w:tcW w:w="5980" w:type="dxa"/>
            <w:tcBorders>
              <w:top w:val="nil"/>
              <w:left w:val="single" w:sz="8" w:space="0" w:color="auto"/>
              <w:bottom w:val="single" w:sz="8" w:space="0" w:color="auto"/>
              <w:right w:val="single" w:sz="8" w:space="0" w:color="auto"/>
            </w:tcBorders>
            <w:shd w:val="clear" w:color="auto" w:fill="auto"/>
            <w:vAlign w:val="center"/>
            <w:hideMark/>
          </w:tcPr>
          <w:p w14:paraId="6FAB4B88" w14:textId="77777777" w:rsidR="00921CE6" w:rsidRPr="00921CE6" w:rsidRDefault="00921CE6" w:rsidP="00921CE6">
            <w:pPr>
              <w:spacing w:after="0" w:line="240" w:lineRule="auto"/>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Θαλάσσιες μεταφορές</w:t>
            </w:r>
          </w:p>
        </w:tc>
        <w:tc>
          <w:tcPr>
            <w:tcW w:w="700" w:type="dxa"/>
            <w:tcBorders>
              <w:top w:val="nil"/>
              <w:left w:val="nil"/>
              <w:bottom w:val="single" w:sz="8" w:space="0" w:color="auto"/>
              <w:right w:val="single" w:sz="8" w:space="0" w:color="auto"/>
            </w:tcBorders>
            <w:shd w:val="clear" w:color="auto" w:fill="auto"/>
            <w:vAlign w:val="center"/>
            <w:hideMark/>
          </w:tcPr>
          <w:p w14:paraId="197D9273"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30</w:t>
            </w:r>
          </w:p>
        </w:tc>
        <w:tc>
          <w:tcPr>
            <w:tcW w:w="700" w:type="dxa"/>
            <w:tcBorders>
              <w:top w:val="nil"/>
              <w:left w:val="nil"/>
              <w:bottom w:val="single" w:sz="8" w:space="0" w:color="auto"/>
              <w:right w:val="single" w:sz="8" w:space="0" w:color="auto"/>
            </w:tcBorders>
            <w:shd w:val="clear" w:color="auto" w:fill="auto"/>
            <w:vAlign w:val="center"/>
            <w:hideMark/>
          </w:tcPr>
          <w:p w14:paraId="01680AF1"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27</w:t>
            </w:r>
          </w:p>
        </w:tc>
        <w:tc>
          <w:tcPr>
            <w:tcW w:w="700" w:type="dxa"/>
            <w:tcBorders>
              <w:top w:val="nil"/>
              <w:left w:val="nil"/>
              <w:bottom w:val="single" w:sz="8" w:space="0" w:color="auto"/>
              <w:right w:val="single" w:sz="8" w:space="0" w:color="auto"/>
            </w:tcBorders>
            <w:shd w:val="clear" w:color="auto" w:fill="auto"/>
            <w:vAlign w:val="center"/>
            <w:hideMark/>
          </w:tcPr>
          <w:p w14:paraId="0F7865C4"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34</w:t>
            </w:r>
          </w:p>
        </w:tc>
        <w:tc>
          <w:tcPr>
            <w:tcW w:w="1180" w:type="dxa"/>
            <w:tcBorders>
              <w:top w:val="nil"/>
              <w:left w:val="nil"/>
              <w:bottom w:val="single" w:sz="8" w:space="0" w:color="auto"/>
              <w:right w:val="single" w:sz="8" w:space="0" w:color="auto"/>
            </w:tcBorders>
            <w:shd w:val="clear" w:color="auto" w:fill="auto"/>
            <w:vAlign w:val="center"/>
            <w:hideMark/>
          </w:tcPr>
          <w:p w14:paraId="18E4DC1C"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26%</w:t>
            </w:r>
          </w:p>
        </w:tc>
        <w:tc>
          <w:tcPr>
            <w:tcW w:w="1206" w:type="dxa"/>
            <w:tcBorders>
              <w:top w:val="nil"/>
              <w:left w:val="nil"/>
              <w:bottom w:val="single" w:sz="8" w:space="0" w:color="auto"/>
              <w:right w:val="single" w:sz="8" w:space="0" w:color="auto"/>
            </w:tcBorders>
            <w:shd w:val="clear" w:color="auto" w:fill="auto"/>
            <w:vAlign w:val="center"/>
            <w:hideMark/>
          </w:tcPr>
          <w:p w14:paraId="1EDCDD3A"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14,7%</w:t>
            </w:r>
          </w:p>
        </w:tc>
      </w:tr>
      <w:tr w:rsidR="00921CE6" w:rsidRPr="00921CE6" w14:paraId="5BE5C945" w14:textId="77777777" w:rsidTr="00411F3C">
        <w:trPr>
          <w:trHeight w:val="315"/>
          <w:jc w:val="center"/>
        </w:trPr>
        <w:tc>
          <w:tcPr>
            <w:tcW w:w="5980" w:type="dxa"/>
            <w:tcBorders>
              <w:top w:val="nil"/>
              <w:left w:val="single" w:sz="8" w:space="0" w:color="auto"/>
              <w:bottom w:val="single" w:sz="8" w:space="0" w:color="auto"/>
              <w:right w:val="single" w:sz="8" w:space="0" w:color="auto"/>
            </w:tcBorders>
            <w:shd w:val="clear" w:color="auto" w:fill="auto"/>
            <w:vAlign w:val="center"/>
            <w:hideMark/>
          </w:tcPr>
          <w:p w14:paraId="4E559E51" w14:textId="77777777" w:rsidR="00921CE6" w:rsidRPr="00921CE6" w:rsidRDefault="00921CE6" w:rsidP="00921CE6">
            <w:pPr>
              <w:spacing w:after="0" w:line="240" w:lineRule="auto"/>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Λοιπές μεταφορές</w:t>
            </w:r>
          </w:p>
        </w:tc>
        <w:tc>
          <w:tcPr>
            <w:tcW w:w="700" w:type="dxa"/>
            <w:tcBorders>
              <w:top w:val="nil"/>
              <w:left w:val="nil"/>
              <w:bottom w:val="single" w:sz="8" w:space="0" w:color="auto"/>
              <w:right w:val="single" w:sz="8" w:space="0" w:color="auto"/>
            </w:tcBorders>
            <w:shd w:val="clear" w:color="auto" w:fill="auto"/>
            <w:vAlign w:val="center"/>
            <w:hideMark/>
          </w:tcPr>
          <w:p w14:paraId="45A76B2B"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87</w:t>
            </w:r>
          </w:p>
        </w:tc>
        <w:tc>
          <w:tcPr>
            <w:tcW w:w="700" w:type="dxa"/>
            <w:tcBorders>
              <w:top w:val="nil"/>
              <w:left w:val="nil"/>
              <w:bottom w:val="single" w:sz="8" w:space="0" w:color="auto"/>
              <w:right w:val="single" w:sz="8" w:space="0" w:color="auto"/>
            </w:tcBorders>
            <w:shd w:val="clear" w:color="auto" w:fill="auto"/>
            <w:vAlign w:val="center"/>
            <w:hideMark/>
          </w:tcPr>
          <w:p w14:paraId="42C73BC5"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96</w:t>
            </w:r>
          </w:p>
        </w:tc>
        <w:tc>
          <w:tcPr>
            <w:tcW w:w="700" w:type="dxa"/>
            <w:tcBorders>
              <w:top w:val="nil"/>
              <w:left w:val="nil"/>
              <w:bottom w:val="single" w:sz="8" w:space="0" w:color="auto"/>
              <w:right w:val="single" w:sz="8" w:space="0" w:color="auto"/>
            </w:tcBorders>
            <w:shd w:val="clear" w:color="auto" w:fill="auto"/>
            <w:vAlign w:val="center"/>
            <w:hideMark/>
          </w:tcPr>
          <w:p w14:paraId="704CC4AA"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87</w:t>
            </w:r>
          </w:p>
        </w:tc>
        <w:tc>
          <w:tcPr>
            <w:tcW w:w="1180" w:type="dxa"/>
            <w:tcBorders>
              <w:top w:val="nil"/>
              <w:left w:val="nil"/>
              <w:bottom w:val="single" w:sz="8" w:space="0" w:color="auto"/>
              <w:right w:val="single" w:sz="8" w:space="0" w:color="auto"/>
            </w:tcBorders>
            <w:shd w:val="clear" w:color="auto" w:fill="auto"/>
            <w:vAlign w:val="center"/>
            <w:hideMark/>
          </w:tcPr>
          <w:p w14:paraId="4C218E44"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-9%</w:t>
            </w:r>
          </w:p>
        </w:tc>
        <w:tc>
          <w:tcPr>
            <w:tcW w:w="1206" w:type="dxa"/>
            <w:tcBorders>
              <w:top w:val="nil"/>
              <w:left w:val="nil"/>
              <w:bottom w:val="single" w:sz="8" w:space="0" w:color="auto"/>
              <w:right w:val="single" w:sz="8" w:space="0" w:color="auto"/>
            </w:tcBorders>
            <w:shd w:val="clear" w:color="auto" w:fill="auto"/>
            <w:vAlign w:val="center"/>
            <w:hideMark/>
          </w:tcPr>
          <w:p w14:paraId="3E5B9EBF"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37,7%</w:t>
            </w:r>
          </w:p>
        </w:tc>
      </w:tr>
      <w:tr w:rsidR="00921CE6" w:rsidRPr="00921CE6" w14:paraId="51BD8FB2" w14:textId="77777777" w:rsidTr="00411F3C">
        <w:trPr>
          <w:trHeight w:val="315"/>
          <w:jc w:val="center"/>
        </w:trPr>
        <w:tc>
          <w:tcPr>
            <w:tcW w:w="5980" w:type="dxa"/>
            <w:tcBorders>
              <w:top w:val="nil"/>
              <w:left w:val="single" w:sz="8" w:space="0" w:color="auto"/>
              <w:bottom w:val="single" w:sz="8" w:space="0" w:color="auto"/>
              <w:right w:val="single" w:sz="8" w:space="0" w:color="auto"/>
            </w:tcBorders>
            <w:shd w:val="clear" w:color="auto" w:fill="auto"/>
            <w:vAlign w:val="center"/>
            <w:hideMark/>
          </w:tcPr>
          <w:p w14:paraId="19674BA3" w14:textId="77777777" w:rsidR="00921CE6" w:rsidRPr="00921CE6" w:rsidRDefault="00921CE6" w:rsidP="00921CE6">
            <w:pPr>
              <w:spacing w:after="0" w:line="240" w:lineRule="auto"/>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Κατασκευαστικές</w:t>
            </w:r>
          </w:p>
        </w:tc>
        <w:tc>
          <w:tcPr>
            <w:tcW w:w="700" w:type="dxa"/>
            <w:tcBorders>
              <w:top w:val="nil"/>
              <w:left w:val="nil"/>
              <w:bottom w:val="single" w:sz="8" w:space="0" w:color="auto"/>
              <w:right w:val="single" w:sz="8" w:space="0" w:color="auto"/>
            </w:tcBorders>
            <w:shd w:val="clear" w:color="auto" w:fill="auto"/>
            <w:vAlign w:val="center"/>
            <w:hideMark/>
          </w:tcPr>
          <w:p w14:paraId="2ACD7173"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5</w:t>
            </w:r>
          </w:p>
        </w:tc>
        <w:tc>
          <w:tcPr>
            <w:tcW w:w="700" w:type="dxa"/>
            <w:tcBorders>
              <w:top w:val="nil"/>
              <w:left w:val="nil"/>
              <w:bottom w:val="single" w:sz="8" w:space="0" w:color="auto"/>
              <w:right w:val="single" w:sz="8" w:space="0" w:color="auto"/>
            </w:tcBorders>
            <w:shd w:val="clear" w:color="auto" w:fill="auto"/>
            <w:vAlign w:val="center"/>
            <w:hideMark/>
          </w:tcPr>
          <w:p w14:paraId="26861C53"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3</w:t>
            </w:r>
          </w:p>
        </w:tc>
        <w:tc>
          <w:tcPr>
            <w:tcW w:w="700" w:type="dxa"/>
            <w:tcBorders>
              <w:top w:val="nil"/>
              <w:left w:val="nil"/>
              <w:bottom w:val="single" w:sz="8" w:space="0" w:color="auto"/>
              <w:right w:val="single" w:sz="8" w:space="0" w:color="auto"/>
            </w:tcBorders>
            <w:shd w:val="clear" w:color="auto" w:fill="auto"/>
            <w:vAlign w:val="center"/>
            <w:hideMark/>
          </w:tcPr>
          <w:p w14:paraId="01F963F0"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4</w:t>
            </w:r>
          </w:p>
        </w:tc>
        <w:tc>
          <w:tcPr>
            <w:tcW w:w="1180" w:type="dxa"/>
            <w:tcBorders>
              <w:top w:val="nil"/>
              <w:left w:val="nil"/>
              <w:bottom w:val="single" w:sz="8" w:space="0" w:color="auto"/>
              <w:right w:val="single" w:sz="8" w:space="0" w:color="auto"/>
            </w:tcBorders>
            <w:shd w:val="clear" w:color="auto" w:fill="auto"/>
            <w:vAlign w:val="center"/>
            <w:hideMark/>
          </w:tcPr>
          <w:p w14:paraId="577BA21D"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33%</w:t>
            </w:r>
          </w:p>
        </w:tc>
        <w:tc>
          <w:tcPr>
            <w:tcW w:w="1206" w:type="dxa"/>
            <w:tcBorders>
              <w:top w:val="nil"/>
              <w:left w:val="nil"/>
              <w:bottom w:val="single" w:sz="8" w:space="0" w:color="auto"/>
              <w:right w:val="single" w:sz="8" w:space="0" w:color="auto"/>
            </w:tcBorders>
            <w:shd w:val="clear" w:color="auto" w:fill="auto"/>
            <w:vAlign w:val="center"/>
            <w:hideMark/>
          </w:tcPr>
          <w:p w14:paraId="3D0707A8"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1,7%</w:t>
            </w:r>
          </w:p>
        </w:tc>
      </w:tr>
      <w:tr w:rsidR="00921CE6" w:rsidRPr="00921CE6" w14:paraId="343D3ECD" w14:textId="77777777" w:rsidTr="00411F3C">
        <w:trPr>
          <w:trHeight w:val="315"/>
          <w:jc w:val="center"/>
        </w:trPr>
        <w:tc>
          <w:tcPr>
            <w:tcW w:w="5980" w:type="dxa"/>
            <w:tcBorders>
              <w:top w:val="nil"/>
              <w:left w:val="single" w:sz="8" w:space="0" w:color="auto"/>
              <w:bottom w:val="single" w:sz="8" w:space="0" w:color="auto"/>
              <w:right w:val="single" w:sz="8" w:space="0" w:color="auto"/>
            </w:tcBorders>
            <w:shd w:val="clear" w:color="auto" w:fill="auto"/>
            <w:vAlign w:val="center"/>
            <w:hideMark/>
          </w:tcPr>
          <w:p w14:paraId="703E8D6E" w14:textId="3C8D44AB" w:rsidR="000D4CAE" w:rsidRPr="00921CE6" w:rsidRDefault="000D4CAE" w:rsidP="00921CE6">
            <w:pPr>
              <w:spacing w:after="0" w:line="240" w:lineRule="auto"/>
              <w:rPr>
                <w:rFonts w:ascii="Times New Roman" w:eastAsia="Times New Roman" w:hAnsi="Times New Roman" w:cs="Times New Roman"/>
                <w:color w:val="000000"/>
                <w:lang w:val="en-AE" w:eastAsia="en-AE"/>
              </w:rPr>
            </w:pPr>
          </w:p>
        </w:tc>
        <w:tc>
          <w:tcPr>
            <w:tcW w:w="700" w:type="dxa"/>
            <w:tcBorders>
              <w:top w:val="nil"/>
              <w:left w:val="nil"/>
              <w:bottom w:val="single" w:sz="8" w:space="0" w:color="auto"/>
              <w:right w:val="single" w:sz="8" w:space="0" w:color="auto"/>
            </w:tcBorders>
            <w:shd w:val="clear" w:color="auto" w:fill="auto"/>
            <w:vAlign w:val="center"/>
            <w:hideMark/>
          </w:tcPr>
          <w:p w14:paraId="2AC4B923"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3</w:t>
            </w:r>
          </w:p>
        </w:tc>
        <w:tc>
          <w:tcPr>
            <w:tcW w:w="700" w:type="dxa"/>
            <w:tcBorders>
              <w:top w:val="nil"/>
              <w:left w:val="nil"/>
              <w:bottom w:val="single" w:sz="8" w:space="0" w:color="auto"/>
              <w:right w:val="single" w:sz="8" w:space="0" w:color="auto"/>
            </w:tcBorders>
            <w:shd w:val="clear" w:color="auto" w:fill="auto"/>
            <w:vAlign w:val="center"/>
            <w:hideMark/>
          </w:tcPr>
          <w:p w14:paraId="57FF3713"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6</w:t>
            </w:r>
          </w:p>
        </w:tc>
        <w:tc>
          <w:tcPr>
            <w:tcW w:w="700" w:type="dxa"/>
            <w:tcBorders>
              <w:top w:val="nil"/>
              <w:left w:val="nil"/>
              <w:bottom w:val="single" w:sz="8" w:space="0" w:color="auto"/>
              <w:right w:val="single" w:sz="8" w:space="0" w:color="auto"/>
            </w:tcBorders>
            <w:shd w:val="clear" w:color="auto" w:fill="auto"/>
            <w:vAlign w:val="center"/>
            <w:hideMark/>
          </w:tcPr>
          <w:p w14:paraId="74F0B90D"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5</w:t>
            </w:r>
          </w:p>
        </w:tc>
        <w:tc>
          <w:tcPr>
            <w:tcW w:w="1180" w:type="dxa"/>
            <w:tcBorders>
              <w:top w:val="nil"/>
              <w:left w:val="nil"/>
              <w:bottom w:val="single" w:sz="8" w:space="0" w:color="auto"/>
              <w:right w:val="single" w:sz="8" w:space="0" w:color="auto"/>
            </w:tcBorders>
            <w:shd w:val="clear" w:color="auto" w:fill="auto"/>
            <w:vAlign w:val="center"/>
            <w:hideMark/>
          </w:tcPr>
          <w:p w14:paraId="51F8302B"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-17%</w:t>
            </w:r>
          </w:p>
        </w:tc>
        <w:tc>
          <w:tcPr>
            <w:tcW w:w="1206" w:type="dxa"/>
            <w:tcBorders>
              <w:top w:val="nil"/>
              <w:left w:val="nil"/>
              <w:bottom w:val="single" w:sz="8" w:space="0" w:color="auto"/>
              <w:right w:val="single" w:sz="8" w:space="0" w:color="auto"/>
            </w:tcBorders>
            <w:shd w:val="clear" w:color="auto" w:fill="auto"/>
            <w:vAlign w:val="center"/>
            <w:hideMark/>
          </w:tcPr>
          <w:p w14:paraId="395CB29F"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2,2%</w:t>
            </w:r>
          </w:p>
        </w:tc>
      </w:tr>
      <w:tr w:rsidR="00921CE6" w:rsidRPr="00921CE6" w14:paraId="6C4F0795" w14:textId="77777777" w:rsidTr="00411F3C">
        <w:trPr>
          <w:trHeight w:val="315"/>
          <w:jc w:val="center"/>
        </w:trPr>
        <w:tc>
          <w:tcPr>
            <w:tcW w:w="5980" w:type="dxa"/>
            <w:tcBorders>
              <w:top w:val="nil"/>
              <w:left w:val="single" w:sz="8" w:space="0" w:color="auto"/>
              <w:bottom w:val="single" w:sz="8" w:space="0" w:color="auto"/>
              <w:right w:val="single" w:sz="8" w:space="0" w:color="auto"/>
            </w:tcBorders>
            <w:shd w:val="clear" w:color="auto" w:fill="auto"/>
            <w:vAlign w:val="center"/>
            <w:hideMark/>
          </w:tcPr>
          <w:p w14:paraId="2C9F0B6D" w14:textId="77777777" w:rsidR="00921CE6" w:rsidRPr="00921CE6" w:rsidRDefault="00921CE6" w:rsidP="00921CE6">
            <w:pPr>
              <w:spacing w:after="0" w:line="240" w:lineRule="auto"/>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Χρηματοοοικονομικές</w:t>
            </w:r>
          </w:p>
        </w:tc>
        <w:tc>
          <w:tcPr>
            <w:tcW w:w="700" w:type="dxa"/>
            <w:tcBorders>
              <w:top w:val="nil"/>
              <w:left w:val="nil"/>
              <w:bottom w:val="single" w:sz="8" w:space="0" w:color="auto"/>
              <w:right w:val="single" w:sz="8" w:space="0" w:color="auto"/>
            </w:tcBorders>
            <w:shd w:val="clear" w:color="auto" w:fill="auto"/>
            <w:vAlign w:val="center"/>
            <w:hideMark/>
          </w:tcPr>
          <w:p w14:paraId="6C861CFA"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w:t>
            </w:r>
          </w:p>
        </w:tc>
        <w:tc>
          <w:tcPr>
            <w:tcW w:w="700" w:type="dxa"/>
            <w:tcBorders>
              <w:top w:val="nil"/>
              <w:left w:val="nil"/>
              <w:bottom w:val="single" w:sz="8" w:space="0" w:color="auto"/>
              <w:right w:val="single" w:sz="8" w:space="0" w:color="auto"/>
            </w:tcBorders>
            <w:shd w:val="clear" w:color="auto" w:fill="auto"/>
            <w:vAlign w:val="center"/>
            <w:hideMark/>
          </w:tcPr>
          <w:p w14:paraId="70128E7D"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w:t>
            </w:r>
          </w:p>
        </w:tc>
        <w:tc>
          <w:tcPr>
            <w:tcW w:w="700" w:type="dxa"/>
            <w:tcBorders>
              <w:top w:val="nil"/>
              <w:left w:val="nil"/>
              <w:bottom w:val="single" w:sz="8" w:space="0" w:color="auto"/>
              <w:right w:val="single" w:sz="8" w:space="0" w:color="auto"/>
            </w:tcBorders>
            <w:shd w:val="clear" w:color="auto" w:fill="auto"/>
            <w:vAlign w:val="center"/>
            <w:hideMark/>
          </w:tcPr>
          <w:p w14:paraId="12F1525D"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w:t>
            </w:r>
          </w:p>
        </w:tc>
        <w:tc>
          <w:tcPr>
            <w:tcW w:w="1180" w:type="dxa"/>
            <w:tcBorders>
              <w:top w:val="nil"/>
              <w:left w:val="nil"/>
              <w:bottom w:val="single" w:sz="8" w:space="0" w:color="auto"/>
              <w:right w:val="single" w:sz="8" w:space="0" w:color="auto"/>
            </w:tcBorders>
            <w:shd w:val="clear" w:color="auto" w:fill="auto"/>
            <w:vAlign w:val="center"/>
            <w:hideMark/>
          </w:tcPr>
          <w:p w14:paraId="4EF1847D"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μ/δ</w:t>
            </w:r>
          </w:p>
        </w:tc>
        <w:tc>
          <w:tcPr>
            <w:tcW w:w="1206" w:type="dxa"/>
            <w:tcBorders>
              <w:top w:val="nil"/>
              <w:left w:val="nil"/>
              <w:bottom w:val="single" w:sz="8" w:space="0" w:color="auto"/>
              <w:right w:val="single" w:sz="8" w:space="0" w:color="auto"/>
            </w:tcBorders>
            <w:shd w:val="clear" w:color="auto" w:fill="auto"/>
            <w:vAlign w:val="center"/>
            <w:hideMark/>
          </w:tcPr>
          <w:p w14:paraId="22748CEC"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0,0%</w:t>
            </w:r>
          </w:p>
        </w:tc>
      </w:tr>
      <w:tr w:rsidR="00921CE6" w:rsidRPr="00921CE6" w14:paraId="1EF79795" w14:textId="77777777" w:rsidTr="00411F3C">
        <w:trPr>
          <w:trHeight w:val="615"/>
          <w:jc w:val="center"/>
        </w:trPr>
        <w:tc>
          <w:tcPr>
            <w:tcW w:w="5980" w:type="dxa"/>
            <w:tcBorders>
              <w:top w:val="nil"/>
              <w:left w:val="single" w:sz="8" w:space="0" w:color="auto"/>
              <w:bottom w:val="single" w:sz="8" w:space="0" w:color="auto"/>
              <w:right w:val="single" w:sz="8" w:space="0" w:color="auto"/>
            </w:tcBorders>
            <w:shd w:val="clear" w:color="auto" w:fill="auto"/>
            <w:vAlign w:val="center"/>
            <w:hideMark/>
          </w:tcPr>
          <w:p w14:paraId="2EE2D4C5" w14:textId="77777777" w:rsidR="00921CE6" w:rsidRPr="00921CE6" w:rsidRDefault="00921CE6" w:rsidP="00921CE6">
            <w:pPr>
              <w:spacing w:after="0" w:line="240" w:lineRule="auto"/>
              <w:rPr>
                <w:rFonts w:ascii="Times New Roman" w:eastAsia="Times New Roman" w:hAnsi="Times New Roman" w:cs="Times New Roman"/>
                <w:color w:val="000000"/>
                <w:lang w:eastAsia="en-AE"/>
              </w:rPr>
            </w:pPr>
            <w:r w:rsidRPr="00921CE6">
              <w:rPr>
                <w:rFonts w:ascii="Times New Roman" w:eastAsia="Times New Roman" w:hAnsi="Times New Roman" w:cs="Times New Roman"/>
                <w:color w:val="000000"/>
                <w:lang w:eastAsia="en-AE"/>
              </w:rPr>
              <w:t>Χρεώσεις για τη χρήση δικαιωμάτων διανοητικής ιδιοκτησίας (</w:t>
            </w:r>
            <w:r w:rsidRPr="00921CE6">
              <w:rPr>
                <w:rFonts w:ascii="Times New Roman" w:eastAsia="Times New Roman" w:hAnsi="Times New Roman" w:cs="Times New Roman"/>
                <w:color w:val="000000"/>
                <w:lang w:val="en-AE" w:eastAsia="en-AE"/>
              </w:rPr>
              <w:t>Royalties</w:t>
            </w:r>
            <w:r w:rsidRPr="00921CE6">
              <w:rPr>
                <w:rFonts w:ascii="Times New Roman" w:eastAsia="Times New Roman" w:hAnsi="Times New Roman" w:cs="Times New Roman"/>
                <w:color w:val="000000"/>
                <w:lang w:eastAsia="en-AE"/>
              </w:rPr>
              <w:t>)</w:t>
            </w:r>
          </w:p>
        </w:tc>
        <w:tc>
          <w:tcPr>
            <w:tcW w:w="700" w:type="dxa"/>
            <w:tcBorders>
              <w:top w:val="nil"/>
              <w:left w:val="nil"/>
              <w:bottom w:val="single" w:sz="8" w:space="0" w:color="auto"/>
              <w:right w:val="single" w:sz="8" w:space="0" w:color="auto"/>
            </w:tcBorders>
            <w:shd w:val="clear" w:color="auto" w:fill="auto"/>
            <w:vAlign w:val="center"/>
            <w:hideMark/>
          </w:tcPr>
          <w:p w14:paraId="4F0943EF"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w:t>
            </w:r>
          </w:p>
        </w:tc>
        <w:tc>
          <w:tcPr>
            <w:tcW w:w="700" w:type="dxa"/>
            <w:tcBorders>
              <w:top w:val="nil"/>
              <w:left w:val="nil"/>
              <w:bottom w:val="single" w:sz="8" w:space="0" w:color="auto"/>
              <w:right w:val="single" w:sz="8" w:space="0" w:color="auto"/>
            </w:tcBorders>
            <w:shd w:val="clear" w:color="auto" w:fill="auto"/>
            <w:vAlign w:val="center"/>
            <w:hideMark/>
          </w:tcPr>
          <w:p w14:paraId="318014C5"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w:t>
            </w:r>
          </w:p>
        </w:tc>
        <w:tc>
          <w:tcPr>
            <w:tcW w:w="700" w:type="dxa"/>
            <w:tcBorders>
              <w:top w:val="nil"/>
              <w:left w:val="nil"/>
              <w:bottom w:val="single" w:sz="8" w:space="0" w:color="auto"/>
              <w:right w:val="single" w:sz="8" w:space="0" w:color="auto"/>
            </w:tcBorders>
            <w:shd w:val="clear" w:color="auto" w:fill="auto"/>
            <w:vAlign w:val="center"/>
            <w:hideMark/>
          </w:tcPr>
          <w:p w14:paraId="19A9A774"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w:t>
            </w:r>
          </w:p>
        </w:tc>
        <w:tc>
          <w:tcPr>
            <w:tcW w:w="1180" w:type="dxa"/>
            <w:tcBorders>
              <w:top w:val="nil"/>
              <w:left w:val="nil"/>
              <w:bottom w:val="single" w:sz="8" w:space="0" w:color="auto"/>
              <w:right w:val="single" w:sz="8" w:space="0" w:color="auto"/>
            </w:tcBorders>
            <w:shd w:val="clear" w:color="auto" w:fill="auto"/>
            <w:vAlign w:val="center"/>
            <w:hideMark/>
          </w:tcPr>
          <w:p w14:paraId="1C89D779"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μ/δ</w:t>
            </w:r>
          </w:p>
        </w:tc>
        <w:tc>
          <w:tcPr>
            <w:tcW w:w="1206" w:type="dxa"/>
            <w:tcBorders>
              <w:top w:val="nil"/>
              <w:left w:val="nil"/>
              <w:bottom w:val="single" w:sz="8" w:space="0" w:color="auto"/>
              <w:right w:val="single" w:sz="8" w:space="0" w:color="auto"/>
            </w:tcBorders>
            <w:shd w:val="clear" w:color="auto" w:fill="auto"/>
            <w:vAlign w:val="center"/>
            <w:hideMark/>
          </w:tcPr>
          <w:p w14:paraId="6F1BF7A0"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0,0%</w:t>
            </w:r>
          </w:p>
        </w:tc>
      </w:tr>
      <w:tr w:rsidR="00921CE6" w:rsidRPr="00921CE6" w14:paraId="055D9F57" w14:textId="77777777" w:rsidTr="00411F3C">
        <w:trPr>
          <w:trHeight w:val="315"/>
          <w:jc w:val="center"/>
        </w:trPr>
        <w:tc>
          <w:tcPr>
            <w:tcW w:w="5980" w:type="dxa"/>
            <w:tcBorders>
              <w:top w:val="nil"/>
              <w:left w:val="single" w:sz="8" w:space="0" w:color="auto"/>
              <w:bottom w:val="single" w:sz="8" w:space="0" w:color="auto"/>
              <w:right w:val="single" w:sz="8" w:space="0" w:color="auto"/>
            </w:tcBorders>
            <w:shd w:val="clear" w:color="auto" w:fill="auto"/>
            <w:vAlign w:val="center"/>
            <w:hideMark/>
          </w:tcPr>
          <w:p w14:paraId="1B7EFCAF" w14:textId="77777777" w:rsidR="00921CE6" w:rsidRPr="00921CE6" w:rsidRDefault="00921CE6" w:rsidP="00921CE6">
            <w:pPr>
              <w:spacing w:after="0" w:line="240" w:lineRule="auto"/>
              <w:rPr>
                <w:rFonts w:ascii="Times New Roman" w:eastAsia="Times New Roman" w:hAnsi="Times New Roman" w:cs="Times New Roman"/>
                <w:color w:val="000000"/>
                <w:lang w:eastAsia="en-AE"/>
              </w:rPr>
            </w:pPr>
            <w:r w:rsidRPr="00921CE6">
              <w:rPr>
                <w:rFonts w:ascii="Times New Roman" w:eastAsia="Times New Roman" w:hAnsi="Times New Roman" w:cs="Times New Roman"/>
                <w:color w:val="000000"/>
                <w:lang w:eastAsia="en-AE"/>
              </w:rPr>
              <w:t>Υπηρεσίες τηλεπικοινωνιών, πληροφορικής και πληροφόρησης</w:t>
            </w:r>
          </w:p>
        </w:tc>
        <w:tc>
          <w:tcPr>
            <w:tcW w:w="700" w:type="dxa"/>
            <w:tcBorders>
              <w:top w:val="nil"/>
              <w:left w:val="nil"/>
              <w:bottom w:val="single" w:sz="8" w:space="0" w:color="auto"/>
              <w:right w:val="single" w:sz="8" w:space="0" w:color="auto"/>
            </w:tcBorders>
            <w:shd w:val="clear" w:color="auto" w:fill="auto"/>
            <w:vAlign w:val="center"/>
            <w:hideMark/>
          </w:tcPr>
          <w:p w14:paraId="71B078F9"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5</w:t>
            </w:r>
          </w:p>
        </w:tc>
        <w:tc>
          <w:tcPr>
            <w:tcW w:w="700" w:type="dxa"/>
            <w:tcBorders>
              <w:top w:val="nil"/>
              <w:left w:val="nil"/>
              <w:bottom w:val="single" w:sz="8" w:space="0" w:color="auto"/>
              <w:right w:val="single" w:sz="8" w:space="0" w:color="auto"/>
            </w:tcBorders>
            <w:shd w:val="clear" w:color="auto" w:fill="auto"/>
            <w:vAlign w:val="center"/>
            <w:hideMark/>
          </w:tcPr>
          <w:p w14:paraId="1A1DD987"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7</w:t>
            </w:r>
          </w:p>
        </w:tc>
        <w:tc>
          <w:tcPr>
            <w:tcW w:w="700" w:type="dxa"/>
            <w:tcBorders>
              <w:top w:val="nil"/>
              <w:left w:val="nil"/>
              <w:bottom w:val="single" w:sz="8" w:space="0" w:color="auto"/>
              <w:right w:val="single" w:sz="8" w:space="0" w:color="auto"/>
            </w:tcBorders>
            <w:shd w:val="clear" w:color="auto" w:fill="auto"/>
            <w:vAlign w:val="center"/>
            <w:hideMark/>
          </w:tcPr>
          <w:p w14:paraId="062EC745"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8</w:t>
            </w:r>
          </w:p>
        </w:tc>
        <w:tc>
          <w:tcPr>
            <w:tcW w:w="1180" w:type="dxa"/>
            <w:tcBorders>
              <w:top w:val="nil"/>
              <w:left w:val="nil"/>
              <w:bottom w:val="single" w:sz="8" w:space="0" w:color="auto"/>
              <w:right w:val="single" w:sz="8" w:space="0" w:color="auto"/>
            </w:tcBorders>
            <w:shd w:val="clear" w:color="auto" w:fill="auto"/>
            <w:vAlign w:val="center"/>
            <w:hideMark/>
          </w:tcPr>
          <w:p w14:paraId="4B9F5086"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14%</w:t>
            </w:r>
          </w:p>
        </w:tc>
        <w:tc>
          <w:tcPr>
            <w:tcW w:w="1206" w:type="dxa"/>
            <w:tcBorders>
              <w:top w:val="nil"/>
              <w:left w:val="nil"/>
              <w:bottom w:val="single" w:sz="8" w:space="0" w:color="auto"/>
              <w:right w:val="single" w:sz="8" w:space="0" w:color="auto"/>
            </w:tcBorders>
            <w:shd w:val="clear" w:color="auto" w:fill="auto"/>
            <w:vAlign w:val="center"/>
            <w:hideMark/>
          </w:tcPr>
          <w:p w14:paraId="39E0EFD5"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3,5%</w:t>
            </w:r>
          </w:p>
        </w:tc>
      </w:tr>
      <w:tr w:rsidR="00921CE6" w:rsidRPr="00921CE6" w14:paraId="1B6834B3" w14:textId="77777777" w:rsidTr="00411F3C">
        <w:trPr>
          <w:trHeight w:val="315"/>
          <w:jc w:val="center"/>
        </w:trPr>
        <w:tc>
          <w:tcPr>
            <w:tcW w:w="5980" w:type="dxa"/>
            <w:tcBorders>
              <w:top w:val="nil"/>
              <w:left w:val="single" w:sz="8" w:space="0" w:color="auto"/>
              <w:bottom w:val="single" w:sz="8" w:space="0" w:color="auto"/>
              <w:right w:val="single" w:sz="8" w:space="0" w:color="auto"/>
            </w:tcBorders>
            <w:shd w:val="clear" w:color="auto" w:fill="auto"/>
            <w:vAlign w:val="center"/>
            <w:hideMark/>
          </w:tcPr>
          <w:p w14:paraId="73B681BA" w14:textId="77777777" w:rsidR="00921CE6" w:rsidRPr="00921CE6" w:rsidRDefault="00921CE6" w:rsidP="00921CE6">
            <w:pPr>
              <w:spacing w:after="0" w:line="240" w:lineRule="auto"/>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Λοιπές υπηρεσίες επιχειρηματικής δραστηριότητας</w:t>
            </w:r>
          </w:p>
        </w:tc>
        <w:tc>
          <w:tcPr>
            <w:tcW w:w="700" w:type="dxa"/>
            <w:tcBorders>
              <w:top w:val="nil"/>
              <w:left w:val="nil"/>
              <w:bottom w:val="single" w:sz="8" w:space="0" w:color="auto"/>
              <w:right w:val="single" w:sz="8" w:space="0" w:color="auto"/>
            </w:tcBorders>
            <w:shd w:val="clear" w:color="auto" w:fill="auto"/>
            <w:vAlign w:val="center"/>
            <w:hideMark/>
          </w:tcPr>
          <w:p w14:paraId="3B9BB475"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25</w:t>
            </w:r>
          </w:p>
        </w:tc>
        <w:tc>
          <w:tcPr>
            <w:tcW w:w="700" w:type="dxa"/>
            <w:tcBorders>
              <w:top w:val="nil"/>
              <w:left w:val="nil"/>
              <w:bottom w:val="single" w:sz="8" w:space="0" w:color="auto"/>
              <w:right w:val="single" w:sz="8" w:space="0" w:color="auto"/>
            </w:tcBorders>
            <w:shd w:val="clear" w:color="auto" w:fill="auto"/>
            <w:vAlign w:val="center"/>
            <w:hideMark/>
          </w:tcPr>
          <w:p w14:paraId="5F66B7F5"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12</w:t>
            </w:r>
          </w:p>
        </w:tc>
        <w:tc>
          <w:tcPr>
            <w:tcW w:w="700" w:type="dxa"/>
            <w:tcBorders>
              <w:top w:val="nil"/>
              <w:left w:val="nil"/>
              <w:bottom w:val="single" w:sz="8" w:space="0" w:color="auto"/>
              <w:right w:val="single" w:sz="8" w:space="0" w:color="auto"/>
            </w:tcBorders>
            <w:shd w:val="clear" w:color="auto" w:fill="auto"/>
            <w:vAlign w:val="center"/>
            <w:hideMark/>
          </w:tcPr>
          <w:p w14:paraId="02AC087A"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21</w:t>
            </w:r>
          </w:p>
        </w:tc>
        <w:tc>
          <w:tcPr>
            <w:tcW w:w="1180" w:type="dxa"/>
            <w:tcBorders>
              <w:top w:val="nil"/>
              <w:left w:val="nil"/>
              <w:bottom w:val="single" w:sz="8" w:space="0" w:color="auto"/>
              <w:right w:val="single" w:sz="8" w:space="0" w:color="auto"/>
            </w:tcBorders>
            <w:shd w:val="clear" w:color="auto" w:fill="auto"/>
            <w:vAlign w:val="center"/>
            <w:hideMark/>
          </w:tcPr>
          <w:p w14:paraId="1CCDD4F6"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75%</w:t>
            </w:r>
          </w:p>
        </w:tc>
        <w:tc>
          <w:tcPr>
            <w:tcW w:w="1206" w:type="dxa"/>
            <w:tcBorders>
              <w:top w:val="nil"/>
              <w:left w:val="nil"/>
              <w:bottom w:val="single" w:sz="8" w:space="0" w:color="auto"/>
              <w:right w:val="single" w:sz="8" w:space="0" w:color="auto"/>
            </w:tcBorders>
            <w:shd w:val="clear" w:color="auto" w:fill="auto"/>
            <w:vAlign w:val="center"/>
            <w:hideMark/>
          </w:tcPr>
          <w:p w14:paraId="1F6FB464"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9,1%</w:t>
            </w:r>
          </w:p>
        </w:tc>
      </w:tr>
      <w:tr w:rsidR="00921CE6" w:rsidRPr="00921CE6" w14:paraId="547AC86B" w14:textId="77777777" w:rsidTr="00411F3C">
        <w:trPr>
          <w:trHeight w:val="315"/>
          <w:jc w:val="center"/>
        </w:trPr>
        <w:tc>
          <w:tcPr>
            <w:tcW w:w="5980" w:type="dxa"/>
            <w:tcBorders>
              <w:top w:val="nil"/>
              <w:left w:val="single" w:sz="8" w:space="0" w:color="auto"/>
              <w:bottom w:val="single" w:sz="8" w:space="0" w:color="auto"/>
              <w:right w:val="single" w:sz="8" w:space="0" w:color="auto"/>
            </w:tcBorders>
            <w:shd w:val="clear" w:color="auto" w:fill="auto"/>
            <w:vAlign w:val="center"/>
            <w:hideMark/>
          </w:tcPr>
          <w:p w14:paraId="07BA7EBD" w14:textId="77777777" w:rsidR="00921CE6" w:rsidRPr="00921CE6" w:rsidRDefault="00921CE6" w:rsidP="00921CE6">
            <w:pPr>
              <w:spacing w:after="0" w:line="240" w:lineRule="auto"/>
              <w:rPr>
                <w:rFonts w:ascii="Times New Roman" w:eastAsia="Times New Roman" w:hAnsi="Times New Roman" w:cs="Times New Roman"/>
                <w:color w:val="000000"/>
                <w:lang w:eastAsia="en-AE"/>
              </w:rPr>
            </w:pPr>
            <w:r w:rsidRPr="00921CE6">
              <w:rPr>
                <w:rFonts w:ascii="Times New Roman" w:eastAsia="Times New Roman" w:hAnsi="Times New Roman" w:cs="Times New Roman"/>
                <w:color w:val="000000"/>
                <w:lang w:eastAsia="en-AE"/>
              </w:rPr>
              <w:t>Υπηρεσίες αναψυχής, πολιτιστικές, προσωπικές, κλπ.</w:t>
            </w:r>
          </w:p>
        </w:tc>
        <w:tc>
          <w:tcPr>
            <w:tcW w:w="700" w:type="dxa"/>
            <w:tcBorders>
              <w:top w:val="nil"/>
              <w:left w:val="nil"/>
              <w:bottom w:val="single" w:sz="8" w:space="0" w:color="auto"/>
              <w:right w:val="single" w:sz="8" w:space="0" w:color="auto"/>
            </w:tcBorders>
            <w:shd w:val="clear" w:color="auto" w:fill="auto"/>
            <w:vAlign w:val="center"/>
            <w:hideMark/>
          </w:tcPr>
          <w:p w14:paraId="189CC59F"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1</w:t>
            </w:r>
          </w:p>
        </w:tc>
        <w:tc>
          <w:tcPr>
            <w:tcW w:w="700" w:type="dxa"/>
            <w:tcBorders>
              <w:top w:val="nil"/>
              <w:left w:val="nil"/>
              <w:bottom w:val="single" w:sz="8" w:space="0" w:color="auto"/>
              <w:right w:val="single" w:sz="8" w:space="0" w:color="auto"/>
            </w:tcBorders>
            <w:shd w:val="clear" w:color="auto" w:fill="auto"/>
            <w:vAlign w:val="center"/>
            <w:hideMark/>
          </w:tcPr>
          <w:p w14:paraId="515617A3"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3</w:t>
            </w:r>
          </w:p>
        </w:tc>
        <w:tc>
          <w:tcPr>
            <w:tcW w:w="700" w:type="dxa"/>
            <w:tcBorders>
              <w:top w:val="nil"/>
              <w:left w:val="nil"/>
              <w:bottom w:val="single" w:sz="8" w:space="0" w:color="auto"/>
              <w:right w:val="single" w:sz="8" w:space="0" w:color="auto"/>
            </w:tcBorders>
            <w:shd w:val="clear" w:color="auto" w:fill="auto"/>
            <w:vAlign w:val="center"/>
            <w:hideMark/>
          </w:tcPr>
          <w:p w14:paraId="6ED5AEDD"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2</w:t>
            </w:r>
          </w:p>
        </w:tc>
        <w:tc>
          <w:tcPr>
            <w:tcW w:w="1180" w:type="dxa"/>
            <w:tcBorders>
              <w:top w:val="nil"/>
              <w:left w:val="nil"/>
              <w:bottom w:val="single" w:sz="8" w:space="0" w:color="auto"/>
              <w:right w:val="single" w:sz="8" w:space="0" w:color="auto"/>
            </w:tcBorders>
            <w:shd w:val="clear" w:color="auto" w:fill="auto"/>
            <w:vAlign w:val="center"/>
            <w:hideMark/>
          </w:tcPr>
          <w:p w14:paraId="16A24EA5"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-33%</w:t>
            </w:r>
          </w:p>
        </w:tc>
        <w:tc>
          <w:tcPr>
            <w:tcW w:w="1206" w:type="dxa"/>
            <w:tcBorders>
              <w:top w:val="nil"/>
              <w:left w:val="nil"/>
              <w:bottom w:val="single" w:sz="8" w:space="0" w:color="auto"/>
              <w:right w:val="single" w:sz="8" w:space="0" w:color="auto"/>
            </w:tcBorders>
            <w:shd w:val="clear" w:color="auto" w:fill="auto"/>
            <w:vAlign w:val="center"/>
            <w:hideMark/>
          </w:tcPr>
          <w:p w14:paraId="6BAFDB3E"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0,9%</w:t>
            </w:r>
          </w:p>
        </w:tc>
      </w:tr>
      <w:tr w:rsidR="00921CE6" w:rsidRPr="00921CE6" w14:paraId="205BB6A2" w14:textId="77777777" w:rsidTr="00411F3C">
        <w:trPr>
          <w:trHeight w:val="315"/>
          <w:jc w:val="center"/>
        </w:trPr>
        <w:tc>
          <w:tcPr>
            <w:tcW w:w="5980" w:type="dxa"/>
            <w:tcBorders>
              <w:top w:val="nil"/>
              <w:left w:val="single" w:sz="8" w:space="0" w:color="auto"/>
              <w:bottom w:val="single" w:sz="8" w:space="0" w:color="auto"/>
              <w:right w:val="single" w:sz="8" w:space="0" w:color="auto"/>
            </w:tcBorders>
            <w:shd w:val="clear" w:color="auto" w:fill="auto"/>
            <w:vAlign w:val="center"/>
            <w:hideMark/>
          </w:tcPr>
          <w:p w14:paraId="0567841F" w14:textId="77777777" w:rsidR="00921CE6" w:rsidRPr="00921CE6" w:rsidRDefault="00921CE6" w:rsidP="00921CE6">
            <w:pPr>
              <w:spacing w:after="0" w:line="240" w:lineRule="auto"/>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Υπηρεσίες δημοσίου</w:t>
            </w:r>
          </w:p>
        </w:tc>
        <w:tc>
          <w:tcPr>
            <w:tcW w:w="700" w:type="dxa"/>
            <w:tcBorders>
              <w:top w:val="nil"/>
              <w:left w:val="nil"/>
              <w:bottom w:val="single" w:sz="8" w:space="0" w:color="auto"/>
              <w:right w:val="single" w:sz="8" w:space="0" w:color="auto"/>
            </w:tcBorders>
            <w:shd w:val="clear" w:color="auto" w:fill="auto"/>
            <w:vAlign w:val="center"/>
            <w:hideMark/>
          </w:tcPr>
          <w:p w14:paraId="6F44452B"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5</w:t>
            </w:r>
          </w:p>
        </w:tc>
        <w:tc>
          <w:tcPr>
            <w:tcW w:w="700" w:type="dxa"/>
            <w:tcBorders>
              <w:top w:val="nil"/>
              <w:left w:val="nil"/>
              <w:bottom w:val="single" w:sz="8" w:space="0" w:color="auto"/>
              <w:right w:val="single" w:sz="8" w:space="0" w:color="auto"/>
            </w:tcBorders>
            <w:shd w:val="clear" w:color="auto" w:fill="auto"/>
            <w:vAlign w:val="center"/>
            <w:hideMark/>
          </w:tcPr>
          <w:p w14:paraId="291E6D65"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1</w:t>
            </w:r>
          </w:p>
        </w:tc>
        <w:tc>
          <w:tcPr>
            <w:tcW w:w="700" w:type="dxa"/>
            <w:tcBorders>
              <w:top w:val="nil"/>
              <w:left w:val="nil"/>
              <w:bottom w:val="single" w:sz="8" w:space="0" w:color="auto"/>
              <w:right w:val="single" w:sz="8" w:space="0" w:color="auto"/>
            </w:tcBorders>
            <w:shd w:val="clear" w:color="auto" w:fill="auto"/>
            <w:vAlign w:val="center"/>
            <w:hideMark/>
          </w:tcPr>
          <w:p w14:paraId="0F578F64"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1</w:t>
            </w:r>
          </w:p>
        </w:tc>
        <w:tc>
          <w:tcPr>
            <w:tcW w:w="1180" w:type="dxa"/>
            <w:tcBorders>
              <w:top w:val="nil"/>
              <w:left w:val="nil"/>
              <w:bottom w:val="single" w:sz="8" w:space="0" w:color="auto"/>
              <w:right w:val="single" w:sz="8" w:space="0" w:color="auto"/>
            </w:tcBorders>
            <w:shd w:val="clear" w:color="auto" w:fill="auto"/>
            <w:vAlign w:val="center"/>
            <w:hideMark/>
          </w:tcPr>
          <w:p w14:paraId="2D249EAF"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w:t>
            </w:r>
          </w:p>
        </w:tc>
        <w:tc>
          <w:tcPr>
            <w:tcW w:w="1206" w:type="dxa"/>
            <w:tcBorders>
              <w:top w:val="nil"/>
              <w:left w:val="nil"/>
              <w:bottom w:val="single" w:sz="8" w:space="0" w:color="auto"/>
              <w:right w:val="single" w:sz="8" w:space="0" w:color="auto"/>
            </w:tcBorders>
            <w:shd w:val="clear" w:color="auto" w:fill="auto"/>
            <w:vAlign w:val="center"/>
            <w:hideMark/>
          </w:tcPr>
          <w:p w14:paraId="70E8719E" w14:textId="77777777" w:rsidR="00921CE6" w:rsidRPr="00921CE6" w:rsidRDefault="00921CE6" w:rsidP="00921CE6">
            <w:pPr>
              <w:spacing w:after="0" w:line="240" w:lineRule="auto"/>
              <w:jc w:val="center"/>
              <w:rPr>
                <w:rFonts w:ascii="Times New Roman" w:eastAsia="Times New Roman" w:hAnsi="Times New Roman" w:cs="Times New Roman"/>
                <w:color w:val="000000"/>
                <w:lang w:val="en-AE" w:eastAsia="en-AE"/>
              </w:rPr>
            </w:pPr>
            <w:r w:rsidRPr="00921CE6">
              <w:rPr>
                <w:rFonts w:ascii="Times New Roman" w:eastAsia="Times New Roman" w:hAnsi="Times New Roman" w:cs="Times New Roman"/>
                <w:color w:val="000000"/>
                <w:lang w:val="en-AE" w:eastAsia="en-AE"/>
              </w:rPr>
              <w:t>0,4%</w:t>
            </w:r>
          </w:p>
        </w:tc>
      </w:tr>
    </w:tbl>
    <w:p w14:paraId="6D7077C7" w14:textId="5355B64B" w:rsidR="00892EF7" w:rsidRDefault="0029045A" w:rsidP="006266DC">
      <w:pPr>
        <w:ind w:firstLine="567"/>
        <w:jc w:val="both"/>
        <w:rPr>
          <w:rFonts w:asciiTheme="majorHAnsi" w:eastAsia="Times New Roman" w:hAnsiTheme="majorHAnsi" w:cs="Arial"/>
          <w:i/>
          <w:iCs/>
          <w:color w:val="000000"/>
          <w:sz w:val="18"/>
          <w:szCs w:val="18"/>
          <w:lang w:eastAsia="en-GB"/>
        </w:rPr>
      </w:pPr>
      <w:r w:rsidRPr="0001302B">
        <w:rPr>
          <w:rFonts w:asciiTheme="majorHAnsi" w:eastAsia="Times New Roman" w:hAnsiTheme="majorHAnsi" w:cs="Arial"/>
          <w:i/>
          <w:iCs/>
          <w:color w:val="000000"/>
          <w:sz w:val="18"/>
          <w:szCs w:val="18"/>
          <w:lang w:eastAsia="en-GB"/>
        </w:rPr>
        <w:t>Πηγή: Τράπεζα της Ελλάδος,</w:t>
      </w:r>
      <w:r>
        <w:rPr>
          <w:rFonts w:asciiTheme="majorHAnsi" w:eastAsia="Times New Roman" w:hAnsiTheme="majorHAnsi" w:cs="Arial"/>
          <w:i/>
          <w:iCs/>
          <w:color w:val="000000"/>
          <w:sz w:val="18"/>
          <w:szCs w:val="18"/>
          <w:lang w:eastAsia="en-GB"/>
        </w:rPr>
        <w:t xml:space="preserve"> Επεξεργασία Γρ. ΟΕΥ </w:t>
      </w:r>
      <w:r w:rsidR="00C14ED1">
        <w:rPr>
          <w:rFonts w:asciiTheme="majorHAnsi" w:eastAsia="Times New Roman" w:hAnsiTheme="majorHAnsi" w:cs="Arial"/>
          <w:i/>
          <w:iCs/>
          <w:color w:val="000000"/>
          <w:sz w:val="18"/>
          <w:szCs w:val="18"/>
          <w:lang w:eastAsia="en-GB"/>
        </w:rPr>
        <w:t>Dubai</w:t>
      </w:r>
    </w:p>
    <w:p w14:paraId="5A1A5BFB" w14:textId="39A880FE" w:rsidR="000D4CAE" w:rsidRPr="000D4CAE" w:rsidRDefault="000D4CAE" w:rsidP="002B3473">
      <w:pPr>
        <w:ind w:firstLine="567"/>
        <w:jc w:val="center"/>
        <w:rPr>
          <w:rFonts w:ascii="Arial Narrow" w:hAnsi="Arial Narrow" w:cs="Times New Roman"/>
          <w:b/>
          <w:color w:val="1F497D" w:themeColor="text2"/>
          <w:sz w:val="28"/>
          <w:szCs w:val="28"/>
        </w:rPr>
      </w:pPr>
      <w:r w:rsidRPr="000D4CAE">
        <w:rPr>
          <w:rFonts w:ascii="Arial Narrow" w:hAnsi="Arial Narrow" w:cs="Times New Roman"/>
          <w:b/>
          <w:color w:val="1F497D" w:themeColor="text2"/>
          <w:sz w:val="28"/>
          <w:szCs w:val="28"/>
        </w:rPr>
        <w:t>ΠΙΝΑΚΑΣ</w:t>
      </w:r>
      <w:r w:rsidR="000F54F2">
        <w:rPr>
          <w:rFonts w:ascii="Arial Narrow" w:hAnsi="Arial Narrow" w:cs="Times New Roman"/>
          <w:b/>
          <w:color w:val="1F497D" w:themeColor="text2"/>
          <w:sz w:val="28"/>
          <w:szCs w:val="28"/>
        </w:rPr>
        <w:t xml:space="preserve"> 2</w:t>
      </w:r>
      <w:r w:rsidR="008E0187">
        <w:rPr>
          <w:rFonts w:ascii="Arial Narrow" w:hAnsi="Arial Narrow" w:cs="Times New Roman"/>
          <w:b/>
          <w:color w:val="1F497D" w:themeColor="text2"/>
          <w:sz w:val="28"/>
          <w:szCs w:val="28"/>
        </w:rPr>
        <w:t>3</w:t>
      </w:r>
      <w:r w:rsidR="000F54F2">
        <w:rPr>
          <w:rFonts w:ascii="Arial Narrow" w:hAnsi="Arial Narrow" w:cs="Times New Roman"/>
          <w:b/>
          <w:color w:val="1F497D" w:themeColor="text2"/>
          <w:sz w:val="28"/>
          <w:szCs w:val="28"/>
        </w:rPr>
        <w:t xml:space="preserve"> - </w:t>
      </w:r>
      <w:r w:rsidRPr="000D4CAE">
        <w:rPr>
          <w:rFonts w:ascii="Arial Narrow" w:hAnsi="Arial Narrow" w:cs="Times New Roman"/>
          <w:b/>
          <w:color w:val="1F497D" w:themeColor="text2"/>
          <w:sz w:val="28"/>
          <w:szCs w:val="28"/>
        </w:rPr>
        <w:t xml:space="preserve"> ΤΟΥΡΙΣΤΙΚΕΣ ΑΦΙΞΕΙΣ ΑΠΟ ΗΑΕ ΠΡΟΣ ΕΛΛΑΔΑ (2023-2025)</w:t>
      </w:r>
    </w:p>
    <w:tbl>
      <w:tblPr>
        <w:tblStyle w:val="TableGrid"/>
        <w:tblW w:w="0" w:type="auto"/>
        <w:tblLook w:val="04A0" w:firstRow="1" w:lastRow="0" w:firstColumn="1" w:lastColumn="0" w:noHBand="0" w:noVBand="1"/>
      </w:tblPr>
      <w:tblGrid>
        <w:gridCol w:w="3257"/>
        <w:gridCol w:w="3257"/>
        <w:gridCol w:w="3257"/>
      </w:tblGrid>
      <w:tr w:rsidR="00B31D5B" w:rsidRPr="00B31D5B" w14:paraId="4582E895" w14:textId="77777777" w:rsidTr="000D4CAE">
        <w:tc>
          <w:tcPr>
            <w:tcW w:w="3257" w:type="dxa"/>
          </w:tcPr>
          <w:p w14:paraId="341A3928" w14:textId="23C13711" w:rsidR="000D4CAE" w:rsidRPr="00B31D5B" w:rsidRDefault="00B31D5B" w:rsidP="000D4CAE">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 xml:space="preserve">Έτος </w:t>
            </w:r>
          </w:p>
        </w:tc>
        <w:tc>
          <w:tcPr>
            <w:tcW w:w="3257" w:type="dxa"/>
          </w:tcPr>
          <w:p w14:paraId="6D0F85CD" w14:textId="3ED77E66" w:rsidR="000D4CAE" w:rsidRPr="00B31D5B" w:rsidRDefault="00B31D5B" w:rsidP="000D4CAE">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 xml:space="preserve">Εκτιμώμενες Αφίξεις </w:t>
            </w:r>
          </w:p>
        </w:tc>
        <w:tc>
          <w:tcPr>
            <w:tcW w:w="3257" w:type="dxa"/>
          </w:tcPr>
          <w:p w14:paraId="078CF440" w14:textId="5536B437" w:rsidR="000D4CAE" w:rsidRPr="00B31D5B" w:rsidRDefault="00B31D5B" w:rsidP="000D4CAE">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Μεταβολή</w:t>
            </w:r>
          </w:p>
        </w:tc>
      </w:tr>
      <w:tr w:rsidR="00B31D5B" w:rsidRPr="00B31D5B" w14:paraId="13010E4C" w14:textId="77777777" w:rsidTr="000D4CAE">
        <w:tc>
          <w:tcPr>
            <w:tcW w:w="3257" w:type="dxa"/>
          </w:tcPr>
          <w:p w14:paraId="4A2171D9" w14:textId="40AA9BFE" w:rsidR="000D4CAE" w:rsidRPr="00B31D5B" w:rsidRDefault="00B31D5B" w:rsidP="000D4CAE">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2023</w:t>
            </w:r>
          </w:p>
        </w:tc>
        <w:tc>
          <w:tcPr>
            <w:tcW w:w="3257" w:type="dxa"/>
          </w:tcPr>
          <w:p w14:paraId="001963E2" w14:textId="21608771" w:rsidR="00B31D5B" w:rsidRPr="00B31D5B" w:rsidRDefault="00B31D5B" w:rsidP="000D4CAE">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115.000 – 140.000</w:t>
            </w:r>
          </w:p>
        </w:tc>
        <w:tc>
          <w:tcPr>
            <w:tcW w:w="3257" w:type="dxa"/>
          </w:tcPr>
          <w:p w14:paraId="6919849B" w14:textId="610C573D" w:rsidR="000D4CAE" w:rsidRPr="00B31D5B" w:rsidRDefault="00B31D5B" w:rsidP="000D4CAE">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w:t>
            </w:r>
          </w:p>
        </w:tc>
      </w:tr>
      <w:tr w:rsidR="00B31D5B" w:rsidRPr="00B31D5B" w14:paraId="2DF940E2" w14:textId="77777777" w:rsidTr="000D4CAE">
        <w:tc>
          <w:tcPr>
            <w:tcW w:w="3257" w:type="dxa"/>
          </w:tcPr>
          <w:p w14:paraId="2A8E2E83" w14:textId="4303C41B" w:rsidR="000D4CAE" w:rsidRPr="00B31D5B" w:rsidRDefault="00B31D5B" w:rsidP="000D4CAE">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2024</w:t>
            </w:r>
          </w:p>
        </w:tc>
        <w:tc>
          <w:tcPr>
            <w:tcW w:w="3257" w:type="dxa"/>
          </w:tcPr>
          <w:p w14:paraId="2B9B1435" w14:textId="3CDA64F9" w:rsidR="000D4CAE" w:rsidRPr="00B31D5B" w:rsidRDefault="00B31D5B" w:rsidP="000D4CAE">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130.000 – 140.000</w:t>
            </w:r>
          </w:p>
        </w:tc>
        <w:tc>
          <w:tcPr>
            <w:tcW w:w="3257" w:type="dxa"/>
          </w:tcPr>
          <w:p w14:paraId="77630D11" w14:textId="09C1F2B4" w:rsidR="000D4CAE" w:rsidRPr="00B31D5B" w:rsidRDefault="00B31D5B" w:rsidP="000D4CAE">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+12% έως +16%</w:t>
            </w:r>
          </w:p>
        </w:tc>
      </w:tr>
      <w:tr w:rsidR="00B31D5B" w:rsidRPr="00B31D5B" w14:paraId="5DF9CFF3" w14:textId="77777777" w:rsidTr="000D4CAE">
        <w:tc>
          <w:tcPr>
            <w:tcW w:w="3257" w:type="dxa"/>
          </w:tcPr>
          <w:p w14:paraId="4E3AF3BE" w14:textId="75CD8D32" w:rsidR="000D4CAE" w:rsidRPr="00B31D5B" w:rsidRDefault="00B31D5B" w:rsidP="000D4CAE">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2025</w:t>
            </w:r>
          </w:p>
        </w:tc>
        <w:tc>
          <w:tcPr>
            <w:tcW w:w="3257" w:type="dxa"/>
          </w:tcPr>
          <w:p w14:paraId="46A5B177" w14:textId="768B3281" w:rsidR="000D4CAE" w:rsidRPr="00B31D5B" w:rsidRDefault="00B31D5B" w:rsidP="000D4CAE">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 xml:space="preserve">145.000 – 155.000 </w:t>
            </w:r>
          </w:p>
        </w:tc>
        <w:tc>
          <w:tcPr>
            <w:tcW w:w="3257" w:type="dxa"/>
          </w:tcPr>
          <w:p w14:paraId="5D95FC38" w14:textId="39C6C384" w:rsidR="000D4CAE" w:rsidRPr="00B31D5B" w:rsidRDefault="00F85A6C" w:rsidP="000D4CAE">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+8% έως +10%</w:t>
            </w:r>
          </w:p>
        </w:tc>
      </w:tr>
    </w:tbl>
    <w:p w14:paraId="4C55E89F" w14:textId="77777777" w:rsidR="00354993" w:rsidRDefault="00F85A6C" w:rsidP="000D4CAE">
      <w:pPr>
        <w:ind w:firstLine="567"/>
        <w:jc w:val="both"/>
        <w:rPr>
          <w:rFonts w:ascii="Arial Narrow" w:hAnsi="Arial Narrow" w:cs="Times New Roman"/>
          <w:sz w:val="24"/>
          <w:szCs w:val="24"/>
        </w:rPr>
      </w:pPr>
      <w:r>
        <w:rPr>
          <w:rFonts w:ascii="Arial Narrow" w:hAnsi="Arial Narrow" w:cs="Times New Roman"/>
          <w:sz w:val="24"/>
          <w:szCs w:val="24"/>
        </w:rPr>
        <w:t xml:space="preserve">Πηγές: Τράπεζα της Ελλάδος, </w:t>
      </w:r>
      <w:r>
        <w:rPr>
          <w:rFonts w:ascii="Arial Narrow" w:hAnsi="Arial Narrow" w:cs="Times New Roman"/>
          <w:sz w:val="24"/>
          <w:szCs w:val="24"/>
          <w:lang w:val="en-US"/>
        </w:rPr>
        <w:t>Fraport</w:t>
      </w:r>
      <w:r w:rsidRPr="00F85A6C">
        <w:rPr>
          <w:rFonts w:ascii="Arial Narrow" w:hAnsi="Arial Narrow" w:cs="Times New Roman"/>
          <w:sz w:val="24"/>
          <w:szCs w:val="24"/>
        </w:rPr>
        <w:t xml:space="preserve"> </w:t>
      </w:r>
      <w:r>
        <w:rPr>
          <w:rFonts w:ascii="Arial Narrow" w:hAnsi="Arial Narrow" w:cs="Times New Roman"/>
          <w:sz w:val="24"/>
          <w:szCs w:val="24"/>
          <w:lang w:val="en-US"/>
        </w:rPr>
        <w:t>Greece</w:t>
      </w:r>
      <w:r w:rsidRPr="00F85A6C">
        <w:rPr>
          <w:rFonts w:ascii="Arial Narrow" w:hAnsi="Arial Narrow" w:cs="Times New Roman"/>
          <w:sz w:val="24"/>
          <w:szCs w:val="24"/>
        </w:rPr>
        <w:t xml:space="preserve">, </w:t>
      </w:r>
      <w:r w:rsidR="00354993">
        <w:rPr>
          <w:rFonts w:ascii="Arial Narrow" w:hAnsi="Arial Narrow" w:cs="Times New Roman"/>
          <w:sz w:val="24"/>
          <w:szCs w:val="24"/>
        </w:rPr>
        <w:t>Υπηρεσία Πολιτκής Αεροπορίας</w:t>
      </w:r>
    </w:p>
    <w:p w14:paraId="5575EF69" w14:textId="7E6A51EC" w:rsidR="00354993" w:rsidRDefault="00354993" w:rsidP="002B3473">
      <w:pPr>
        <w:ind w:firstLine="567"/>
        <w:jc w:val="center"/>
        <w:rPr>
          <w:rFonts w:ascii="Arial Narrow" w:hAnsi="Arial Narrow" w:cs="Times New Roman"/>
          <w:sz w:val="24"/>
          <w:szCs w:val="24"/>
        </w:rPr>
      </w:pPr>
      <w:r>
        <w:rPr>
          <w:rFonts w:ascii="Arial Narrow" w:hAnsi="Arial Narrow" w:cs="Times New Roman"/>
          <w:sz w:val="24"/>
          <w:szCs w:val="24"/>
        </w:rPr>
        <w:t>Το μεγαλύτερο ποσοστό αφίξεων πραγματοποιείται αεροπορικώς. Πάνω από 80% των επισκεπτών εισέρχεεται μέσω Αθήνας, σημαντική αύξηση παρουσιάζουν οι επισκέψεις σε Μύκονο, Σαντορίνη, Κρήτη και Κέρκυρα.</w:t>
      </w:r>
    </w:p>
    <w:p w14:paraId="5C663902" w14:textId="54F15EA0" w:rsidR="00354993" w:rsidRDefault="00354993" w:rsidP="008E0187">
      <w:pPr>
        <w:ind w:firstLine="567"/>
        <w:jc w:val="center"/>
        <w:rPr>
          <w:rFonts w:ascii="Arial Narrow" w:hAnsi="Arial Narrow" w:cs="Times New Roman"/>
          <w:b/>
          <w:color w:val="1F497D" w:themeColor="text2"/>
          <w:sz w:val="28"/>
          <w:szCs w:val="28"/>
        </w:rPr>
      </w:pPr>
      <w:r>
        <w:rPr>
          <w:rFonts w:ascii="Arial Narrow" w:hAnsi="Arial Narrow" w:cs="Times New Roman"/>
          <w:b/>
          <w:color w:val="1F497D" w:themeColor="text2"/>
          <w:sz w:val="28"/>
          <w:szCs w:val="28"/>
        </w:rPr>
        <w:t>ΠΙΝΑΚΑΣ 2</w:t>
      </w:r>
      <w:r w:rsidR="008E0187">
        <w:rPr>
          <w:rFonts w:ascii="Arial Narrow" w:hAnsi="Arial Narrow" w:cs="Times New Roman"/>
          <w:b/>
          <w:color w:val="1F497D" w:themeColor="text2"/>
          <w:sz w:val="28"/>
          <w:szCs w:val="28"/>
        </w:rPr>
        <w:t>4</w:t>
      </w:r>
      <w:r w:rsidR="000F54F2">
        <w:rPr>
          <w:rFonts w:ascii="Arial Narrow" w:hAnsi="Arial Narrow" w:cs="Times New Roman"/>
          <w:b/>
          <w:color w:val="1F497D" w:themeColor="text2"/>
          <w:sz w:val="28"/>
          <w:szCs w:val="28"/>
        </w:rPr>
        <w:t xml:space="preserve"> - </w:t>
      </w:r>
      <w:r>
        <w:rPr>
          <w:rFonts w:ascii="Arial Narrow" w:hAnsi="Arial Narrow" w:cs="Times New Roman"/>
          <w:b/>
          <w:color w:val="1F497D" w:themeColor="text2"/>
          <w:sz w:val="28"/>
          <w:szCs w:val="28"/>
        </w:rPr>
        <w:t xml:space="preserve"> ΤΟΥΡΙΣΤΙΚΕΣ ΕΙΣΠΡΑΞΕΙΣ ΑΠΟ ΕΠΙΣΚΕΠΤΕΣ ΗΑΕ</w:t>
      </w:r>
    </w:p>
    <w:tbl>
      <w:tblPr>
        <w:tblStyle w:val="TableGrid"/>
        <w:tblW w:w="0" w:type="auto"/>
        <w:tblLook w:val="04A0" w:firstRow="1" w:lastRow="0" w:firstColumn="1" w:lastColumn="0" w:noHBand="0" w:noVBand="1"/>
      </w:tblPr>
      <w:tblGrid>
        <w:gridCol w:w="4885"/>
        <w:gridCol w:w="4886"/>
      </w:tblGrid>
      <w:tr w:rsidR="00E504C3" w:rsidRPr="00E504C3" w14:paraId="4D8298EB" w14:textId="77777777" w:rsidTr="00F214EA">
        <w:tc>
          <w:tcPr>
            <w:tcW w:w="4885" w:type="dxa"/>
          </w:tcPr>
          <w:p w14:paraId="03FAD801" w14:textId="775114BC" w:rsidR="00F214EA" w:rsidRPr="00E504C3" w:rsidRDefault="002C1A4D" w:rsidP="000D4CAE">
            <w:pPr>
              <w:jc w:val="both"/>
              <w:rPr>
                <w:rFonts w:ascii="Arial Narrow" w:hAnsi="Arial Narrow" w:cs="Times New Roman"/>
                <w:b/>
                <w:color w:val="1F497D" w:themeColor="text2"/>
                <w:sz w:val="24"/>
                <w:szCs w:val="24"/>
              </w:rPr>
            </w:pPr>
            <w:r w:rsidRPr="00E504C3">
              <w:rPr>
                <w:rFonts w:ascii="Arial Narrow" w:hAnsi="Arial Narrow" w:cs="Times New Roman"/>
                <w:b/>
                <w:color w:val="1F497D" w:themeColor="text2"/>
                <w:sz w:val="24"/>
                <w:szCs w:val="24"/>
              </w:rPr>
              <w:t>Έτος</w:t>
            </w:r>
          </w:p>
        </w:tc>
        <w:tc>
          <w:tcPr>
            <w:tcW w:w="4886" w:type="dxa"/>
          </w:tcPr>
          <w:p w14:paraId="493D3E0F" w14:textId="146E0033" w:rsidR="00F214EA" w:rsidRPr="00E504C3" w:rsidRDefault="00E504C3" w:rsidP="000D4CAE">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Εκτιμώμενες Εισπράξεις</w:t>
            </w:r>
          </w:p>
        </w:tc>
      </w:tr>
      <w:tr w:rsidR="00E504C3" w:rsidRPr="00E504C3" w14:paraId="0FD386D0" w14:textId="77777777" w:rsidTr="00F214EA">
        <w:tc>
          <w:tcPr>
            <w:tcW w:w="4885" w:type="dxa"/>
          </w:tcPr>
          <w:p w14:paraId="2631568D" w14:textId="6F28B5F5" w:rsidR="00F214EA" w:rsidRPr="00E504C3" w:rsidRDefault="00E504C3" w:rsidP="000D4CAE">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2024</w:t>
            </w:r>
          </w:p>
        </w:tc>
        <w:tc>
          <w:tcPr>
            <w:tcW w:w="4886" w:type="dxa"/>
          </w:tcPr>
          <w:p w14:paraId="4DD21745" w14:textId="1C38652E" w:rsidR="00F214EA" w:rsidRPr="00E504C3" w:rsidRDefault="00E504C3" w:rsidP="000D4CAE">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220-240 εκατ. €</w:t>
            </w:r>
          </w:p>
        </w:tc>
      </w:tr>
      <w:tr w:rsidR="00E504C3" w:rsidRPr="00E504C3" w14:paraId="3A8EE958" w14:textId="77777777" w:rsidTr="00F214EA">
        <w:tc>
          <w:tcPr>
            <w:tcW w:w="4885" w:type="dxa"/>
          </w:tcPr>
          <w:p w14:paraId="40E79DBF" w14:textId="19A38FB3" w:rsidR="00F214EA" w:rsidRPr="00E504C3" w:rsidRDefault="00E504C3" w:rsidP="000D4CAE">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2025</w:t>
            </w:r>
          </w:p>
        </w:tc>
        <w:tc>
          <w:tcPr>
            <w:tcW w:w="4886" w:type="dxa"/>
          </w:tcPr>
          <w:p w14:paraId="109B8D78" w14:textId="3F87B762" w:rsidR="00F214EA" w:rsidRPr="00E504C3" w:rsidRDefault="00E504C3" w:rsidP="000D4CAE">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245-265 εκατ. €</w:t>
            </w:r>
          </w:p>
        </w:tc>
      </w:tr>
    </w:tbl>
    <w:p w14:paraId="163E67B1" w14:textId="5AB10EA9" w:rsidR="000D4CAE" w:rsidRDefault="001230E2" w:rsidP="000D4CAE">
      <w:pPr>
        <w:ind w:firstLine="567"/>
        <w:jc w:val="both"/>
        <w:rPr>
          <w:rFonts w:ascii="Arial Narrow" w:hAnsi="Arial Narrow" w:cs="Times New Roman"/>
          <w:sz w:val="24"/>
          <w:szCs w:val="24"/>
        </w:rPr>
      </w:pPr>
      <w:r>
        <w:rPr>
          <w:rFonts w:ascii="Arial Narrow" w:hAnsi="Arial Narrow" w:cs="Times New Roman"/>
          <w:sz w:val="24"/>
          <w:szCs w:val="24"/>
        </w:rPr>
        <w:t xml:space="preserve">Οι επισκέπτες από τα ΗΑΕ ανήκουν στις αγορές υψηλής δαπάνης με μέση ημερήσια κατανάλωση αισθητά υψηλότερη από τον μέσο διεθνή επισκέπτη. </w:t>
      </w:r>
    </w:p>
    <w:p w14:paraId="558C51FE" w14:textId="283CAFA4" w:rsidR="002B3473" w:rsidRDefault="002B3473" w:rsidP="008E0187">
      <w:pPr>
        <w:ind w:firstLine="567"/>
        <w:jc w:val="center"/>
        <w:rPr>
          <w:rFonts w:ascii="Arial Narrow" w:hAnsi="Arial Narrow" w:cs="Times New Roman"/>
          <w:b/>
          <w:color w:val="1F497D" w:themeColor="text2"/>
          <w:sz w:val="28"/>
          <w:szCs w:val="28"/>
        </w:rPr>
      </w:pPr>
      <w:r>
        <w:rPr>
          <w:rFonts w:ascii="Arial Narrow" w:hAnsi="Arial Narrow" w:cs="Times New Roman"/>
          <w:b/>
          <w:color w:val="1F497D" w:themeColor="text2"/>
          <w:sz w:val="28"/>
          <w:szCs w:val="28"/>
        </w:rPr>
        <w:t>ΠΙΝΑΚΑΣ</w:t>
      </w:r>
      <w:r w:rsidR="000F54F2">
        <w:rPr>
          <w:rFonts w:ascii="Arial Narrow" w:hAnsi="Arial Narrow" w:cs="Times New Roman"/>
          <w:b/>
          <w:color w:val="1F497D" w:themeColor="text2"/>
          <w:sz w:val="28"/>
          <w:szCs w:val="28"/>
        </w:rPr>
        <w:t xml:space="preserve"> </w:t>
      </w:r>
      <w:r w:rsidR="008E0187">
        <w:rPr>
          <w:rFonts w:ascii="Arial Narrow" w:hAnsi="Arial Narrow" w:cs="Times New Roman"/>
          <w:b/>
          <w:color w:val="1F497D" w:themeColor="text2"/>
          <w:sz w:val="28"/>
          <w:szCs w:val="28"/>
        </w:rPr>
        <w:t xml:space="preserve">25 </w:t>
      </w:r>
      <w:r w:rsidR="000F54F2">
        <w:rPr>
          <w:rFonts w:ascii="Arial Narrow" w:hAnsi="Arial Narrow" w:cs="Times New Roman"/>
          <w:b/>
          <w:color w:val="1F497D" w:themeColor="text2"/>
          <w:sz w:val="28"/>
          <w:szCs w:val="28"/>
        </w:rPr>
        <w:t xml:space="preserve"> - </w:t>
      </w:r>
      <w:r>
        <w:rPr>
          <w:rFonts w:ascii="Arial Narrow" w:hAnsi="Arial Narrow" w:cs="Times New Roman"/>
          <w:b/>
          <w:color w:val="1F497D" w:themeColor="text2"/>
          <w:sz w:val="28"/>
          <w:szCs w:val="28"/>
        </w:rPr>
        <w:t xml:space="preserve"> ΣΥΓΚΡΙΣΗ ΕΛΛΑΔΑΣ ΜΕ ΑΝΤΑΓΩΝΙΣΤΙΚΟΥΣ ΠΡΟΟΡΙΣΜΟΥΣ </w:t>
      </w:r>
    </w:p>
    <w:tbl>
      <w:tblPr>
        <w:tblStyle w:val="TableGrid"/>
        <w:tblW w:w="0" w:type="auto"/>
        <w:tblLook w:val="04A0" w:firstRow="1" w:lastRow="0" w:firstColumn="1" w:lastColumn="0" w:noHBand="0" w:noVBand="1"/>
      </w:tblPr>
      <w:tblGrid>
        <w:gridCol w:w="4885"/>
        <w:gridCol w:w="4886"/>
      </w:tblGrid>
      <w:tr w:rsidR="005578CB" w:rsidRPr="005578CB" w14:paraId="6D777081" w14:textId="77777777" w:rsidTr="002B3473">
        <w:tc>
          <w:tcPr>
            <w:tcW w:w="4885" w:type="dxa"/>
          </w:tcPr>
          <w:p w14:paraId="6021147B" w14:textId="6DB64E9F" w:rsidR="002B3473" w:rsidRPr="005578CB" w:rsidRDefault="005578CB" w:rsidP="002B3473">
            <w:pPr>
              <w:jc w:val="both"/>
              <w:rPr>
                <w:rFonts w:ascii="Arial Narrow" w:hAnsi="Arial Narrow" w:cs="Times New Roman"/>
                <w:b/>
                <w:color w:val="1F497D" w:themeColor="text2"/>
                <w:sz w:val="24"/>
                <w:szCs w:val="24"/>
              </w:rPr>
            </w:pPr>
            <w:r w:rsidRPr="005578CB">
              <w:rPr>
                <w:rFonts w:ascii="Arial Narrow" w:hAnsi="Arial Narrow" w:cs="Times New Roman"/>
                <w:b/>
                <w:color w:val="1F497D" w:themeColor="text2"/>
                <w:sz w:val="24"/>
                <w:szCs w:val="24"/>
              </w:rPr>
              <w:t xml:space="preserve">Χώρα </w:t>
            </w:r>
          </w:p>
        </w:tc>
        <w:tc>
          <w:tcPr>
            <w:tcW w:w="4886" w:type="dxa"/>
          </w:tcPr>
          <w:p w14:paraId="701B96DC" w14:textId="496C881A" w:rsidR="002B3473" w:rsidRPr="005578CB" w:rsidRDefault="005578CB" w:rsidP="002B3473">
            <w:pPr>
              <w:jc w:val="both"/>
              <w:rPr>
                <w:rFonts w:ascii="Arial Narrow" w:hAnsi="Arial Narrow" w:cs="Times New Roman"/>
                <w:b/>
                <w:color w:val="1F497D" w:themeColor="text2"/>
                <w:sz w:val="24"/>
                <w:szCs w:val="24"/>
              </w:rPr>
            </w:pPr>
            <w:r w:rsidRPr="005578CB">
              <w:rPr>
                <w:rFonts w:ascii="Arial Narrow" w:hAnsi="Arial Narrow" w:cs="Times New Roman"/>
                <w:b/>
                <w:color w:val="1F497D" w:themeColor="text2"/>
                <w:sz w:val="24"/>
                <w:szCs w:val="24"/>
              </w:rPr>
              <w:t>Εκτιμώμενοι επισκέπτες από ΗΑΕ (2025)</w:t>
            </w:r>
          </w:p>
        </w:tc>
      </w:tr>
      <w:tr w:rsidR="005578CB" w:rsidRPr="005578CB" w14:paraId="32D2EAE4" w14:textId="77777777" w:rsidTr="002B3473">
        <w:tc>
          <w:tcPr>
            <w:tcW w:w="4885" w:type="dxa"/>
          </w:tcPr>
          <w:p w14:paraId="1A23E500" w14:textId="7B7205D3" w:rsidR="002B3473" w:rsidRPr="005578CB" w:rsidRDefault="005578CB" w:rsidP="002B3473">
            <w:pPr>
              <w:jc w:val="both"/>
              <w:rPr>
                <w:rFonts w:ascii="Arial Narrow" w:hAnsi="Arial Narrow" w:cs="Times New Roman"/>
                <w:b/>
                <w:color w:val="1F497D" w:themeColor="text2"/>
                <w:sz w:val="24"/>
                <w:szCs w:val="24"/>
              </w:rPr>
            </w:pPr>
            <w:r w:rsidRPr="005578CB">
              <w:rPr>
                <w:rFonts w:ascii="Arial Narrow" w:hAnsi="Arial Narrow" w:cs="Times New Roman"/>
                <w:b/>
                <w:color w:val="1F497D" w:themeColor="text2"/>
                <w:sz w:val="24"/>
                <w:szCs w:val="24"/>
              </w:rPr>
              <w:t xml:space="preserve">Τουρκία </w:t>
            </w:r>
          </w:p>
        </w:tc>
        <w:tc>
          <w:tcPr>
            <w:tcW w:w="4886" w:type="dxa"/>
          </w:tcPr>
          <w:p w14:paraId="6E14E646" w14:textId="7F7F1306" w:rsidR="002B3473" w:rsidRPr="005578CB" w:rsidRDefault="005578CB" w:rsidP="002B3473">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350.000 – 400.000</w:t>
            </w:r>
          </w:p>
        </w:tc>
      </w:tr>
      <w:tr w:rsidR="005578CB" w:rsidRPr="005578CB" w14:paraId="1F30F0F0" w14:textId="77777777" w:rsidTr="002B3473">
        <w:tc>
          <w:tcPr>
            <w:tcW w:w="4885" w:type="dxa"/>
          </w:tcPr>
          <w:p w14:paraId="6089F030" w14:textId="1DD57790" w:rsidR="002B3473" w:rsidRPr="005578CB" w:rsidRDefault="005578CB" w:rsidP="002B3473">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 xml:space="preserve">Ιταλία </w:t>
            </w:r>
          </w:p>
        </w:tc>
        <w:tc>
          <w:tcPr>
            <w:tcW w:w="4886" w:type="dxa"/>
          </w:tcPr>
          <w:p w14:paraId="26D04698" w14:textId="0DB445C9" w:rsidR="002B3473" w:rsidRPr="005578CB" w:rsidRDefault="005578CB" w:rsidP="002B3473">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250.000 – 280.000</w:t>
            </w:r>
          </w:p>
        </w:tc>
      </w:tr>
      <w:tr w:rsidR="005578CB" w:rsidRPr="005578CB" w14:paraId="356D4D62" w14:textId="77777777" w:rsidTr="002B3473">
        <w:tc>
          <w:tcPr>
            <w:tcW w:w="4885" w:type="dxa"/>
          </w:tcPr>
          <w:p w14:paraId="3397F81C" w14:textId="6132D050" w:rsidR="002B3473" w:rsidRPr="005578CB" w:rsidRDefault="005578CB" w:rsidP="002B3473">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 xml:space="preserve">Γαλλία </w:t>
            </w:r>
          </w:p>
        </w:tc>
        <w:tc>
          <w:tcPr>
            <w:tcW w:w="4886" w:type="dxa"/>
          </w:tcPr>
          <w:p w14:paraId="68162A9A" w14:textId="6A2ABE71" w:rsidR="002B3473" w:rsidRPr="005578CB" w:rsidRDefault="005578CB" w:rsidP="002B3473">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220.000 – 250.000</w:t>
            </w:r>
          </w:p>
        </w:tc>
      </w:tr>
      <w:tr w:rsidR="005578CB" w:rsidRPr="005578CB" w14:paraId="140EF29F" w14:textId="77777777" w:rsidTr="002B3473">
        <w:tc>
          <w:tcPr>
            <w:tcW w:w="4885" w:type="dxa"/>
          </w:tcPr>
          <w:p w14:paraId="3D3E709C" w14:textId="577049A4" w:rsidR="002B3473" w:rsidRPr="005578CB" w:rsidRDefault="005578CB" w:rsidP="002B3473">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 xml:space="preserve">Ελλάδα </w:t>
            </w:r>
          </w:p>
        </w:tc>
        <w:tc>
          <w:tcPr>
            <w:tcW w:w="4886" w:type="dxa"/>
          </w:tcPr>
          <w:p w14:paraId="1F72D981" w14:textId="5A99584E" w:rsidR="002B3473" w:rsidRPr="005578CB" w:rsidRDefault="005578CB" w:rsidP="002B3473">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145.000 – 150.000</w:t>
            </w:r>
          </w:p>
        </w:tc>
      </w:tr>
      <w:tr w:rsidR="005578CB" w:rsidRPr="005578CB" w14:paraId="02C17FE4" w14:textId="77777777" w:rsidTr="002B3473">
        <w:tc>
          <w:tcPr>
            <w:tcW w:w="4885" w:type="dxa"/>
          </w:tcPr>
          <w:p w14:paraId="1C7E7F8D" w14:textId="0A2E8C6C" w:rsidR="002B3473" w:rsidRPr="005578CB" w:rsidRDefault="005578CB" w:rsidP="002B3473">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 xml:space="preserve">Ισπανία </w:t>
            </w:r>
          </w:p>
        </w:tc>
        <w:tc>
          <w:tcPr>
            <w:tcW w:w="4886" w:type="dxa"/>
          </w:tcPr>
          <w:p w14:paraId="3BF00A22" w14:textId="2728B811" w:rsidR="002B3473" w:rsidRPr="005578CB" w:rsidRDefault="005578CB" w:rsidP="002B3473">
            <w:pPr>
              <w:jc w:val="both"/>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140.000 – 150.000</w:t>
            </w:r>
          </w:p>
        </w:tc>
      </w:tr>
    </w:tbl>
    <w:p w14:paraId="202BC5FC" w14:textId="21480FF8" w:rsidR="00CC1EF0" w:rsidRDefault="005578CB" w:rsidP="005578CB">
      <w:pPr>
        <w:jc w:val="both"/>
        <w:rPr>
          <w:rFonts w:ascii="Arial Narrow" w:hAnsi="Arial Narrow" w:cs="Times New Roman"/>
          <w:sz w:val="24"/>
          <w:szCs w:val="24"/>
        </w:rPr>
      </w:pPr>
      <w:r>
        <w:rPr>
          <w:rFonts w:ascii="Arial Narrow" w:hAnsi="Arial Narrow" w:cs="Times New Roman"/>
          <w:sz w:val="24"/>
          <w:szCs w:val="24"/>
        </w:rPr>
        <w:t xml:space="preserve">Ανταγωνιστικά πλεονεκτήματα από άλλες χώρες, όπως η Τουρκία (ευκολότερη έκδοση </w:t>
      </w:r>
      <w:r>
        <w:rPr>
          <w:rFonts w:ascii="Arial Narrow" w:hAnsi="Arial Narrow" w:cs="Times New Roman"/>
          <w:sz w:val="24"/>
          <w:szCs w:val="24"/>
          <w:lang w:val="en-US"/>
        </w:rPr>
        <w:t>Visa</w:t>
      </w:r>
      <w:r w:rsidRPr="005578CB">
        <w:rPr>
          <w:rFonts w:ascii="Arial Narrow" w:hAnsi="Arial Narrow" w:cs="Times New Roman"/>
          <w:sz w:val="24"/>
          <w:szCs w:val="24"/>
        </w:rPr>
        <w:t xml:space="preserve">, </w:t>
      </w:r>
      <w:r>
        <w:rPr>
          <w:rFonts w:ascii="Arial Narrow" w:hAnsi="Arial Narrow" w:cs="Times New Roman"/>
          <w:sz w:val="24"/>
          <w:szCs w:val="24"/>
        </w:rPr>
        <w:t xml:space="preserve">ανταγωνιστικές τιμές, σημαντικές αεροπορικές συνδέσεις, αγορές και ιατρικός τουρισμός). Με την Ιταλία (πολυτελής τουρισμός, </w:t>
      </w:r>
      <w:r>
        <w:rPr>
          <w:rFonts w:ascii="Arial Narrow" w:hAnsi="Arial Narrow" w:cs="Times New Roman"/>
          <w:sz w:val="24"/>
          <w:szCs w:val="24"/>
          <w:lang w:val="en-US"/>
        </w:rPr>
        <w:t>shopping</w:t>
      </w:r>
      <w:r w:rsidRPr="005578CB">
        <w:rPr>
          <w:rFonts w:ascii="Arial Narrow" w:hAnsi="Arial Narrow" w:cs="Times New Roman"/>
          <w:sz w:val="24"/>
          <w:szCs w:val="24"/>
        </w:rPr>
        <w:t xml:space="preserve">, </w:t>
      </w:r>
      <w:r>
        <w:rPr>
          <w:rFonts w:ascii="Arial Narrow" w:hAnsi="Arial Narrow" w:cs="Times New Roman"/>
          <w:sz w:val="24"/>
          <w:szCs w:val="24"/>
        </w:rPr>
        <w:t xml:space="preserve">γαστρονομία &amp; πολιτισμός). Με τη Γαλλία (πολυτελής φιλοξενία, </w:t>
      </w:r>
      <w:r w:rsidR="00CC1EF0">
        <w:rPr>
          <w:rFonts w:ascii="Arial Narrow" w:hAnsi="Arial Narrow" w:cs="Times New Roman"/>
          <w:sz w:val="24"/>
          <w:szCs w:val="24"/>
        </w:rPr>
        <w:t xml:space="preserve">ισχυρό </w:t>
      </w:r>
      <w:r w:rsidR="00CC1EF0">
        <w:rPr>
          <w:rFonts w:ascii="Arial Narrow" w:hAnsi="Arial Narrow" w:cs="Times New Roman"/>
          <w:sz w:val="24"/>
          <w:szCs w:val="24"/>
          <w:lang w:val="en-US"/>
        </w:rPr>
        <w:t>Luxury</w:t>
      </w:r>
      <w:r w:rsidR="00CC1EF0" w:rsidRPr="00CC1EF0">
        <w:rPr>
          <w:rFonts w:ascii="Arial Narrow" w:hAnsi="Arial Narrow" w:cs="Times New Roman"/>
          <w:sz w:val="24"/>
          <w:szCs w:val="24"/>
        </w:rPr>
        <w:t xml:space="preserve"> </w:t>
      </w:r>
      <w:r w:rsidR="00CC1EF0">
        <w:rPr>
          <w:rFonts w:ascii="Arial Narrow" w:hAnsi="Arial Narrow" w:cs="Times New Roman"/>
          <w:sz w:val="24"/>
          <w:szCs w:val="24"/>
          <w:lang w:val="en-US"/>
        </w:rPr>
        <w:t>Brand</w:t>
      </w:r>
      <w:r w:rsidR="00CC1EF0" w:rsidRPr="00CC1EF0">
        <w:rPr>
          <w:rFonts w:ascii="Arial Narrow" w:hAnsi="Arial Narrow" w:cs="Times New Roman"/>
          <w:sz w:val="24"/>
          <w:szCs w:val="24"/>
        </w:rPr>
        <w:t xml:space="preserve">, </w:t>
      </w:r>
      <w:r w:rsidR="00CC1EF0">
        <w:rPr>
          <w:rFonts w:ascii="Arial Narrow" w:hAnsi="Arial Narrow" w:cs="Times New Roman"/>
          <w:sz w:val="24"/>
          <w:szCs w:val="24"/>
          <w:lang w:val="en-US"/>
        </w:rPr>
        <w:t>Paris</w:t>
      </w:r>
      <w:r w:rsidR="00CC1EF0" w:rsidRPr="00CC1EF0">
        <w:rPr>
          <w:rFonts w:ascii="Arial Narrow" w:hAnsi="Arial Narrow" w:cs="Times New Roman"/>
          <w:sz w:val="24"/>
          <w:szCs w:val="24"/>
        </w:rPr>
        <w:t xml:space="preserve"> </w:t>
      </w:r>
      <w:r w:rsidR="00CC1EF0">
        <w:rPr>
          <w:rFonts w:ascii="Arial Narrow" w:hAnsi="Arial Narrow" w:cs="Times New Roman"/>
          <w:sz w:val="24"/>
          <w:szCs w:val="24"/>
        </w:rPr>
        <w:t xml:space="preserve">ως </w:t>
      </w:r>
      <w:r w:rsidR="00CC1EF0">
        <w:rPr>
          <w:rFonts w:ascii="Arial Narrow" w:hAnsi="Arial Narrow" w:cs="Times New Roman"/>
          <w:sz w:val="24"/>
          <w:szCs w:val="24"/>
          <w:lang w:val="en-US"/>
        </w:rPr>
        <w:t>premium</w:t>
      </w:r>
      <w:r w:rsidR="00CC1EF0" w:rsidRPr="00CC1EF0">
        <w:rPr>
          <w:rFonts w:ascii="Arial Narrow" w:hAnsi="Arial Narrow" w:cs="Times New Roman"/>
          <w:sz w:val="24"/>
          <w:szCs w:val="24"/>
        </w:rPr>
        <w:t xml:space="preserve"> </w:t>
      </w:r>
      <w:r w:rsidR="00CC1EF0">
        <w:rPr>
          <w:rFonts w:ascii="Arial Narrow" w:hAnsi="Arial Narrow" w:cs="Times New Roman"/>
          <w:sz w:val="24"/>
          <w:szCs w:val="24"/>
          <w:lang w:val="en-US"/>
        </w:rPr>
        <w:t>city</w:t>
      </w:r>
      <w:r w:rsidR="00CC1EF0" w:rsidRPr="00CC1EF0">
        <w:rPr>
          <w:rFonts w:ascii="Arial Narrow" w:hAnsi="Arial Narrow" w:cs="Times New Roman"/>
          <w:sz w:val="24"/>
          <w:szCs w:val="24"/>
        </w:rPr>
        <w:t xml:space="preserve"> </w:t>
      </w:r>
      <w:r w:rsidR="00CC1EF0">
        <w:rPr>
          <w:rFonts w:ascii="Arial Narrow" w:hAnsi="Arial Narrow" w:cs="Times New Roman"/>
          <w:sz w:val="24"/>
          <w:szCs w:val="24"/>
          <w:lang w:val="en-US"/>
        </w:rPr>
        <w:t>break</w:t>
      </w:r>
      <w:r w:rsidR="00CC1EF0" w:rsidRPr="00CC1EF0">
        <w:rPr>
          <w:rFonts w:ascii="Arial Narrow" w:hAnsi="Arial Narrow" w:cs="Times New Roman"/>
          <w:sz w:val="24"/>
          <w:szCs w:val="24"/>
        </w:rPr>
        <w:t xml:space="preserve">. </w:t>
      </w:r>
      <w:r w:rsidR="00CC1EF0">
        <w:rPr>
          <w:rFonts w:ascii="Arial Narrow" w:hAnsi="Arial Narrow" w:cs="Times New Roman"/>
          <w:sz w:val="24"/>
          <w:szCs w:val="24"/>
        </w:rPr>
        <w:t>Με την Ισπανία (</w:t>
      </w:r>
      <w:r w:rsidR="00CC1EF0">
        <w:rPr>
          <w:rFonts w:ascii="Arial Narrow" w:hAnsi="Arial Narrow" w:cs="Times New Roman"/>
          <w:sz w:val="24"/>
          <w:szCs w:val="24"/>
          <w:lang w:val="en-US"/>
        </w:rPr>
        <w:t>family</w:t>
      </w:r>
      <w:r w:rsidR="00CC1EF0" w:rsidRPr="00CC1EF0">
        <w:rPr>
          <w:rFonts w:ascii="Arial Narrow" w:hAnsi="Arial Narrow" w:cs="Times New Roman"/>
          <w:sz w:val="24"/>
          <w:szCs w:val="24"/>
        </w:rPr>
        <w:t xml:space="preserve"> </w:t>
      </w:r>
      <w:r w:rsidR="00CC1EF0">
        <w:rPr>
          <w:rFonts w:ascii="Arial Narrow" w:hAnsi="Arial Narrow" w:cs="Times New Roman"/>
          <w:sz w:val="24"/>
          <w:szCs w:val="24"/>
          <w:lang w:val="en-US"/>
        </w:rPr>
        <w:t>tourism</w:t>
      </w:r>
      <w:r w:rsidR="00CC1EF0" w:rsidRPr="00CC1EF0">
        <w:rPr>
          <w:rFonts w:ascii="Arial Narrow" w:hAnsi="Arial Narrow" w:cs="Times New Roman"/>
          <w:sz w:val="24"/>
          <w:szCs w:val="24"/>
        </w:rPr>
        <w:t xml:space="preserve">, </w:t>
      </w:r>
      <w:r w:rsidR="00CC1EF0">
        <w:rPr>
          <w:rFonts w:ascii="Arial Narrow" w:hAnsi="Arial Narrow" w:cs="Times New Roman"/>
          <w:sz w:val="24"/>
          <w:szCs w:val="24"/>
          <w:lang w:val="en-US"/>
        </w:rPr>
        <w:t>Beach</w:t>
      </w:r>
      <w:r w:rsidR="00CC1EF0" w:rsidRPr="00CC1EF0">
        <w:rPr>
          <w:rFonts w:ascii="Arial Narrow" w:hAnsi="Arial Narrow" w:cs="Times New Roman"/>
          <w:sz w:val="24"/>
          <w:szCs w:val="24"/>
        </w:rPr>
        <w:t xml:space="preserve"> </w:t>
      </w:r>
      <w:r w:rsidR="00CC1EF0">
        <w:rPr>
          <w:rFonts w:ascii="Arial Narrow" w:hAnsi="Arial Narrow" w:cs="Times New Roman"/>
          <w:sz w:val="24"/>
          <w:szCs w:val="24"/>
          <w:lang w:val="en-US"/>
        </w:rPr>
        <w:t>resorts</w:t>
      </w:r>
      <w:r w:rsidR="00CC1EF0" w:rsidRPr="00CC1EF0">
        <w:rPr>
          <w:rFonts w:ascii="Arial Narrow" w:hAnsi="Arial Narrow" w:cs="Times New Roman"/>
          <w:sz w:val="24"/>
          <w:szCs w:val="24"/>
        </w:rPr>
        <w:t>,</w:t>
      </w:r>
      <w:r w:rsidR="00CC1EF0">
        <w:rPr>
          <w:rFonts w:ascii="Arial Narrow" w:hAnsi="Arial Narrow" w:cs="Times New Roman"/>
          <w:sz w:val="24"/>
          <w:szCs w:val="24"/>
        </w:rPr>
        <w:t xml:space="preserve"> μεγάλη διάρκεια παραμονής). Με την Ελλάδα (νησιωτικός τουρισμός, αυθεντικές εμπειρίες, </w:t>
      </w:r>
      <w:r w:rsidR="00CC1EF0">
        <w:rPr>
          <w:rFonts w:ascii="Arial Narrow" w:hAnsi="Arial Narrow" w:cs="Times New Roman"/>
          <w:sz w:val="24"/>
          <w:szCs w:val="24"/>
          <w:lang w:val="en-US"/>
        </w:rPr>
        <w:t>luxury</w:t>
      </w:r>
      <w:r w:rsidR="00CC1EF0" w:rsidRPr="00CC1EF0">
        <w:rPr>
          <w:rFonts w:ascii="Arial Narrow" w:hAnsi="Arial Narrow" w:cs="Times New Roman"/>
          <w:sz w:val="24"/>
          <w:szCs w:val="24"/>
        </w:rPr>
        <w:t xml:space="preserve"> </w:t>
      </w:r>
      <w:r w:rsidR="00CC1EF0">
        <w:rPr>
          <w:rFonts w:ascii="Arial Narrow" w:hAnsi="Arial Narrow" w:cs="Times New Roman"/>
          <w:sz w:val="24"/>
          <w:szCs w:val="24"/>
          <w:lang w:val="en-US"/>
        </w:rPr>
        <w:t>villas</w:t>
      </w:r>
      <w:r w:rsidR="00CC1EF0" w:rsidRPr="00CC1EF0">
        <w:rPr>
          <w:rFonts w:ascii="Arial Narrow" w:hAnsi="Arial Narrow" w:cs="Times New Roman"/>
          <w:sz w:val="24"/>
          <w:szCs w:val="24"/>
        </w:rPr>
        <w:t xml:space="preserve">, </w:t>
      </w:r>
      <w:r w:rsidR="00CC1EF0">
        <w:rPr>
          <w:rFonts w:ascii="Arial Narrow" w:hAnsi="Arial Narrow" w:cs="Times New Roman"/>
          <w:sz w:val="24"/>
          <w:szCs w:val="24"/>
          <w:lang w:val="en-US"/>
        </w:rPr>
        <w:t>Yachting</w:t>
      </w:r>
      <w:r w:rsidR="00CC1EF0" w:rsidRPr="00CC1EF0">
        <w:rPr>
          <w:rFonts w:ascii="Arial Narrow" w:hAnsi="Arial Narrow" w:cs="Times New Roman"/>
          <w:sz w:val="24"/>
          <w:szCs w:val="24"/>
        </w:rPr>
        <w:t xml:space="preserve">, </w:t>
      </w:r>
      <w:r w:rsidR="00CC1EF0">
        <w:rPr>
          <w:rFonts w:ascii="Arial Narrow" w:hAnsi="Arial Narrow" w:cs="Times New Roman"/>
          <w:sz w:val="24"/>
          <w:szCs w:val="24"/>
        </w:rPr>
        <w:t>Πολιτισμός &amp; Γαστρονομία).</w:t>
      </w:r>
    </w:p>
    <w:p w14:paraId="12F3BFE0" w14:textId="7B5972AA" w:rsidR="00CC1EF0" w:rsidRDefault="00CC1EF0" w:rsidP="00CC1EF0">
      <w:pPr>
        <w:jc w:val="center"/>
        <w:rPr>
          <w:rFonts w:ascii="Arial Narrow" w:hAnsi="Arial Narrow" w:cs="Times New Roman"/>
          <w:b/>
          <w:color w:val="1F497D" w:themeColor="text2"/>
          <w:sz w:val="28"/>
          <w:szCs w:val="28"/>
        </w:rPr>
      </w:pPr>
      <w:r w:rsidRPr="00CC1EF0">
        <w:rPr>
          <w:rFonts w:ascii="Arial Narrow" w:hAnsi="Arial Narrow" w:cs="Times New Roman"/>
          <w:b/>
          <w:color w:val="1F497D" w:themeColor="text2"/>
          <w:sz w:val="28"/>
          <w:szCs w:val="28"/>
        </w:rPr>
        <w:t>5.8. ΠΡΟΤΑΣΕΙΣ ΠΟΛΙΤΙΚΗΣ ΓΙΑ ΤΗΝ ΕΝΙΣΧΥΣΗ ΤΗΣ ΕΛΛΗΝΙΚΗΣ ΠΑΡΟΥΣΙΑΣ ΣΤΗΝ ΑΓΟΡΑ ΤΩΝ ΗΑΕ</w:t>
      </w:r>
    </w:p>
    <w:p w14:paraId="3190E95B" w14:textId="0A5EEAF8" w:rsidR="00CC1EF0" w:rsidRDefault="00CC1EF0" w:rsidP="00CC1EF0">
      <w:pPr>
        <w:rPr>
          <w:rFonts w:ascii="Arial Narrow" w:hAnsi="Arial Narrow" w:cs="Times New Roman"/>
          <w:sz w:val="24"/>
          <w:szCs w:val="24"/>
        </w:rPr>
      </w:pPr>
      <w:r>
        <w:rPr>
          <w:rFonts w:ascii="Arial Narrow" w:hAnsi="Arial Narrow" w:cs="Times New Roman"/>
          <w:sz w:val="24"/>
          <w:szCs w:val="24"/>
        </w:rPr>
        <w:t>1.Εκπόνηση τριετούς στρατηγικού σχεδίου προώθησης της Ελλάδας ειδικά για την αγορά των ΗΑΕ</w:t>
      </w:r>
    </w:p>
    <w:p w14:paraId="7668EDF4" w14:textId="418551B9" w:rsidR="00CC1EF0" w:rsidRDefault="00CC1EF0" w:rsidP="00CC1EF0">
      <w:pPr>
        <w:rPr>
          <w:rFonts w:ascii="Arial Narrow" w:hAnsi="Arial Narrow" w:cs="Times New Roman"/>
          <w:sz w:val="24"/>
          <w:szCs w:val="24"/>
        </w:rPr>
      </w:pPr>
      <w:r>
        <w:rPr>
          <w:rFonts w:ascii="Arial Narrow" w:hAnsi="Arial Narrow" w:cs="Times New Roman"/>
          <w:sz w:val="24"/>
          <w:szCs w:val="24"/>
        </w:rPr>
        <w:t xml:space="preserve">2.Ενίσχυση </w:t>
      </w:r>
      <w:r w:rsidR="00E41C9E">
        <w:rPr>
          <w:rFonts w:ascii="Arial Narrow" w:hAnsi="Arial Narrow" w:cs="Times New Roman"/>
          <w:sz w:val="24"/>
          <w:szCs w:val="24"/>
        </w:rPr>
        <w:t xml:space="preserve">της συνδιαφήμισης με </w:t>
      </w:r>
      <w:r w:rsidR="00E41C9E">
        <w:rPr>
          <w:rFonts w:ascii="Arial Narrow" w:hAnsi="Arial Narrow" w:cs="Times New Roman"/>
          <w:sz w:val="24"/>
          <w:szCs w:val="24"/>
          <w:lang w:val="en-US"/>
        </w:rPr>
        <w:t>EMIRATES</w:t>
      </w:r>
      <w:r w:rsidR="00E41C9E" w:rsidRPr="00E41C9E">
        <w:rPr>
          <w:rFonts w:ascii="Arial Narrow" w:hAnsi="Arial Narrow" w:cs="Times New Roman"/>
          <w:sz w:val="24"/>
          <w:szCs w:val="24"/>
        </w:rPr>
        <w:t xml:space="preserve"> &amp; </w:t>
      </w:r>
      <w:r w:rsidR="00E41C9E">
        <w:rPr>
          <w:rFonts w:ascii="Arial Narrow" w:hAnsi="Arial Narrow" w:cs="Times New Roman"/>
          <w:sz w:val="24"/>
          <w:szCs w:val="24"/>
          <w:lang w:val="en-US"/>
        </w:rPr>
        <w:t>AEGEAN</w:t>
      </w:r>
      <w:r w:rsidR="00E41C9E" w:rsidRPr="00E41C9E">
        <w:rPr>
          <w:rFonts w:ascii="Arial Narrow" w:hAnsi="Arial Narrow" w:cs="Times New Roman"/>
          <w:sz w:val="24"/>
          <w:szCs w:val="24"/>
        </w:rPr>
        <w:t xml:space="preserve"> </w:t>
      </w:r>
      <w:r w:rsidR="00E41C9E">
        <w:rPr>
          <w:rFonts w:ascii="Arial Narrow" w:hAnsi="Arial Narrow" w:cs="Times New Roman"/>
          <w:sz w:val="24"/>
          <w:szCs w:val="24"/>
          <w:lang w:val="en-US"/>
        </w:rPr>
        <w:t>AIRLINES</w:t>
      </w:r>
      <w:r w:rsidR="00E41C9E">
        <w:rPr>
          <w:rFonts w:ascii="Arial Narrow" w:hAnsi="Arial Narrow" w:cs="Times New Roman"/>
          <w:sz w:val="24"/>
          <w:szCs w:val="24"/>
        </w:rPr>
        <w:t xml:space="preserve"> για προβολή προορισμών όλο το χρόνο.</w:t>
      </w:r>
    </w:p>
    <w:p w14:paraId="329CF46F" w14:textId="6AF712C7" w:rsidR="00E41C9E" w:rsidRDefault="00E41C9E" w:rsidP="00CC1EF0">
      <w:pPr>
        <w:rPr>
          <w:rFonts w:ascii="Arial Narrow" w:hAnsi="Arial Narrow" w:cs="Times New Roman"/>
          <w:sz w:val="24"/>
          <w:szCs w:val="24"/>
        </w:rPr>
      </w:pPr>
      <w:r>
        <w:rPr>
          <w:rFonts w:ascii="Arial Narrow" w:hAnsi="Arial Narrow" w:cs="Times New Roman"/>
          <w:sz w:val="24"/>
          <w:szCs w:val="24"/>
        </w:rPr>
        <w:t>3.Ανάπτυξη τουριστικών προβολών και ελκυστικών προορισμών στα αραβικά και στα αγγλικά μέσω ψηφιακών μέσων και κοινωνικών δικτύων.</w:t>
      </w:r>
    </w:p>
    <w:p w14:paraId="23984DBD" w14:textId="581AF1AC" w:rsidR="00E41C9E" w:rsidRDefault="00E41C9E" w:rsidP="00F34B84">
      <w:pPr>
        <w:jc w:val="both"/>
        <w:rPr>
          <w:rFonts w:ascii="Arial Narrow" w:hAnsi="Arial Narrow" w:cs="Times New Roman"/>
          <w:sz w:val="24"/>
          <w:szCs w:val="24"/>
        </w:rPr>
      </w:pPr>
      <w:r>
        <w:rPr>
          <w:rFonts w:ascii="Arial Narrow" w:hAnsi="Arial Narrow" w:cs="Times New Roman"/>
          <w:sz w:val="24"/>
          <w:szCs w:val="24"/>
        </w:rPr>
        <w:t>4.</w:t>
      </w:r>
      <w:r w:rsidR="00380CAA">
        <w:rPr>
          <w:rFonts w:ascii="Arial Narrow" w:hAnsi="Arial Narrow" w:cs="Times New Roman"/>
          <w:sz w:val="24"/>
          <w:szCs w:val="24"/>
        </w:rPr>
        <w:t xml:space="preserve">Διοργάνωση ετήσιων </w:t>
      </w:r>
      <w:r w:rsidR="00F34B84">
        <w:rPr>
          <w:rFonts w:ascii="Arial Narrow" w:hAnsi="Arial Narrow" w:cs="Times New Roman"/>
          <w:sz w:val="24"/>
          <w:szCs w:val="24"/>
          <w:lang w:val="en-US"/>
        </w:rPr>
        <w:t>Roadshows</w:t>
      </w:r>
      <w:r w:rsidR="00F34B84" w:rsidRPr="00F34B84">
        <w:rPr>
          <w:rFonts w:ascii="Arial Narrow" w:hAnsi="Arial Narrow" w:cs="Times New Roman"/>
          <w:sz w:val="24"/>
          <w:szCs w:val="24"/>
        </w:rPr>
        <w:t xml:space="preserve"> </w:t>
      </w:r>
      <w:r w:rsidR="00F34B84">
        <w:rPr>
          <w:rFonts w:ascii="Arial Narrow" w:hAnsi="Arial Narrow" w:cs="Times New Roman"/>
          <w:sz w:val="24"/>
          <w:szCs w:val="24"/>
        </w:rPr>
        <w:t>σε Ντουμπάϊ και Αμπου – Ντάμπι με συμμετοχή διαφόρων Περιφερειών της Ελλάδος, ξενοδοχείων και τουριστικών επιχειρήσεων.</w:t>
      </w:r>
    </w:p>
    <w:p w14:paraId="1CB64AD9" w14:textId="5AC51502" w:rsidR="00F34B84" w:rsidRDefault="00F34B84" w:rsidP="00F34B84">
      <w:pPr>
        <w:jc w:val="both"/>
        <w:rPr>
          <w:rFonts w:ascii="Arial Narrow" w:hAnsi="Arial Narrow" w:cs="Times New Roman"/>
          <w:sz w:val="24"/>
          <w:szCs w:val="24"/>
          <w:lang w:val="en-US"/>
        </w:rPr>
      </w:pPr>
      <w:r w:rsidRPr="00F34B84">
        <w:rPr>
          <w:rFonts w:ascii="Arial Narrow" w:hAnsi="Arial Narrow" w:cs="Times New Roman"/>
          <w:sz w:val="24"/>
          <w:szCs w:val="24"/>
          <w:lang w:val="en-AE"/>
        </w:rPr>
        <w:t>5.</w:t>
      </w:r>
      <w:r>
        <w:rPr>
          <w:rFonts w:ascii="Arial Narrow" w:hAnsi="Arial Narrow" w:cs="Times New Roman"/>
          <w:sz w:val="24"/>
          <w:szCs w:val="24"/>
        </w:rPr>
        <w:t>Προσέλκυση</w:t>
      </w:r>
      <w:r w:rsidRPr="00F34B84">
        <w:rPr>
          <w:rFonts w:ascii="Arial Narrow" w:hAnsi="Arial Narrow" w:cs="Times New Roman"/>
          <w:sz w:val="24"/>
          <w:szCs w:val="24"/>
          <w:lang w:val="en-AE"/>
        </w:rPr>
        <w:t xml:space="preserve"> </w:t>
      </w:r>
      <w:r>
        <w:rPr>
          <w:rFonts w:ascii="Arial Narrow" w:hAnsi="Arial Narrow" w:cs="Times New Roman"/>
          <w:sz w:val="24"/>
          <w:szCs w:val="24"/>
          <w:lang w:val="en-US"/>
        </w:rPr>
        <w:t xml:space="preserve">luxury travel advisors, tour operators &amp; influencers </w:t>
      </w:r>
      <w:r>
        <w:rPr>
          <w:rFonts w:ascii="Arial Narrow" w:hAnsi="Arial Narrow" w:cs="Times New Roman"/>
          <w:sz w:val="24"/>
          <w:szCs w:val="24"/>
        </w:rPr>
        <w:t>από</w:t>
      </w:r>
      <w:r w:rsidRPr="00F34B84">
        <w:rPr>
          <w:rFonts w:ascii="Arial Narrow" w:hAnsi="Arial Narrow" w:cs="Times New Roman"/>
          <w:sz w:val="24"/>
          <w:szCs w:val="24"/>
          <w:lang w:val="en-AE"/>
        </w:rPr>
        <w:t xml:space="preserve"> </w:t>
      </w:r>
      <w:r>
        <w:rPr>
          <w:rFonts w:ascii="Arial Narrow" w:hAnsi="Arial Narrow" w:cs="Times New Roman"/>
          <w:sz w:val="24"/>
          <w:szCs w:val="24"/>
        </w:rPr>
        <w:t>τα</w:t>
      </w:r>
      <w:r w:rsidRPr="00F34B84">
        <w:rPr>
          <w:rFonts w:ascii="Arial Narrow" w:hAnsi="Arial Narrow" w:cs="Times New Roman"/>
          <w:sz w:val="24"/>
          <w:szCs w:val="24"/>
          <w:lang w:val="en-AE"/>
        </w:rPr>
        <w:t xml:space="preserve"> </w:t>
      </w:r>
      <w:r>
        <w:rPr>
          <w:rFonts w:ascii="Arial Narrow" w:hAnsi="Arial Narrow" w:cs="Times New Roman"/>
          <w:sz w:val="24"/>
          <w:szCs w:val="24"/>
        </w:rPr>
        <w:t>ΗΑΕ</w:t>
      </w:r>
      <w:r w:rsidRPr="00F34B84">
        <w:rPr>
          <w:rFonts w:ascii="Arial Narrow" w:hAnsi="Arial Narrow" w:cs="Times New Roman"/>
          <w:sz w:val="24"/>
          <w:szCs w:val="24"/>
          <w:lang w:val="en-AE"/>
        </w:rPr>
        <w:t xml:space="preserve"> </w:t>
      </w:r>
      <w:r>
        <w:rPr>
          <w:rFonts w:ascii="Arial Narrow" w:hAnsi="Arial Narrow" w:cs="Times New Roman"/>
          <w:sz w:val="24"/>
          <w:szCs w:val="24"/>
        </w:rPr>
        <w:t>μέσω</w:t>
      </w:r>
      <w:r w:rsidRPr="00F34B84">
        <w:rPr>
          <w:rFonts w:ascii="Arial Narrow" w:hAnsi="Arial Narrow" w:cs="Times New Roman"/>
          <w:sz w:val="24"/>
          <w:szCs w:val="24"/>
          <w:lang w:val="en-AE"/>
        </w:rPr>
        <w:t xml:space="preserve"> </w:t>
      </w:r>
      <w:r>
        <w:rPr>
          <w:rFonts w:ascii="Arial Narrow" w:hAnsi="Arial Narrow" w:cs="Times New Roman"/>
          <w:sz w:val="24"/>
          <w:szCs w:val="24"/>
        </w:rPr>
        <w:t>ταξιδιών</w:t>
      </w:r>
      <w:r w:rsidRPr="00F34B84">
        <w:rPr>
          <w:rFonts w:ascii="Arial Narrow" w:hAnsi="Arial Narrow" w:cs="Times New Roman"/>
          <w:sz w:val="24"/>
          <w:szCs w:val="24"/>
          <w:lang w:val="en-AE"/>
        </w:rPr>
        <w:t xml:space="preserve"> </w:t>
      </w:r>
      <w:r>
        <w:rPr>
          <w:rFonts w:ascii="Arial Narrow" w:hAnsi="Arial Narrow" w:cs="Times New Roman"/>
          <w:sz w:val="24"/>
          <w:szCs w:val="24"/>
        </w:rPr>
        <w:t>εξοικίωσης</w:t>
      </w:r>
      <w:r w:rsidRPr="00F34B84">
        <w:rPr>
          <w:rFonts w:ascii="Arial Narrow" w:hAnsi="Arial Narrow" w:cs="Times New Roman"/>
          <w:sz w:val="24"/>
          <w:szCs w:val="24"/>
          <w:lang w:val="en-AE"/>
        </w:rPr>
        <w:t xml:space="preserve"> (</w:t>
      </w:r>
      <w:r>
        <w:rPr>
          <w:rFonts w:ascii="Arial Narrow" w:hAnsi="Arial Narrow" w:cs="Times New Roman"/>
          <w:sz w:val="24"/>
          <w:szCs w:val="24"/>
          <w:lang w:val="en-US"/>
        </w:rPr>
        <w:t>FAM trips).</w:t>
      </w:r>
    </w:p>
    <w:p w14:paraId="55C3DE58" w14:textId="1B5A83F8" w:rsidR="00F34B84" w:rsidRDefault="00F34B84" w:rsidP="00F34B84">
      <w:pPr>
        <w:jc w:val="both"/>
        <w:rPr>
          <w:rFonts w:ascii="Arial Narrow" w:hAnsi="Arial Narrow" w:cs="Times New Roman"/>
          <w:sz w:val="24"/>
          <w:szCs w:val="24"/>
        </w:rPr>
      </w:pPr>
      <w:r w:rsidRPr="00260110">
        <w:rPr>
          <w:rFonts w:ascii="Arial Narrow" w:hAnsi="Arial Narrow" w:cs="Times New Roman"/>
          <w:sz w:val="24"/>
          <w:szCs w:val="24"/>
        </w:rPr>
        <w:t>6.</w:t>
      </w:r>
      <w:r w:rsidR="00260110">
        <w:rPr>
          <w:rFonts w:ascii="Arial Narrow" w:hAnsi="Arial Narrow" w:cs="Times New Roman"/>
          <w:sz w:val="24"/>
          <w:szCs w:val="24"/>
        </w:rPr>
        <w:t>Ανάπτυξη ειδικών προϊόντων για υψηλού εισοδήματος επισκέπτες (</w:t>
      </w:r>
      <w:r w:rsidR="00260110">
        <w:rPr>
          <w:rFonts w:ascii="Arial Narrow" w:hAnsi="Arial Narrow" w:cs="Times New Roman"/>
          <w:sz w:val="24"/>
          <w:szCs w:val="24"/>
          <w:lang w:val="en-US"/>
        </w:rPr>
        <w:t>yachting</w:t>
      </w:r>
      <w:r w:rsidR="00260110" w:rsidRPr="00260110">
        <w:rPr>
          <w:rFonts w:ascii="Arial Narrow" w:hAnsi="Arial Narrow" w:cs="Times New Roman"/>
          <w:sz w:val="24"/>
          <w:szCs w:val="24"/>
        </w:rPr>
        <w:t xml:space="preserve">, </w:t>
      </w:r>
      <w:r w:rsidR="00260110">
        <w:rPr>
          <w:rFonts w:ascii="Arial Narrow" w:hAnsi="Arial Narrow" w:cs="Times New Roman"/>
          <w:sz w:val="24"/>
          <w:szCs w:val="24"/>
        </w:rPr>
        <w:t xml:space="preserve">γαστρονομία, ιδιωτικές βίλες, </w:t>
      </w:r>
      <w:r w:rsidR="00260110">
        <w:rPr>
          <w:rFonts w:ascii="Arial Narrow" w:hAnsi="Arial Narrow" w:cs="Times New Roman"/>
          <w:sz w:val="24"/>
          <w:szCs w:val="24"/>
          <w:lang w:val="en-US"/>
        </w:rPr>
        <w:t>golf</w:t>
      </w:r>
      <w:r w:rsidR="00260110" w:rsidRPr="00260110">
        <w:rPr>
          <w:rFonts w:ascii="Arial Narrow" w:hAnsi="Arial Narrow" w:cs="Times New Roman"/>
          <w:sz w:val="24"/>
          <w:szCs w:val="24"/>
        </w:rPr>
        <w:t xml:space="preserve">, </w:t>
      </w:r>
      <w:r w:rsidR="00260110">
        <w:rPr>
          <w:rFonts w:ascii="Arial Narrow" w:hAnsi="Arial Narrow" w:cs="Times New Roman"/>
          <w:sz w:val="24"/>
          <w:szCs w:val="24"/>
          <w:lang w:val="en-US"/>
        </w:rPr>
        <w:t>wellness</w:t>
      </w:r>
      <w:r w:rsidR="00260110" w:rsidRPr="00260110">
        <w:rPr>
          <w:rFonts w:ascii="Arial Narrow" w:hAnsi="Arial Narrow" w:cs="Times New Roman"/>
          <w:sz w:val="24"/>
          <w:szCs w:val="24"/>
        </w:rPr>
        <w:t xml:space="preserve">, </w:t>
      </w:r>
      <w:r w:rsidR="00250791">
        <w:rPr>
          <w:rFonts w:ascii="Arial Narrow" w:hAnsi="Arial Narrow" w:cs="Times New Roman"/>
          <w:sz w:val="24"/>
          <w:szCs w:val="24"/>
        </w:rPr>
        <w:t>πολιτιστικές εμπειρίες).</w:t>
      </w:r>
    </w:p>
    <w:p w14:paraId="7A859037" w14:textId="0F113C36" w:rsidR="00250791" w:rsidRDefault="00250791" w:rsidP="00F34B84">
      <w:pPr>
        <w:jc w:val="both"/>
        <w:rPr>
          <w:rFonts w:ascii="Arial Narrow" w:hAnsi="Arial Narrow" w:cs="Times New Roman"/>
          <w:sz w:val="24"/>
          <w:szCs w:val="24"/>
        </w:rPr>
      </w:pPr>
      <w:r>
        <w:rPr>
          <w:rFonts w:ascii="Arial Narrow" w:hAnsi="Arial Narrow" w:cs="Times New Roman"/>
          <w:sz w:val="24"/>
          <w:szCs w:val="24"/>
        </w:rPr>
        <w:t>7.Προώθηση χειμερινού τουρισμού (Αθήνα, Θεσσαλονίκη και άλλοι ορεινοί προορισμοί) ώστε να μειωθεί η εποχικότητα.</w:t>
      </w:r>
    </w:p>
    <w:p w14:paraId="233F9ED0" w14:textId="60BFFA48" w:rsidR="00250791" w:rsidRDefault="00250791" w:rsidP="00F34B84">
      <w:pPr>
        <w:jc w:val="both"/>
        <w:rPr>
          <w:rFonts w:ascii="Arial Narrow" w:hAnsi="Arial Narrow" w:cs="Times New Roman"/>
          <w:sz w:val="24"/>
          <w:szCs w:val="24"/>
        </w:rPr>
      </w:pPr>
      <w:r>
        <w:rPr>
          <w:rFonts w:ascii="Arial Narrow" w:hAnsi="Arial Narrow" w:cs="Times New Roman"/>
          <w:sz w:val="24"/>
          <w:szCs w:val="24"/>
        </w:rPr>
        <w:t>8.Ενίσχυση του συνεδριακού, επιχειρηματικού και ιατρικού τουρισμού (</w:t>
      </w:r>
      <w:r>
        <w:rPr>
          <w:rFonts w:ascii="Arial Narrow" w:hAnsi="Arial Narrow" w:cs="Times New Roman"/>
          <w:sz w:val="24"/>
          <w:szCs w:val="24"/>
          <w:lang w:val="en-US"/>
        </w:rPr>
        <w:t>MICE</w:t>
      </w:r>
      <w:r w:rsidRPr="00250791">
        <w:rPr>
          <w:rFonts w:ascii="Arial Narrow" w:hAnsi="Arial Narrow" w:cs="Times New Roman"/>
          <w:sz w:val="24"/>
          <w:szCs w:val="24"/>
        </w:rPr>
        <w:t>)</w:t>
      </w:r>
    </w:p>
    <w:p w14:paraId="3FF187FA" w14:textId="0D0CE0A7" w:rsidR="00250791" w:rsidRDefault="00250791" w:rsidP="00F34B84">
      <w:pPr>
        <w:jc w:val="both"/>
        <w:rPr>
          <w:rFonts w:ascii="Arial Narrow" w:hAnsi="Arial Narrow" w:cs="Times New Roman"/>
          <w:sz w:val="24"/>
          <w:szCs w:val="24"/>
        </w:rPr>
      </w:pPr>
      <w:r w:rsidRPr="00250791">
        <w:rPr>
          <w:rFonts w:ascii="Arial Narrow" w:hAnsi="Arial Narrow" w:cs="Times New Roman"/>
          <w:sz w:val="24"/>
          <w:szCs w:val="24"/>
        </w:rPr>
        <w:t>9.</w:t>
      </w:r>
      <w:r>
        <w:rPr>
          <w:rFonts w:ascii="Arial Narrow" w:hAnsi="Arial Narrow" w:cs="Times New Roman"/>
          <w:sz w:val="24"/>
          <w:szCs w:val="24"/>
        </w:rPr>
        <w:t xml:space="preserve">Διεύρυνση συνεργασιών με πολυτελή ταξιδιωτικά γραφεία και </w:t>
      </w:r>
      <w:r>
        <w:rPr>
          <w:rFonts w:ascii="Arial Narrow" w:hAnsi="Arial Narrow" w:cs="Times New Roman"/>
          <w:sz w:val="24"/>
          <w:szCs w:val="24"/>
          <w:lang w:val="en-US"/>
        </w:rPr>
        <w:t>online</w:t>
      </w:r>
      <w:r w:rsidR="00ED1CBC">
        <w:rPr>
          <w:rFonts w:ascii="Arial Narrow" w:hAnsi="Arial Narrow" w:cs="Times New Roman"/>
          <w:sz w:val="24"/>
          <w:szCs w:val="24"/>
        </w:rPr>
        <w:t xml:space="preserve"> πλατφόρμες των ΗΑΕ</w:t>
      </w:r>
    </w:p>
    <w:p w14:paraId="421328D4" w14:textId="3D24D309" w:rsidR="00ED1CBC" w:rsidRDefault="00ED1CBC" w:rsidP="00F34B84">
      <w:pPr>
        <w:jc w:val="both"/>
        <w:rPr>
          <w:rFonts w:ascii="Arial Narrow" w:hAnsi="Arial Narrow" w:cs="Times New Roman"/>
          <w:sz w:val="24"/>
          <w:szCs w:val="24"/>
        </w:rPr>
      </w:pPr>
      <w:r>
        <w:rPr>
          <w:rFonts w:ascii="Arial Narrow" w:hAnsi="Arial Narrow" w:cs="Times New Roman"/>
          <w:sz w:val="24"/>
          <w:szCs w:val="24"/>
        </w:rPr>
        <w:t xml:space="preserve">10.Συστηματική συλλογή και δημοσίευση αναλυτικών στατιστοικών στοιχείων για την αγορά των ΗΑΕ, ώστε να υποστηρίζεται ο σχεδιασμός πολιτικής με αξιόπιστα δεδομένα. </w:t>
      </w:r>
    </w:p>
    <w:p w14:paraId="7A1265B9" w14:textId="11170243" w:rsidR="001D6F88" w:rsidRDefault="00ED1CBC" w:rsidP="00F561BD">
      <w:pPr>
        <w:jc w:val="both"/>
        <w:rPr>
          <w:rFonts w:ascii="Arial Narrow" w:hAnsi="Arial Narrow" w:cs="Times New Roman"/>
          <w:sz w:val="24"/>
          <w:szCs w:val="24"/>
        </w:rPr>
      </w:pPr>
      <w:r>
        <w:rPr>
          <w:rFonts w:ascii="Arial Narrow" w:hAnsi="Arial Narrow" w:cs="Times New Roman"/>
          <w:sz w:val="24"/>
          <w:szCs w:val="24"/>
        </w:rPr>
        <w:t xml:space="preserve">Συνολικά, η Ελλάδα κατέγραψε σημαντική άνοδο στο κλάδο του τουρισμού το 2024 και το 2025, με τις συνολικές ταξιδιωτικές εισπράξεις να ανέρχονται σε 21,6 δις € για το 2024 και 23,6 δις € για το 2025, ενώ οι συνολικές εισερχόμενες αφίξεις αυξήθηκαν από 40,7 εκατ. το 2024 σε </w:t>
      </w:r>
      <w:r w:rsidR="000A50E6">
        <w:rPr>
          <w:rFonts w:ascii="Arial Narrow" w:hAnsi="Arial Narrow" w:cs="Times New Roman"/>
          <w:sz w:val="24"/>
          <w:szCs w:val="24"/>
        </w:rPr>
        <w:t xml:space="preserve">43,3 εκατ. το 2025. Η αγορά των ΗΑΕ παραμένει μιρκή σε όγκο αλλά ιδιαίτερα σημαντική λόγω της υψηλής κατά κεφαλή δαπάνης και των προοπτικών περαιτέρω ανάπτυξης. </w:t>
      </w:r>
    </w:p>
    <w:p w14:paraId="2ED561B8" w14:textId="0931734A" w:rsidR="001D6F88" w:rsidRDefault="00F561BD" w:rsidP="00F561BD">
      <w:pPr>
        <w:jc w:val="center"/>
        <w:rPr>
          <w:rFonts w:ascii="Arial Narrow" w:hAnsi="Arial Narrow" w:cs="Times New Roman"/>
          <w:b/>
          <w:color w:val="1F497D" w:themeColor="text2"/>
          <w:sz w:val="28"/>
          <w:szCs w:val="28"/>
        </w:rPr>
      </w:pPr>
      <w:r w:rsidRPr="00F561BD">
        <w:rPr>
          <w:rFonts w:ascii="Arial Narrow" w:hAnsi="Arial Narrow" w:cs="Times New Roman"/>
          <w:b/>
          <w:color w:val="1F497D" w:themeColor="text2"/>
          <w:sz w:val="28"/>
          <w:szCs w:val="28"/>
        </w:rPr>
        <w:t>6. ΕΛΛΗΝΙΚΕΣ ΕΠΕΝΔΥΣΕΙΣ ΣΤΑ ΗΝΩΜΕΝΑ ΑΡΑΒΙΚΑ ΕΜΙΡΑΤΑ</w:t>
      </w:r>
    </w:p>
    <w:p w14:paraId="177EB15F" w14:textId="7DD27892" w:rsidR="00F561BD" w:rsidRDefault="00F561BD" w:rsidP="00F561BD">
      <w:pPr>
        <w:rPr>
          <w:rFonts w:ascii="Arial Narrow" w:hAnsi="Arial Narrow" w:cs="Times New Roman"/>
          <w:b/>
          <w:color w:val="1F497D" w:themeColor="text2"/>
          <w:sz w:val="24"/>
          <w:szCs w:val="24"/>
        </w:rPr>
      </w:pPr>
      <w:r w:rsidRPr="00F561BD">
        <w:rPr>
          <w:rFonts w:ascii="Arial Narrow" w:hAnsi="Arial Narrow" w:cs="Times New Roman"/>
          <w:b/>
          <w:color w:val="1F497D" w:themeColor="text2"/>
          <w:sz w:val="24"/>
          <w:szCs w:val="24"/>
        </w:rPr>
        <w:t>6.1.</w:t>
      </w:r>
      <w:r>
        <w:rPr>
          <w:rFonts w:ascii="Arial Narrow" w:hAnsi="Arial Narrow" w:cs="Times New Roman"/>
          <w:b/>
          <w:color w:val="1F497D" w:themeColor="text2"/>
          <w:sz w:val="24"/>
          <w:szCs w:val="24"/>
        </w:rPr>
        <w:t xml:space="preserve"> Γενική Επισκόπηση</w:t>
      </w:r>
    </w:p>
    <w:p w14:paraId="0E6866D0" w14:textId="02F69A86" w:rsidR="00F561BD" w:rsidRDefault="00F561BD" w:rsidP="00F561BD">
      <w:pPr>
        <w:jc w:val="both"/>
        <w:rPr>
          <w:rFonts w:ascii="Arial Narrow" w:hAnsi="Arial Narrow" w:cs="Times New Roman"/>
          <w:sz w:val="24"/>
          <w:szCs w:val="24"/>
        </w:rPr>
      </w:pPr>
      <w:r>
        <w:rPr>
          <w:rFonts w:ascii="Arial Narrow" w:hAnsi="Arial Narrow" w:cs="Times New Roman"/>
          <w:sz w:val="24"/>
          <w:szCs w:val="24"/>
        </w:rPr>
        <w:t>Σε αντίθεση με τις επενδύσεις των ΗΑΕ στην Ελλάδα, οι οποίες παρουσιάζουν σημαντικό μέγεθος και καταγράφονται συστηματικά από τη Τράπεζα της Ελλάδος, οι ελληνικές επενδύσεις στα ΗΑΕ είναι σαφώς μικρότερες σε όγκο και πραγματοποιούνται κυρίως μέσω ιδιωτικών επιχειρηματικών πρωτοβουλιών</w:t>
      </w:r>
      <w:r w:rsidR="00082918">
        <w:rPr>
          <w:rFonts w:ascii="Arial Narrow" w:hAnsi="Arial Narrow" w:cs="Times New Roman"/>
          <w:sz w:val="24"/>
          <w:szCs w:val="24"/>
        </w:rPr>
        <w:t>. Η ελληνική επιχειρηματική παρουσία στα ΗΑΕ έχει ενισχυθεί σημαντικά τη τελευταία δεκαετία, ιδιαίτερα στα Εμιράτα του Ντουμπάϊ και του Αμπου-Ντάμπι, όπου δραστηριοποιείται ένας σημαντικός αριθμός ελληνικών επιχειρήσεων σε τομείς, όπως κατασκευές και τεχνικά έργα, ναυτιλιακές υπηρεσίες, ενέργεια και ΑΠΕ, τεχνολογίας και ψηφιακών υπηρεσιών, τροφίμων και ποτών, φαρμακευτικών προϊόντων, τουρισμού και φιλοξενίας,συμβουλευτικών και χρηματοοικονομικών υπηρεσιών.</w:t>
      </w:r>
    </w:p>
    <w:p w14:paraId="596EB1EB" w14:textId="44637B11" w:rsidR="00082918" w:rsidRDefault="00082918" w:rsidP="00082918">
      <w:pPr>
        <w:jc w:val="center"/>
        <w:rPr>
          <w:rFonts w:ascii="Arial Narrow" w:hAnsi="Arial Narrow" w:cs="Times New Roman"/>
          <w:b/>
          <w:color w:val="1F497D" w:themeColor="text2"/>
          <w:sz w:val="28"/>
          <w:szCs w:val="28"/>
        </w:rPr>
      </w:pPr>
      <w:r w:rsidRPr="00082918">
        <w:rPr>
          <w:rFonts w:ascii="Arial Narrow" w:hAnsi="Arial Narrow" w:cs="Times New Roman"/>
          <w:b/>
          <w:color w:val="1F497D" w:themeColor="text2"/>
          <w:sz w:val="28"/>
          <w:szCs w:val="28"/>
        </w:rPr>
        <w:t>6.2. Εκτιμώμενο Απόθεμα Ελληνικών Επενδύσεων στα ΗΑΕ</w:t>
      </w:r>
    </w:p>
    <w:p w14:paraId="377514F1" w14:textId="04FFB2F7" w:rsidR="00082918" w:rsidRDefault="00082918" w:rsidP="00082918">
      <w:pPr>
        <w:jc w:val="both"/>
        <w:rPr>
          <w:rFonts w:ascii="Arial Narrow" w:hAnsi="Arial Narrow" w:cs="Times New Roman"/>
          <w:sz w:val="24"/>
          <w:szCs w:val="24"/>
        </w:rPr>
      </w:pPr>
      <w:r w:rsidRPr="00082918">
        <w:rPr>
          <w:rFonts w:ascii="Arial Narrow" w:hAnsi="Arial Narrow" w:cs="Times New Roman"/>
          <w:sz w:val="24"/>
          <w:szCs w:val="24"/>
        </w:rPr>
        <w:t>Δεν υπάρχουν</w:t>
      </w:r>
      <w:r>
        <w:rPr>
          <w:rFonts w:ascii="Arial Narrow" w:hAnsi="Arial Narrow" w:cs="Times New Roman"/>
          <w:sz w:val="24"/>
          <w:szCs w:val="24"/>
        </w:rPr>
        <w:t xml:space="preserve"> δημοσιευμένα επίσημα στοιχεία από τη Τράπεζα της Ελλάδος ή τη Κεντρική Τράπεζα των ΗΑΕ  που να αποτυπώνουν πλήρως το απόθεμα ελληνικών ΑΞΕ στα ΗΑΕ. Με βάση στοιχεία επιχειρηματικών φορέων, Επιμελητηρίων και διμερών Οργανισμών εκτιμάται ότι:</w:t>
      </w:r>
    </w:p>
    <w:tbl>
      <w:tblPr>
        <w:tblStyle w:val="TableGrid"/>
        <w:tblW w:w="0" w:type="auto"/>
        <w:tblLook w:val="04A0" w:firstRow="1" w:lastRow="0" w:firstColumn="1" w:lastColumn="0" w:noHBand="0" w:noVBand="1"/>
      </w:tblPr>
      <w:tblGrid>
        <w:gridCol w:w="4885"/>
        <w:gridCol w:w="4886"/>
      </w:tblGrid>
      <w:tr w:rsidR="00082918" w:rsidRPr="002A5419" w14:paraId="45BFA3A3" w14:textId="77777777" w:rsidTr="00082918">
        <w:tc>
          <w:tcPr>
            <w:tcW w:w="4885" w:type="dxa"/>
          </w:tcPr>
          <w:p w14:paraId="27E7BCEA" w14:textId="11853C05" w:rsidR="00082918" w:rsidRPr="002A5419" w:rsidRDefault="00082918" w:rsidP="00082918">
            <w:pPr>
              <w:jc w:val="both"/>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 xml:space="preserve">Δείκτης </w:t>
            </w:r>
          </w:p>
        </w:tc>
        <w:tc>
          <w:tcPr>
            <w:tcW w:w="4886" w:type="dxa"/>
          </w:tcPr>
          <w:p w14:paraId="00472E16" w14:textId="5ECFC1B2" w:rsidR="00082918" w:rsidRPr="002A5419" w:rsidRDefault="00082918" w:rsidP="00082918">
            <w:pPr>
              <w:jc w:val="both"/>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Εκτίμηση 2025</w:t>
            </w:r>
          </w:p>
        </w:tc>
      </w:tr>
      <w:tr w:rsidR="00082918" w:rsidRPr="002A5419" w14:paraId="1BCEDDDC" w14:textId="77777777" w:rsidTr="00082918">
        <w:tc>
          <w:tcPr>
            <w:tcW w:w="4885" w:type="dxa"/>
          </w:tcPr>
          <w:p w14:paraId="63F56D0B" w14:textId="4A24CB07" w:rsidR="00082918" w:rsidRPr="002A5419" w:rsidRDefault="00082918" w:rsidP="00082918">
            <w:pPr>
              <w:jc w:val="both"/>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Ελληνικές Εταιρείες με παρουσία στα ΗΑΕ</w:t>
            </w:r>
          </w:p>
        </w:tc>
        <w:tc>
          <w:tcPr>
            <w:tcW w:w="4886" w:type="dxa"/>
          </w:tcPr>
          <w:p w14:paraId="59653C80" w14:textId="10DF9C82" w:rsidR="00082918" w:rsidRPr="002A5419" w:rsidRDefault="00082918" w:rsidP="00082918">
            <w:pPr>
              <w:jc w:val="both"/>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200+</w:t>
            </w:r>
          </w:p>
        </w:tc>
      </w:tr>
      <w:tr w:rsidR="00082918" w:rsidRPr="002A5419" w14:paraId="31AC230D" w14:textId="77777777" w:rsidTr="00082918">
        <w:tc>
          <w:tcPr>
            <w:tcW w:w="4885" w:type="dxa"/>
          </w:tcPr>
          <w:p w14:paraId="6A21EEDA" w14:textId="4C6F14A2" w:rsidR="00082918" w:rsidRPr="002A5419" w:rsidRDefault="00082918" w:rsidP="00082918">
            <w:pPr>
              <w:jc w:val="both"/>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 xml:space="preserve">Ενεργές Ελληνικές Επενδύσεις </w:t>
            </w:r>
          </w:p>
        </w:tc>
        <w:tc>
          <w:tcPr>
            <w:tcW w:w="4886" w:type="dxa"/>
          </w:tcPr>
          <w:p w14:paraId="32D5084C" w14:textId="5B379516" w:rsidR="00082918" w:rsidRPr="002A5419" w:rsidRDefault="00082918" w:rsidP="00082918">
            <w:pPr>
              <w:jc w:val="both"/>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100+</w:t>
            </w:r>
          </w:p>
        </w:tc>
      </w:tr>
      <w:tr w:rsidR="00082918" w:rsidRPr="002A5419" w14:paraId="240AC85C" w14:textId="77777777" w:rsidTr="00082918">
        <w:tc>
          <w:tcPr>
            <w:tcW w:w="4885" w:type="dxa"/>
          </w:tcPr>
          <w:p w14:paraId="33C98297" w14:textId="491AB83A" w:rsidR="00082918" w:rsidRPr="002A5419" w:rsidRDefault="00082918" w:rsidP="00082918">
            <w:pPr>
              <w:jc w:val="both"/>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 xml:space="preserve">Συνολικό εκτιμώμενο επενδεδυμένο κεφάλαιο </w:t>
            </w:r>
          </w:p>
        </w:tc>
        <w:tc>
          <w:tcPr>
            <w:tcW w:w="4886" w:type="dxa"/>
          </w:tcPr>
          <w:p w14:paraId="54A39EAA" w14:textId="03638B31" w:rsidR="00082918" w:rsidRPr="002A5419" w:rsidRDefault="00082918" w:rsidP="00082918">
            <w:pPr>
              <w:jc w:val="both"/>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400-700 εκατ. €</w:t>
            </w:r>
          </w:p>
        </w:tc>
      </w:tr>
      <w:tr w:rsidR="00082918" w:rsidRPr="002A5419" w14:paraId="1A371B89" w14:textId="77777777" w:rsidTr="00082918">
        <w:tc>
          <w:tcPr>
            <w:tcW w:w="4885" w:type="dxa"/>
          </w:tcPr>
          <w:p w14:paraId="4CB53AC7" w14:textId="4BB3A60C" w:rsidR="00082918" w:rsidRPr="002A5419" w:rsidRDefault="00082918" w:rsidP="00082918">
            <w:pPr>
              <w:jc w:val="both"/>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Έλληνες επαγγελματίες και στελέχη στα ΗΑΕ</w:t>
            </w:r>
          </w:p>
        </w:tc>
        <w:tc>
          <w:tcPr>
            <w:tcW w:w="4886" w:type="dxa"/>
          </w:tcPr>
          <w:p w14:paraId="5F9CB776" w14:textId="4B735C31" w:rsidR="00082918" w:rsidRPr="002A5419" w:rsidRDefault="00082918" w:rsidP="00082918">
            <w:pPr>
              <w:jc w:val="both"/>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&gt;8.000</w:t>
            </w:r>
          </w:p>
        </w:tc>
      </w:tr>
      <w:tr w:rsidR="00082918" w:rsidRPr="002A5419" w14:paraId="7720569D" w14:textId="77777777" w:rsidTr="00082918">
        <w:tc>
          <w:tcPr>
            <w:tcW w:w="4885" w:type="dxa"/>
          </w:tcPr>
          <w:p w14:paraId="4F281F4D" w14:textId="3471677F" w:rsidR="00082918" w:rsidRPr="002A5419" w:rsidRDefault="00082918" w:rsidP="00082918">
            <w:pPr>
              <w:jc w:val="both"/>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Κύρια γεωγραφική συγκέντρωση</w:t>
            </w:r>
          </w:p>
        </w:tc>
        <w:tc>
          <w:tcPr>
            <w:tcW w:w="4886" w:type="dxa"/>
          </w:tcPr>
          <w:p w14:paraId="5145A038" w14:textId="5EC532FD" w:rsidR="00082918" w:rsidRPr="002A5419" w:rsidRDefault="00E86B28" w:rsidP="00082918">
            <w:pPr>
              <w:jc w:val="both"/>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 xml:space="preserve">Ντουμπάϊ &amp; Αμπου – Ντάμπι </w:t>
            </w:r>
          </w:p>
        </w:tc>
      </w:tr>
    </w:tbl>
    <w:p w14:paraId="6081737D" w14:textId="4E41ED39" w:rsidR="00082918" w:rsidRPr="002A5419" w:rsidRDefault="00082918" w:rsidP="00082918">
      <w:pPr>
        <w:jc w:val="both"/>
        <w:rPr>
          <w:rFonts w:ascii="Arial Narrow" w:hAnsi="Arial Narrow" w:cs="Times New Roman"/>
          <w:color w:val="4F81BD" w:themeColor="accent1"/>
          <w:sz w:val="24"/>
          <w:szCs w:val="24"/>
        </w:rPr>
      </w:pPr>
    </w:p>
    <w:p w14:paraId="52369154" w14:textId="3F0CB5A3" w:rsidR="00E86B28" w:rsidRPr="002A5419" w:rsidRDefault="002A5419" w:rsidP="00E86B28">
      <w:pPr>
        <w:jc w:val="center"/>
        <w:rPr>
          <w:rFonts w:ascii="Arial Narrow" w:hAnsi="Arial Narrow" w:cs="Times New Roman"/>
          <w:b/>
          <w:color w:val="4F81BD" w:themeColor="accent1"/>
          <w:sz w:val="28"/>
          <w:szCs w:val="28"/>
        </w:rPr>
      </w:pPr>
      <w:r w:rsidRPr="002A5419">
        <w:rPr>
          <w:rFonts w:ascii="Arial Narrow" w:hAnsi="Arial Narrow" w:cs="Times New Roman"/>
          <w:b/>
          <w:color w:val="4F81BD" w:themeColor="accent1"/>
          <w:sz w:val="28"/>
          <w:szCs w:val="28"/>
        </w:rPr>
        <w:t xml:space="preserve">ΠΙΝΑΚΑΣ </w:t>
      </w:r>
      <w:r w:rsidR="008E0187">
        <w:rPr>
          <w:rFonts w:ascii="Arial Narrow" w:hAnsi="Arial Narrow" w:cs="Times New Roman"/>
          <w:b/>
          <w:color w:val="4F81BD" w:themeColor="accent1"/>
          <w:sz w:val="28"/>
          <w:szCs w:val="28"/>
        </w:rPr>
        <w:t xml:space="preserve">26 </w:t>
      </w:r>
      <w:r w:rsidRPr="002A5419">
        <w:rPr>
          <w:rFonts w:ascii="Arial Narrow" w:hAnsi="Arial Narrow" w:cs="Times New Roman"/>
          <w:b/>
          <w:color w:val="4F81BD" w:themeColor="accent1"/>
          <w:sz w:val="28"/>
          <w:szCs w:val="28"/>
        </w:rPr>
        <w:t xml:space="preserve"> - </w:t>
      </w:r>
      <w:r w:rsidR="00E86B28" w:rsidRPr="002A5419">
        <w:rPr>
          <w:rFonts w:ascii="Arial Narrow" w:hAnsi="Arial Narrow" w:cs="Times New Roman"/>
          <w:b/>
          <w:color w:val="4F81BD" w:themeColor="accent1"/>
          <w:sz w:val="28"/>
          <w:szCs w:val="28"/>
        </w:rPr>
        <w:t>6.3. Τομεακή Κατανομή Ελληνικών Επενδύσεων στα ΗΑΕ</w:t>
      </w:r>
    </w:p>
    <w:tbl>
      <w:tblPr>
        <w:tblStyle w:val="TableGrid"/>
        <w:tblW w:w="0" w:type="auto"/>
        <w:tblLook w:val="04A0" w:firstRow="1" w:lastRow="0" w:firstColumn="1" w:lastColumn="0" w:noHBand="0" w:noVBand="1"/>
      </w:tblPr>
      <w:tblGrid>
        <w:gridCol w:w="4885"/>
        <w:gridCol w:w="4886"/>
      </w:tblGrid>
      <w:tr w:rsidR="00E86B28" w:rsidRPr="002A5419" w14:paraId="2E0AAC3E" w14:textId="77777777" w:rsidTr="00E86B28">
        <w:tc>
          <w:tcPr>
            <w:tcW w:w="4885" w:type="dxa"/>
          </w:tcPr>
          <w:p w14:paraId="5F43F303" w14:textId="6FBFECEE" w:rsidR="00E86B28" w:rsidRPr="002A5419" w:rsidRDefault="00E86B28" w:rsidP="00E86B28">
            <w:pPr>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Τομέας</w:t>
            </w:r>
          </w:p>
        </w:tc>
        <w:tc>
          <w:tcPr>
            <w:tcW w:w="4886" w:type="dxa"/>
          </w:tcPr>
          <w:p w14:paraId="4CCEA131" w14:textId="5E8E43ED" w:rsidR="00E86B28" w:rsidRPr="002A5419" w:rsidRDefault="00E86B28" w:rsidP="00E86B28">
            <w:pPr>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 xml:space="preserve">Εκτιμώμενο Μερίδιο </w:t>
            </w:r>
          </w:p>
        </w:tc>
      </w:tr>
      <w:tr w:rsidR="00E86B28" w:rsidRPr="002A5419" w14:paraId="4C74BE50" w14:textId="77777777" w:rsidTr="00E86B28">
        <w:tc>
          <w:tcPr>
            <w:tcW w:w="4885" w:type="dxa"/>
          </w:tcPr>
          <w:p w14:paraId="6A7E9F63" w14:textId="286C8BB5" w:rsidR="00E86B28" w:rsidRPr="002A5419" w:rsidRDefault="00E86B28" w:rsidP="00E86B28">
            <w:pPr>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 xml:space="preserve">Κατασκευές &amp; Μηχανική </w:t>
            </w:r>
          </w:p>
        </w:tc>
        <w:tc>
          <w:tcPr>
            <w:tcW w:w="4886" w:type="dxa"/>
          </w:tcPr>
          <w:p w14:paraId="16B58324" w14:textId="0DD8972F" w:rsidR="00E86B28" w:rsidRPr="002A5419" w:rsidRDefault="00E86B28" w:rsidP="00E86B28">
            <w:pPr>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25%</w:t>
            </w:r>
          </w:p>
        </w:tc>
      </w:tr>
      <w:tr w:rsidR="00E86B28" w:rsidRPr="002A5419" w14:paraId="615F5151" w14:textId="77777777" w:rsidTr="00E86B28">
        <w:tc>
          <w:tcPr>
            <w:tcW w:w="4885" w:type="dxa"/>
          </w:tcPr>
          <w:p w14:paraId="35B5F2C8" w14:textId="7D28694D" w:rsidR="00E86B28" w:rsidRPr="002A5419" w:rsidRDefault="00E86B28" w:rsidP="00E86B28">
            <w:pPr>
              <w:rPr>
                <w:rFonts w:ascii="Arial Narrow" w:hAnsi="Arial Narrow" w:cs="Times New Roman"/>
                <w:b/>
                <w:color w:val="4F81BD" w:themeColor="accent1"/>
                <w:sz w:val="24"/>
                <w:szCs w:val="24"/>
                <w:lang w:val="en-US"/>
              </w:rPr>
            </w:pPr>
            <w:r w:rsidRPr="002A5419">
              <w:rPr>
                <w:rFonts w:ascii="Arial Narrow" w:hAnsi="Arial Narrow" w:cs="Times New Roman"/>
                <w:b/>
                <w:color w:val="4F81BD" w:themeColor="accent1"/>
                <w:sz w:val="24"/>
                <w:szCs w:val="24"/>
              </w:rPr>
              <w:t xml:space="preserve">Ναυτιλία &amp; </w:t>
            </w:r>
            <w:r w:rsidR="00FC4217" w:rsidRPr="002A5419">
              <w:rPr>
                <w:rFonts w:ascii="Arial Narrow" w:hAnsi="Arial Narrow" w:cs="Times New Roman"/>
                <w:b/>
                <w:color w:val="4F81BD" w:themeColor="accent1"/>
                <w:sz w:val="24"/>
                <w:szCs w:val="24"/>
                <w:lang w:val="en-US"/>
              </w:rPr>
              <w:t>Logistics</w:t>
            </w:r>
          </w:p>
        </w:tc>
        <w:tc>
          <w:tcPr>
            <w:tcW w:w="4886" w:type="dxa"/>
          </w:tcPr>
          <w:p w14:paraId="202FB5D4" w14:textId="69062787" w:rsidR="00E86B28" w:rsidRPr="002A5419" w:rsidRDefault="00FC4217" w:rsidP="00E86B28">
            <w:pPr>
              <w:rPr>
                <w:rFonts w:ascii="Arial Narrow" w:hAnsi="Arial Narrow" w:cs="Times New Roman"/>
                <w:b/>
                <w:color w:val="4F81BD" w:themeColor="accent1"/>
                <w:sz w:val="24"/>
                <w:szCs w:val="24"/>
                <w:lang w:val="en-US"/>
              </w:rPr>
            </w:pPr>
            <w:r w:rsidRPr="002A5419">
              <w:rPr>
                <w:rFonts w:ascii="Arial Narrow" w:hAnsi="Arial Narrow" w:cs="Times New Roman"/>
                <w:b/>
                <w:color w:val="4F81BD" w:themeColor="accent1"/>
                <w:sz w:val="24"/>
                <w:szCs w:val="24"/>
                <w:lang w:val="en-US"/>
              </w:rPr>
              <w:t>20%</w:t>
            </w:r>
          </w:p>
        </w:tc>
      </w:tr>
      <w:tr w:rsidR="00E86B28" w:rsidRPr="002A5419" w14:paraId="05996B8B" w14:textId="77777777" w:rsidTr="00E86B28">
        <w:tc>
          <w:tcPr>
            <w:tcW w:w="4885" w:type="dxa"/>
          </w:tcPr>
          <w:p w14:paraId="20BF7F52" w14:textId="5BEE519E" w:rsidR="00E86B28" w:rsidRPr="002A5419" w:rsidRDefault="00FC4217" w:rsidP="00E86B28">
            <w:pPr>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 xml:space="preserve">Τρόφιμα &amp; Ποτά </w:t>
            </w:r>
          </w:p>
        </w:tc>
        <w:tc>
          <w:tcPr>
            <w:tcW w:w="4886" w:type="dxa"/>
          </w:tcPr>
          <w:p w14:paraId="6D844008" w14:textId="550ED9BE" w:rsidR="00E86B28" w:rsidRPr="002A5419" w:rsidRDefault="00FC4217" w:rsidP="00E86B28">
            <w:pPr>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15%</w:t>
            </w:r>
          </w:p>
        </w:tc>
      </w:tr>
      <w:tr w:rsidR="00E86B28" w:rsidRPr="002A5419" w14:paraId="139F8A74" w14:textId="77777777" w:rsidTr="00E86B28">
        <w:tc>
          <w:tcPr>
            <w:tcW w:w="4885" w:type="dxa"/>
          </w:tcPr>
          <w:p w14:paraId="69BF780E" w14:textId="734078A8" w:rsidR="00E86B28" w:rsidRPr="002A5419" w:rsidRDefault="00FC4217" w:rsidP="00E86B28">
            <w:pPr>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Τεχνολογία &amp; Ψηφιακές Υπηρεσίες</w:t>
            </w:r>
          </w:p>
        </w:tc>
        <w:tc>
          <w:tcPr>
            <w:tcW w:w="4886" w:type="dxa"/>
          </w:tcPr>
          <w:p w14:paraId="716D92A4" w14:textId="60044697" w:rsidR="00E86B28" w:rsidRPr="002A5419" w:rsidRDefault="00FC4217" w:rsidP="00E86B28">
            <w:pPr>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15%</w:t>
            </w:r>
          </w:p>
        </w:tc>
      </w:tr>
      <w:tr w:rsidR="00E86B28" w:rsidRPr="002A5419" w14:paraId="72C52615" w14:textId="77777777" w:rsidTr="00E86B28">
        <w:tc>
          <w:tcPr>
            <w:tcW w:w="4885" w:type="dxa"/>
          </w:tcPr>
          <w:p w14:paraId="6A8F34C4" w14:textId="1279FEB9" w:rsidR="00E86B28" w:rsidRPr="002A5419" w:rsidRDefault="00FC4217" w:rsidP="00E86B28">
            <w:pPr>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Φαρμακευτικά προϊόντα και Υγεία</w:t>
            </w:r>
          </w:p>
        </w:tc>
        <w:tc>
          <w:tcPr>
            <w:tcW w:w="4886" w:type="dxa"/>
          </w:tcPr>
          <w:p w14:paraId="12E83EFD" w14:textId="24B2513E" w:rsidR="00E86B28" w:rsidRPr="002A5419" w:rsidRDefault="00FC4217" w:rsidP="00E86B28">
            <w:pPr>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10%</w:t>
            </w:r>
          </w:p>
        </w:tc>
      </w:tr>
      <w:tr w:rsidR="00E86B28" w:rsidRPr="002A5419" w14:paraId="5D064B93" w14:textId="77777777" w:rsidTr="00E86B28">
        <w:tc>
          <w:tcPr>
            <w:tcW w:w="4885" w:type="dxa"/>
          </w:tcPr>
          <w:p w14:paraId="1052D9FC" w14:textId="62C01F58" w:rsidR="00E86B28" w:rsidRPr="002A5419" w:rsidRDefault="00FC4217" w:rsidP="00E86B28">
            <w:pPr>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 xml:space="preserve">Τουρισμός &amp; Φιλοξενία </w:t>
            </w:r>
          </w:p>
        </w:tc>
        <w:tc>
          <w:tcPr>
            <w:tcW w:w="4886" w:type="dxa"/>
          </w:tcPr>
          <w:p w14:paraId="558150D1" w14:textId="52EEA4A5" w:rsidR="00E86B28" w:rsidRPr="002A5419" w:rsidRDefault="00FC4217" w:rsidP="00E86B28">
            <w:pPr>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8%</w:t>
            </w:r>
          </w:p>
        </w:tc>
      </w:tr>
      <w:tr w:rsidR="00E86B28" w:rsidRPr="002A5419" w14:paraId="306FA137" w14:textId="77777777" w:rsidTr="00E86B28">
        <w:tc>
          <w:tcPr>
            <w:tcW w:w="4885" w:type="dxa"/>
          </w:tcPr>
          <w:p w14:paraId="558E2496" w14:textId="03B8BAC1" w:rsidR="00E86B28" w:rsidRPr="002A5419" w:rsidRDefault="00FC4217" w:rsidP="00E86B28">
            <w:pPr>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Ενέργεια και ΑΠΕ</w:t>
            </w:r>
          </w:p>
        </w:tc>
        <w:tc>
          <w:tcPr>
            <w:tcW w:w="4886" w:type="dxa"/>
          </w:tcPr>
          <w:p w14:paraId="491E74B2" w14:textId="3766BFFD" w:rsidR="00E86B28" w:rsidRPr="002A5419" w:rsidRDefault="00FC4217" w:rsidP="00E86B28">
            <w:pPr>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5%</w:t>
            </w:r>
          </w:p>
        </w:tc>
      </w:tr>
      <w:tr w:rsidR="00E86B28" w:rsidRPr="002A5419" w14:paraId="00EC7EFB" w14:textId="77777777" w:rsidTr="00E86B28">
        <w:tc>
          <w:tcPr>
            <w:tcW w:w="4885" w:type="dxa"/>
          </w:tcPr>
          <w:p w14:paraId="45887892" w14:textId="226BCEA3" w:rsidR="00E86B28" w:rsidRPr="002A5419" w:rsidRDefault="00FC4217" w:rsidP="00E86B28">
            <w:pPr>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Άλλοι τομείς</w:t>
            </w:r>
          </w:p>
        </w:tc>
        <w:tc>
          <w:tcPr>
            <w:tcW w:w="4886" w:type="dxa"/>
          </w:tcPr>
          <w:p w14:paraId="1F865EB8" w14:textId="052C6B91" w:rsidR="00FC4217" w:rsidRPr="002A5419" w:rsidRDefault="00FC4217" w:rsidP="00E86B28">
            <w:pPr>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2%</w:t>
            </w:r>
          </w:p>
        </w:tc>
      </w:tr>
    </w:tbl>
    <w:p w14:paraId="4D8D62DB" w14:textId="14275DA4" w:rsidR="00E86B28" w:rsidRDefault="00E86B28" w:rsidP="00E86B28">
      <w:pPr>
        <w:rPr>
          <w:rFonts w:ascii="Arial Narrow" w:hAnsi="Arial Narrow" w:cs="Times New Roman"/>
          <w:b/>
          <w:color w:val="1F497D" w:themeColor="text2"/>
          <w:sz w:val="28"/>
          <w:szCs w:val="28"/>
        </w:rPr>
      </w:pPr>
    </w:p>
    <w:p w14:paraId="45400663" w14:textId="6D30557C" w:rsidR="00FC4217" w:rsidRDefault="00FC4217" w:rsidP="00E86B28">
      <w:pPr>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 xml:space="preserve">6.4. Κύριοι Τομείς Ελληνικής Παρουσίας </w:t>
      </w:r>
    </w:p>
    <w:p w14:paraId="724C72E0" w14:textId="0E64D37E" w:rsidR="00FC4217" w:rsidRDefault="00FC4217" w:rsidP="00E86B28">
      <w:pPr>
        <w:rPr>
          <w:rFonts w:ascii="Arial Narrow" w:hAnsi="Arial Narrow" w:cs="Times New Roman"/>
          <w:sz w:val="24"/>
          <w:szCs w:val="24"/>
        </w:rPr>
      </w:pPr>
      <w:r>
        <w:rPr>
          <w:rFonts w:ascii="Arial Narrow" w:hAnsi="Arial Narrow" w:cs="Times New Roman"/>
          <w:b/>
          <w:color w:val="1F497D" w:themeColor="text2"/>
          <w:sz w:val="24"/>
          <w:szCs w:val="24"/>
        </w:rPr>
        <w:t xml:space="preserve">6.4.1. Κατασκευές και Υποδομές: </w:t>
      </w:r>
      <w:r w:rsidR="000B3B70" w:rsidRPr="000B3B70">
        <w:rPr>
          <w:rFonts w:ascii="Arial Narrow" w:hAnsi="Arial Narrow" w:cs="Times New Roman"/>
          <w:sz w:val="24"/>
          <w:szCs w:val="24"/>
        </w:rPr>
        <w:t>οι ελληνικές τεχνικές εταιρείες δραστηριο</w:t>
      </w:r>
      <w:r w:rsidR="000B3B70">
        <w:rPr>
          <w:rFonts w:ascii="Arial Narrow" w:hAnsi="Arial Narrow" w:cs="Times New Roman"/>
          <w:sz w:val="24"/>
          <w:szCs w:val="24"/>
        </w:rPr>
        <w:t xml:space="preserve">ποιούνται σε έργα και </w:t>
      </w:r>
      <w:r w:rsidR="000B3B70">
        <w:rPr>
          <w:rFonts w:ascii="Arial Narrow" w:hAnsi="Arial Narrow" w:cs="Times New Roman"/>
          <w:sz w:val="24"/>
          <w:szCs w:val="24"/>
          <w:lang w:val="en-US"/>
        </w:rPr>
        <w:t>real</w:t>
      </w:r>
      <w:r w:rsidR="000B3B70" w:rsidRPr="000B3B70">
        <w:rPr>
          <w:rFonts w:ascii="Arial Narrow" w:hAnsi="Arial Narrow" w:cs="Times New Roman"/>
          <w:sz w:val="24"/>
          <w:szCs w:val="24"/>
        </w:rPr>
        <w:t xml:space="preserve"> </w:t>
      </w:r>
      <w:r w:rsidR="000B3B70">
        <w:rPr>
          <w:rFonts w:ascii="Arial Narrow" w:hAnsi="Arial Narrow" w:cs="Times New Roman"/>
          <w:sz w:val="24"/>
          <w:szCs w:val="24"/>
          <w:lang w:val="en-US"/>
        </w:rPr>
        <w:t>estate</w:t>
      </w:r>
      <w:r w:rsidR="000B3B70" w:rsidRPr="000B3B70">
        <w:rPr>
          <w:rFonts w:ascii="Arial Narrow" w:hAnsi="Arial Narrow" w:cs="Times New Roman"/>
          <w:sz w:val="24"/>
          <w:szCs w:val="24"/>
        </w:rPr>
        <w:t xml:space="preserve">, </w:t>
      </w:r>
      <w:r w:rsidR="000B3B70">
        <w:rPr>
          <w:rFonts w:ascii="Arial Narrow" w:hAnsi="Arial Narrow" w:cs="Times New Roman"/>
          <w:sz w:val="24"/>
          <w:szCs w:val="24"/>
        </w:rPr>
        <w:t xml:space="preserve">εμπορικά κέντρα, ξενοδοχειακές μονάδες, βιομηχανικές εγκαταστάσεις και ενεργειακές υποδομές. Η συνεχής ανάπτυξη των ΗΑΕ δημιουργεί σημαντικές ευκαιρίες για ελληνικά τεχνικά γραφεία και εταιρείες μελετών. </w:t>
      </w:r>
    </w:p>
    <w:p w14:paraId="4D1238BA" w14:textId="076E0E09" w:rsidR="000B3B70" w:rsidRDefault="000B3B70" w:rsidP="00F07530">
      <w:pPr>
        <w:jc w:val="both"/>
        <w:rPr>
          <w:rFonts w:ascii="Arial Narrow" w:hAnsi="Arial Narrow" w:cs="Times New Roman"/>
          <w:sz w:val="24"/>
          <w:szCs w:val="24"/>
        </w:rPr>
      </w:pPr>
      <w:r w:rsidRPr="000B3B70">
        <w:rPr>
          <w:rFonts w:ascii="Arial Narrow" w:hAnsi="Arial Narrow" w:cs="Times New Roman"/>
          <w:b/>
          <w:color w:val="1F497D" w:themeColor="text2"/>
          <w:sz w:val="24"/>
          <w:szCs w:val="24"/>
        </w:rPr>
        <w:t>6.4.2. Ναυτιλία</w:t>
      </w:r>
      <w:r>
        <w:rPr>
          <w:rFonts w:ascii="Arial Narrow" w:hAnsi="Arial Narrow" w:cs="Times New Roman"/>
          <w:b/>
          <w:color w:val="1F497D" w:themeColor="text2"/>
          <w:sz w:val="24"/>
          <w:szCs w:val="24"/>
        </w:rPr>
        <w:t xml:space="preserve">: </w:t>
      </w:r>
      <w:r w:rsidR="00B65C5E" w:rsidRPr="00F07530">
        <w:rPr>
          <w:rFonts w:ascii="Arial Narrow" w:hAnsi="Arial Narrow" w:cs="Times New Roman"/>
          <w:sz w:val="24"/>
          <w:szCs w:val="24"/>
        </w:rPr>
        <w:t>Τα ΗΑΕ αποτελούν σημαντικό παγκόσμιο ναυτιλιακό κόμβο</w:t>
      </w:r>
      <w:r w:rsidR="00F07530" w:rsidRPr="00F07530">
        <w:rPr>
          <w:rFonts w:ascii="Arial Narrow" w:hAnsi="Arial Narrow" w:cs="Times New Roman"/>
          <w:sz w:val="24"/>
          <w:szCs w:val="24"/>
        </w:rPr>
        <w:t>.Τα ε</w:t>
      </w:r>
      <w:r w:rsidR="00F07530">
        <w:rPr>
          <w:rFonts w:ascii="Arial Narrow" w:hAnsi="Arial Narrow" w:cs="Times New Roman"/>
          <w:sz w:val="24"/>
          <w:szCs w:val="24"/>
        </w:rPr>
        <w:t xml:space="preserve">λληνικά συμφέροντα δραστηριοποιούνται στο τιμάνι </w:t>
      </w:r>
      <w:r w:rsidR="00F07530">
        <w:rPr>
          <w:rFonts w:ascii="Arial Narrow" w:hAnsi="Arial Narrow" w:cs="Times New Roman"/>
          <w:sz w:val="24"/>
          <w:szCs w:val="24"/>
          <w:lang w:val="en-US"/>
        </w:rPr>
        <w:t>Jebel</w:t>
      </w:r>
      <w:r w:rsidR="00F07530" w:rsidRPr="00F07530">
        <w:rPr>
          <w:rFonts w:ascii="Arial Narrow" w:hAnsi="Arial Narrow" w:cs="Times New Roman"/>
          <w:sz w:val="24"/>
          <w:szCs w:val="24"/>
        </w:rPr>
        <w:t xml:space="preserve"> </w:t>
      </w:r>
      <w:r w:rsidR="00F07530">
        <w:rPr>
          <w:rFonts w:ascii="Arial Narrow" w:hAnsi="Arial Narrow" w:cs="Times New Roman"/>
          <w:sz w:val="24"/>
          <w:szCs w:val="24"/>
          <w:lang w:val="en-US"/>
        </w:rPr>
        <w:t>Ali</w:t>
      </w:r>
      <w:r w:rsidR="00283511" w:rsidRPr="00283511">
        <w:rPr>
          <w:rFonts w:ascii="Arial Narrow" w:hAnsi="Arial Narrow" w:cs="Times New Roman"/>
          <w:sz w:val="24"/>
          <w:szCs w:val="24"/>
        </w:rPr>
        <w:t xml:space="preserve"> &amp; </w:t>
      </w:r>
      <w:r w:rsidR="00283511">
        <w:rPr>
          <w:rFonts w:ascii="Arial Narrow" w:hAnsi="Arial Narrow" w:cs="Times New Roman"/>
          <w:sz w:val="24"/>
          <w:szCs w:val="24"/>
          <w:lang w:val="en-US"/>
        </w:rPr>
        <w:t>Fujairah</w:t>
      </w:r>
      <w:r w:rsidR="00283511" w:rsidRPr="00283511">
        <w:rPr>
          <w:rFonts w:ascii="Arial Narrow" w:hAnsi="Arial Narrow" w:cs="Times New Roman"/>
          <w:sz w:val="24"/>
          <w:szCs w:val="24"/>
        </w:rPr>
        <w:t xml:space="preserve">, </w:t>
      </w:r>
      <w:r w:rsidR="00283511">
        <w:rPr>
          <w:rFonts w:ascii="Arial Narrow" w:hAnsi="Arial Narrow" w:cs="Times New Roman"/>
          <w:sz w:val="24"/>
          <w:szCs w:val="24"/>
        </w:rPr>
        <w:t xml:space="preserve">στις ναυλώσεις, στις ναυτιλιακές υπηρεσίες &amp; στη διαχείριση πλοίων. Η παρουσία ελληνικών ναυτιλιακών εταιρειών στο Ντουμπάϊ παρουσιάζει σταδιακή άνοδο. </w:t>
      </w:r>
    </w:p>
    <w:p w14:paraId="241D1B7B" w14:textId="65A10A13" w:rsidR="00283511" w:rsidRPr="008E0187" w:rsidRDefault="00283511" w:rsidP="00F07530">
      <w:pPr>
        <w:jc w:val="both"/>
        <w:rPr>
          <w:rFonts w:ascii="Arial Narrow" w:hAnsi="Arial Narrow" w:cs="Times New Roman"/>
          <w:b/>
          <w:color w:val="1F497D" w:themeColor="text2"/>
          <w:sz w:val="24"/>
          <w:szCs w:val="24"/>
        </w:rPr>
      </w:pPr>
      <w:r w:rsidRPr="00283511">
        <w:rPr>
          <w:rFonts w:ascii="Arial Narrow" w:hAnsi="Arial Narrow" w:cs="Times New Roman"/>
          <w:b/>
          <w:color w:val="1F497D" w:themeColor="text2"/>
          <w:sz w:val="24"/>
          <w:szCs w:val="24"/>
        </w:rPr>
        <w:t xml:space="preserve">6.4.3. Τρόφιμα και Ποτά: </w:t>
      </w:r>
      <w:r>
        <w:rPr>
          <w:rFonts w:ascii="Arial Narrow" w:hAnsi="Arial Narrow" w:cs="Times New Roman"/>
          <w:sz w:val="24"/>
          <w:szCs w:val="24"/>
        </w:rPr>
        <w:t xml:space="preserve"> Οι ελληνικές επενδύσεις επικεντρώνονται στις διανομές ελληνικών προϊόντων, κέντρα </w:t>
      </w:r>
      <w:r>
        <w:rPr>
          <w:rFonts w:ascii="Arial Narrow" w:hAnsi="Arial Narrow" w:cs="Times New Roman"/>
          <w:sz w:val="24"/>
          <w:szCs w:val="24"/>
          <w:lang w:val="en-US"/>
        </w:rPr>
        <w:t>logistics</w:t>
      </w:r>
      <w:r w:rsidRPr="00283511">
        <w:rPr>
          <w:rFonts w:ascii="Arial Narrow" w:hAnsi="Arial Narrow" w:cs="Times New Roman"/>
          <w:sz w:val="24"/>
          <w:szCs w:val="24"/>
        </w:rPr>
        <w:t xml:space="preserve">, </w:t>
      </w:r>
      <w:r>
        <w:rPr>
          <w:rFonts w:ascii="Arial Narrow" w:hAnsi="Arial Narrow" w:cs="Times New Roman"/>
          <w:sz w:val="24"/>
          <w:szCs w:val="24"/>
        </w:rPr>
        <w:t xml:space="preserve">χονδρικό εμπόριο, αλυσίδες εστίασης, </w:t>
      </w:r>
      <w:r>
        <w:rPr>
          <w:rFonts w:ascii="Arial Narrow" w:hAnsi="Arial Narrow" w:cs="Times New Roman"/>
          <w:sz w:val="24"/>
          <w:szCs w:val="24"/>
          <w:lang w:val="en-US"/>
        </w:rPr>
        <w:t>premium</w:t>
      </w:r>
      <w:r w:rsidRPr="00283511">
        <w:rPr>
          <w:rFonts w:ascii="Arial Narrow" w:hAnsi="Arial Narrow" w:cs="Times New Roman"/>
          <w:sz w:val="24"/>
          <w:szCs w:val="24"/>
        </w:rPr>
        <w:t xml:space="preserve"> </w:t>
      </w:r>
      <w:r>
        <w:rPr>
          <w:rFonts w:ascii="Arial Narrow" w:hAnsi="Arial Narrow" w:cs="Times New Roman"/>
          <w:sz w:val="24"/>
          <w:szCs w:val="24"/>
        </w:rPr>
        <w:t xml:space="preserve">τρόφιμα, ελαιόλαδο, γαλακτοκομικά προϊόντα, κρασιά, μεταποιημένα τρόφιμα &amp; βιολογικά προϊόντα. </w:t>
      </w:r>
    </w:p>
    <w:p w14:paraId="3AE841DC" w14:textId="7E758283" w:rsidR="00283511" w:rsidRDefault="00283511" w:rsidP="00F07530">
      <w:pPr>
        <w:jc w:val="both"/>
        <w:rPr>
          <w:rFonts w:ascii="Arial Narrow" w:hAnsi="Arial Narrow" w:cs="Times New Roman"/>
          <w:sz w:val="24"/>
          <w:szCs w:val="24"/>
        </w:rPr>
      </w:pPr>
      <w:r w:rsidRPr="00283511">
        <w:rPr>
          <w:rFonts w:ascii="Arial Narrow" w:hAnsi="Arial Narrow" w:cs="Times New Roman"/>
          <w:b/>
          <w:color w:val="1F497D" w:themeColor="text2"/>
          <w:sz w:val="24"/>
          <w:szCs w:val="24"/>
        </w:rPr>
        <w:t xml:space="preserve">6.4.4. Φαρμακευτικός Τομέας: </w:t>
      </w:r>
      <w:r>
        <w:rPr>
          <w:rFonts w:ascii="Arial Narrow" w:hAnsi="Arial Narrow" w:cs="Times New Roman"/>
          <w:sz w:val="24"/>
          <w:szCs w:val="24"/>
        </w:rPr>
        <w:t>Ελληνικές Φαρμακοβιομηχανίες έχουν θυγατρικές εταιρείες, περιφερειακά γραφεία και δίκτυα διανομής με στόχο τόσο την αγορά των ΗΑΕ, όσο και την ευρύτερη περιοχή του Κόλπου (</w:t>
      </w:r>
      <w:r>
        <w:rPr>
          <w:rFonts w:ascii="Arial Narrow" w:hAnsi="Arial Narrow" w:cs="Times New Roman"/>
          <w:sz w:val="24"/>
          <w:szCs w:val="24"/>
          <w:lang w:val="en-US"/>
        </w:rPr>
        <w:t>GCC</w:t>
      </w:r>
      <w:r w:rsidRPr="00283511">
        <w:rPr>
          <w:rFonts w:ascii="Arial Narrow" w:hAnsi="Arial Narrow" w:cs="Times New Roman"/>
          <w:sz w:val="24"/>
          <w:szCs w:val="24"/>
        </w:rPr>
        <w:t>).</w:t>
      </w:r>
    </w:p>
    <w:p w14:paraId="7D1CCA68" w14:textId="6879D593" w:rsidR="00283511" w:rsidRDefault="00283511" w:rsidP="00F07530">
      <w:pPr>
        <w:jc w:val="both"/>
        <w:rPr>
          <w:rFonts w:ascii="Arial Narrow" w:hAnsi="Arial Narrow" w:cs="Times New Roman"/>
          <w:sz w:val="24"/>
          <w:szCs w:val="24"/>
        </w:rPr>
      </w:pPr>
      <w:r w:rsidRPr="005603A5">
        <w:rPr>
          <w:rFonts w:ascii="Arial Narrow" w:hAnsi="Arial Narrow" w:cs="Times New Roman"/>
          <w:b/>
          <w:color w:val="1F497D" w:themeColor="text2"/>
          <w:sz w:val="24"/>
          <w:szCs w:val="24"/>
        </w:rPr>
        <w:t xml:space="preserve">6.4.5. </w:t>
      </w:r>
      <w:r w:rsidR="005603A5" w:rsidRPr="005603A5">
        <w:rPr>
          <w:rFonts w:ascii="Arial Narrow" w:hAnsi="Arial Narrow" w:cs="Times New Roman"/>
          <w:b/>
          <w:color w:val="1F497D" w:themeColor="text2"/>
          <w:sz w:val="24"/>
          <w:szCs w:val="24"/>
        </w:rPr>
        <w:t xml:space="preserve">Τεχνολογία: </w:t>
      </w:r>
      <w:r w:rsidR="005603A5">
        <w:rPr>
          <w:rFonts w:ascii="Arial Narrow" w:hAnsi="Arial Narrow" w:cs="Times New Roman"/>
          <w:sz w:val="24"/>
          <w:szCs w:val="24"/>
        </w:rPr>
        <w:t xml:space="preserve">Τα τελευταία χρόνια παρατηρείται αύξηση των ελληνικών επενδύσεων σε </w:t>
      </w:r>
      <w:r w:rsidR="005603A5">
        <w:rPr>
          <w:rFonts w:ascii="Arial Narrow" w:hAnsi="Arial Narrow" w:cs="Times New Roman"/>
          <w:sz w:val="24"/>
          <w:szCs w:val="24"/>
          <w:lang w:val="en-US"/>
        </w:rPr>
        <w:t>fintech</w:t>
      </w:r>
      <w:r w:rsidR="005603A5" w:rsidRPr="005603A5">
        <w:rPr>
          <w:rFonts w:ascii="Arial Narrow" w:hAnsi="Arial Narrow" w:cs="Times New Roman"/>
          <w:sz w:val="24"/>
          <w:szCs w:val="24"/>
        </w:rPr>
        <w:t xml:space="preserve">, </w:t>
      </w:r>
      <w:r w:rsidR="005603A5">
        <w:rPr>
          <w:rFonts w:ascii="Arial Narrow" w:hAnsi="Arial Narrow" w:cs="Times New Roman"/>
          <w:sz w:val="24"/>
          <w:szCs w:val="24"/>
          <w:lang w:val="en-US"/>
        </w:rPr>
        <w:t>AI</w:t>
      </w:r>
      <w:r w:rsidR="005603A5" w:rsidRPr="005603A5">
        <w:rPr>
          <w:rFonts w:ascii="Arial Narrow" w:hAnsi="Arial Narrow" w:cs="Times New Roman"/>
          <w:sz w:val="24"/>
          <w:szCs w:val="24"/>
        </w:rPr>
        <w:t xml:space="preserve">, </w:t>
      </w:r>
      <w:r w:rsidR="005603A5">
        <w:rPr>
          <w:rFonts w:ascii="Arial Narrow" w:hAnsi="Arial Narrow" w:cs="Times New Roman"/>
          <w:sz w:val="24"/>
          <w:szCs w:val="24"/>
          <w:lang w:val="en-US"/>
        </w:rPr>
        <w:t>cybersecurity</w:t>
      </w:r>
      <w:r w:rsidR="005603A5" w:rsidRPr="005603A5">
        <w:rPr>
          <w:rFonts w:ascii="Arial Narrow" w:hAnsi="Arial Narrow" w:cs="Times New Roman"/>
          <w:sz w:val="24"/>
          <w:szCs w:val="24"/>
        </w:rPr>
        <w:t xml:space="preserve">, </w:t>
      </w:r>
      <w:r w:rsidR="005603A5">
        <w:rPr>
          <w:rFonts w:ascii="Arial Narrow" w:hAnsi="Arial Narrow" w:cs="Times New Roman"/>
          <w:sz w:val="24"/>
          <w:szCs w:val="24"/>
          <w:lang w:val="en-US"/>
        </w:rPr>
        <w:t>software</w:t>
      </w:r>
      <w:r w:rsidR="005603A5" w:rsidRPr="005603A5">
        <w:rPr>
          <w:rFonts w:ascii="Arial Narrow" w:hAnsi="Arial Narrow" w:cs="Times New Roman"/>
          <w:sz w:val="24"/>
          <w:szCs w:val="24"/>
        </w:rPr>
        <w:t xml:space="preserve"> </w:t>
      </w:r>
      <w:r w:rsidR="005603A5">
        <w:rPr>
          <w:rFonts w:ascii="Arial Narrow" w:hAnsi="Arial Narrow" w:cs="Times New Roman"/>
          <w:sz w:val="24"/>
          <w:szCs w:val="24"/>
          <w:lang w:val="en-US"/>
        </w:rPr>
        <w:t>development</w:t>
      </w:r>
      <w:r w:rsidR="005603A5" w:rsidRPr="005603A5">
        <w:rPr>
          <w:rFonts w:ascii="Arial Narrow" w:hAnsi="Arial Narrow" w:cs="Times New Roman"/>
          <w:sz w:val="24"/>
          <w:szCs w:val="24"/>
        </w:rPr>
        <w:t xml:space="preserve">, </w:t>
      </w:r>
      <w:r w:rsidR="005603A5">
        <w:rPr>
          <w:rFonts w:ascii="Arial Narrow" w:hAnsi="Arial Narrow" w:cs="Times New Roman"/>
          <w:sz w:val="24"/>
          <w:szCs w:val="24"/>
          <w:lang w:val="en-US"/>
        </w:rPr>
        <w:t>smart</w:t>
      </w:r>
      <w:r w:rsidR="005603A5" w:rsidRPr="005603A5">
        <w:rPr>
          <w:rFonts w:ascii="Arial Narrow" w:hAnsi="Arial Narrow" w:cs="Times New Roman"/>
          <w:sz w:val="24"/>
          <w:szCs w:val="24"/>
        </w:rPr>
        <w:t xml:space="preserve"> </w:t>
      </w:r>
      <w:r w:rsidR="005603A5">
        <w:rPr>
          <w:rFonts w:ascii="Arial Narrow" w:hAnsi="Arial Narrow" w:cs="Times New Roman"/>
          <w:sz w:val="24"/>
          <w:szCs w:val="24"/>
          <w:lang w:val="en-US"/>
        </w:rPr>
        <w:t>city</w:t>
      </w:r>
      <w:r w:rsidR="005603A5" w:rsidRPr="005603A5">
        <w:rPr>
          <w:rFonts w:ascii="Arial Narrow" w:hAnsi="Arial Narrow" w:cs="Times New Roman"/>
          <w:sz w:val="24"/>
          <w:szCs w:val="24"/>
        </w:rPr>
        <w:t xml:space="preserve"> </w:t>
      </w:r>
      <w:r w:rsidR="005603A5">
        <w:rPr>
          <w:rFonts w:ascii="Arial Narrow" w:hAnsi="Arial Narrow" w:cs="Times New Roman"/>
          <w:sz w:val="24"/>
          <w:szCs w:val="24"/>
        </w:rPr>
        <w:t>εφαρμογές. Η στρατηγική ψηφιακού μετασχηματισμού των ΗΑΕ δημιουργεί σημαντικές ευκαιρίες για ελληνικές εταιρείες τεχνολογίας.</w:t>
      </w:r>
    </w:p>
    <w:p w14:paraId="0E39D0CB" w14:textId="6EC03B2A" w:rsidR="005603A5" w:rsidRPr="002A5419" w:rsidRDefault="002A5419" w:rsidP="00026058">
      <w:pPr>
        <w:jc w:val="center"/>
        <w:rPr>
          <w:rFonts w:ascii="Arial Narrow" w:hAnsi="Arial Narrow" w:cs="Times New Roman"/>
          <w:b/>
          <w:color w:val="4F81BD" w:themeColor="accent1"/>
          <w:sz w:val="28"/>
          <w:szCs w:val="28"/>
        </w:rPr>
      </w:pPr>
      <w:r w:rsidRPr="002A5419">
        <w:rPr>
          <w:rFonts w:ascii="Arial Narrow" w:hAnsi="Arial Narrow" w:cs="Times New Roman"/>
          <w:b/>
          <w:color w:val="4F81BD" w:themeColor="accent1"/>
          <w:sz w:val="28"/>
          <w:szCs w:val="28"/>
        </w:rPr>
        <w:t xml:space="preserve">ΠΙΝΑΚΑΣ </w:t>
      </w:r>
      <w:r w:rsidR="008E0187">
        <w:rPr>
          <w:rFonts w:ascii="Arial Narrow" w:hAnsi="Arial Narrow" w:cs="Times New Roman"/>
          <w:b/>
          <w:color w:val="4F81BD" w:themeColor="accent1"/>
          <w:sz w:val="28"/>
          <w:szCs w:val="28"/>
        </w:rPr>
        <w:t>27</w:t>
      </w:r>
      <w:r w:rsidRPr="002A5419">
        <w:rPr>
          <w:rFonts w:ascii="Arial Narrow" w:hAnsi="Arial Narrow" w:cs="Times New Roman"/>
          <w:b/>
          <w:color w:val="4F81BD" w:themeColor="accent1"/>
          <w:sz w:val="28"/>
          <w:szCs w:val="28"/>
        </w:rPr>
        <w:t xml:space="preserve"> - </w:t>
      </w:r>
      <w:r w:rsidR="005603A5" w:rsidRPr="002A5419">
        <w:rPr>
          <w:rFonts w:ascii="Arial Narrow" w:hAnsi="Arial Narrow" w:cs="Times New Roman"/>
          <w:b/>
          <w:color w:val="4F81BD" w:themeColor="accent1"/>
          <w:sz w:val="28"/>
          <w:szCs w:val="28"/>
        </w:rPr>
        <w:t>6</w:t>
      </w:r>
      <w:r w:rsidRPr="002A5419">
        <w:rPr>
          <w:rFonts w:ascii="Arial Narrow" w:hAnsi="Arial Narrow" w:cs="Times New Roman"/>
          <w:b/>
          <w:color w:val="4F81BD" w:themeColor="accent1"/>
          <w:sz w:val="28"/>
          <w:szCs w:val="28"/>
        </w:rPr>
        <w:t xml:space="preserve">.4.6. </w:t>
      </w:r>
      <w:r w:rsidR="005603A5" w:rsidRPr="002A5419">
        <w:rPr>
          <w:rFonts w:ascii="Arial Narrow" w:hAnsi="Arial Narrow" w:cs="Times New Roman"/>
          <w:b/>
          <w:color w:val="4F81BD" w:themeColor="accent1"/>
          <w:sz w:val="28"/>
          <w:szCs w:val="28"/>
        </w:rPr>
        <w:t>Σημαντικότερες Ελληνικές Επιχειρηματικές Δραστηριότητες στα ΗΑΕ</w:t>
      </w:r>
    </w:p>
    <w:tbl>
      <w:tblPr>
        <w:tblStyle w:val="TableGrid"/>
        <w:tblpPr w:leftFromText="180" w:rightFromText="180" w:vertAnchor="text" w:horzAnchor="margin" w:tblpY="83"/>
        <w:tblW w:w="10619" w:type="dxa"/>
        <w:tblLook w:val="04A0" w:firstRow="1" w:lastRow="0" w:firstColumn="1" w:lastColumn="0" w:noHBand="0" w:noVBand="1"/>
      </w:tblPr>
      <w:tblGrid>
        <w:gridCol w:w="5733"/>
        <w:gridCol w:w="4886"/>
      </w:tblGrid>
      <w:tr w:rsidR="00A914AD" w:rsidRPr="00A914AD" w14:paraId="41D19DC1" w14:textId="77777777" w:rsidTr="00A914AD">
        <w:tc>
          <w:tcPr>
            <w:tcW w:w="5733" w:type="dxa"/>
          </w:tcPr>
          <w:p w14:paraId="0BBF8904" w14:textId="23199C50" w:rsidR="00A914AD" w:rsidRPr="00A7533E" w:rsidRDefault="008634B3" w:rsidP="00A914AD">
            <w:pPr>
              <w:rPr>
                <w:rFonts w:ascii="Arial Narrow" w:hAnsi="Arial Narrow" w:cs="Times New Roman"/>
                <w:b/>
                <w:color w:val="1F497D" w:themeColor="text2"/>
                <w:sz w:val="24"/>
                <w:szCs w:val="24"/>
              </w:rPr>
            </w:pPr>
            <w:r>
              <w:rPr>
                <w:rFonts w:ascii="Arial Narrow" w:hAnsi="Arial Narrow" w:cs="Times New Roman"/>
                <w:b/>
                <w:color w:val="1F497D" w:themeColor="text2"/>
                <w:sz w:val="24"/>
                <w:szCs w:val="24"/>
                <w:lang w:val="en-US"/>
              </w:rPr>
              <w:t>K</w:t>
            </w:r>
            <w:r w:rsidR="00A7533E">
              <w:rPr>
                <w:rFonts w:ascii="Arial Narrow" w:hAnsi="Arial Narrow" w:cs="Times New Roman"/>
                <w:b/>
                <w:color w:val="1F497D" w:themeColor="text2"/>
                <w:sz w:val="24"/>
                <w:szCs w:val="24"/>
              </w:rPr>
              <w:t>λάδος</w:t>
            </w:r>
          </w:p>
        </w:tc>
        <w:tc>
          <w:tcPr>
            <w:tcW w:w="4886" w:type="dxa"/>
          </w:tcPr>
          <w:p w14:paraId="4DF81886" w14:textId="2732BBE7" w:rsidR="00A914AD" w:rsidRPr="00A914AD" w:rsidRDefault="00A7533E" w:rsidP="00A914AD">
            <w:pPr>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Μορφή Παρουσίας</w:t>
            </w:r>
          </w:p>
        </w:tc>
      </w:tr>
      <w:tr w:rsidR="008634B3" w:rsidRPr="00A914AD" w14:paraId="238185EF" w14:textId="77777777" w:rsidTr="00A914AD">
        <w:tc>
          <w:tcPr>
            <w:tcW w:w="5733" w:type="dxa"/>
          </w:tcPr>
          <w:p w14:paraId="7BE1B525" w14:textId="7D380777" w:rsidR="008634B3" w:rsidRPr="00A914AD" w:rsidRDefault="00A7533E" w:rsidP="00A914AD">
            <w:pPr>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Ναυτιλία</w:t>
            </w:r>
          </w:p>
        </w:tc>
        <w:tc>
          <w:tcPr>
            <w:tcW w:w="4886" w:type="dxa"/>
          </w:tcPr>
          <w:p w14:paraId="1CEF4D9F" w14:textId="42D6E988" w:rsidR="008634B3" w:rsidRPr="00A914AD" w:rsidRDefault="00A7533E" w:rsidP="00A914AD">
            <w:pPr>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 xml:space="preserve">Γραφεία Εκπροσώπησης </w:t>
            </w:r>
          </w:p>
        </w:tc>
      </w:tr>
      <w:tr w:rsidR="008634B3" w:rsidRPr="00A914AD" w14:paraId="52B4C968" w14:textId="77777777" w:rsidTr="00A914AD">
        <w:tc>
          <w:tcPr>
            <w:tcW w:w="5733" w:type="dxa"/>
          </w:tcPr>
          <w:p w14:paraId="4DB5ECCC" w14:textId="4F99D3B7" w:rsidR="008634B3" w:rsidRPr="00A914AD" w:rsidRDefault="00A7533E" w:rsidP="00A914AD">
            <w:pPr>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 xml:space="preserve">Κατασκευές </w:t>
            </w:r>
          </w:p>
        </w:tc>
        <w:tc>
          <w:tcPr>
            <w:tcW w:w="4886" w:type="dxa"/>
          </w:tcPr>
          <w:p w14:paraId="574A2686" w14:textId="3C5BFE28" w:rsidR="008634B3" w:rsidRPr="00A914AD" w:rsidRDefault="00A7533E" w:rsidP="00A914AD">
            <w:pPr>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Θυγατρικές &amp; Κοινοπραξίες</w:t>
            </w:r>
          </w:p>
        </w:tc>
      </w:tr>
      <w:tr w:rsidR="00A914AD" w:rsidRPr="00A914AD" w14:paraId="631BBC79" w14:textId="77777777" w:rsidTr="00A914AD">
        <w:tc>
          <w:tcPr>
            <w:tcW w:w="5733" w:type="dxa"/>
          </w:tcPr>
          <w:p w14:paraId="219DBD1F" w14:textId="5CD23882" w:rsidR="00A914AD" w:rsidRPr="00A914AD" w:rsidRDefault="00A7533E" w:rsidP="00A914AD">
            <w:pPr>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 xml:space="preserve">Φάρμακα </w:t>
            </w:r>
          </w:p>
        </w:tc>
        <w:tc>
          <w:tcPr>
            <w:tcW w:w="4886" w:type="dxa"/>
          </w:tcPr>
          <w:p w14:paraId="3B6D1718" w14:textId="2BF1D1FF" w:rsidR="00A914AD" w:rsidRPr="00A914AD" w:rsidRDefault="00A7533E" w:rsidP="00A914AD">
            <w:pPr>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Περιφερειακά Κέντρα Διανομής</w:t>
            </w:r>
          </w:p>
        </w:tc>
      </w:tr>
      <w:tr w:rsidR="00A914AD" w:rsidRPr="00A914AD" w14:paraId="2F35892A" w14:textId="77777777" w:rsidTr="00A914AD">
        <w:tc>
          <w:tcPr>
            <w:tcW w:w="5733" w:type="dxa"/>
          </w:tcPr>
          <w:p w14:paraId="3A1A561C" w14:textId="6DC275BE" w:rsidR="00A914AD" w:rsidRPr="00A914AD" w:rsidRDefault="00A7533E" w:rsidP="00A914AD">
            <w:pPr>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 xml:space="preserve">Τρόφιμα </w:t>
            </w:r>
          </w:p>
        </w:tc>
        <w:tc>
          <w:tcPr>
            <w:tcW w:w="4886" w:type="dxa"/>
          </w:tcPr>
          <w:p w14:paraId="1F663615" w14:textId="17C7CB84" w:rsidR="00A914AD" w:rsidRPr="00A914AD" w:rsidRDefault="00A7533E" w:rsidP="00A914AD">
            <w:pPr>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Εισαγωγικές Εταιρείες</w:t>
            </w:r>
          </w:p>
        </w:tc>
      </w:tr>
      <w:tr w:rsidR="00A914AD" w:rsidRPr="00A914AD" w14:paraId="115E27FF" w14:textId="77777777" w:rsidTr="00A914AD">
        <w:tc>
          <w:tcPr>
            <w:tcW w:w="5733" w:type="dxa"/>
          </w:tcPr>
          <w:p w14:paraId="33DBD950" w14:textId="2F63A293" w:rsidR="00A914AD" w:rsidRPr="00A914AD" w:rsidRDefault="00A7533E" w:rsidP="00A914AD">
            <w:pPr>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 xml:space="preserve">Τεχνολογία </w:t>
            </w:r>
          </w:p>
        </w:tc>
        <w:tc>
          <w:tcPr>
            <w:tcW w:w="4886" w:type="dxa"/>
          </w:tcPr>
          <w:p w14:paraId="142CAFBA" w14:textId="252C9136" w:rsidR="00A914AD" w:rsidRPr="00A7533E" w:rsidRDefault="00A7533E" w:rsidP="00A914AD">
            <w:pPr>
              <w:rPr>
                <w:rFonts w:ascii="Arial Narrow" w:hAnsi="Arial Narrow" w:cs="Times New Roman"/>
                <w:b/>
                <w:color w:val="1F497D" w:themeColor="text2"/>
                <w:sz w:val="24"/>
                <w:szCs w:val="24"/>
              </w:rPr>
            </w:pPr>
            <w:r>
              <w:rPr>
                <w:rFonts w:ascii="Arial Narrow" w:hAnsi="Arial Narrow" w:cs="Times New Roman"/>
                <w:b/>
                <w:color w:val="1F497D" w:themeColor="text2"/>
                <w:sz w:val="24"/>
                <w:szCs w:val="24"/>
                <w:lang w:val="en-US"/>
              </w:rPr>
              <w:t xml:space="preserve">Free Zone </w:t>
            </w:r>
            <w:r>
              <w:rPr>
                <w:rFonts w:ascii="Arial Narrow" w:hAnsi="Arial Narrow" w:cs="Times New Roman"/>
                <w:b/>
                <w:color w:val="1F497D" w:themeColor="text2"/>
                <w:sz w:val="24"/>
                <w:szCs w:val="24"/>
              </w:rPr>
              <w:t>Εγκαταστάσεις</w:t>
            </w:r>
          </w:p>
        </w:tc>
      </w:tr>
      <w:tr w:rsidR="00A914AD" w:rsidRPr="00A914AD" w14:paraId="7C617F1A" w14:textId="77777777" w:rsidTr="00A914AD">
        <w:tc>
          <w:tcPr>
            <w:tcW w:w="5733" w:type="dxa"/>
          </w:tcPr>
          <w:p w14:paraId="643128AB" w14:textId="4A8D178E" w:rsidR="00A914AD" w:rsidRPr="00A914AD" w:rsidRDefault="00A7533E" w:rsidP="00A914AD">
            <w:pPr>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Συμβουλευτικές Υπηρεσίες</w:t>
            </w:r>
          </w:p>
        </w:tc>
        <w:tc>
          <w:tcPr>
            <w:tcW w:w="4886" w:type="dxa"/>
          </w:tcPr>
          <w:p w14:paraId="4CF20974" w14:textId="17487F70" w:rsidR="00A914AD" w:rsidRPr="00A7533E" w:rsidRDefault="00A7533E" w:rsidP="00A914AD">
            <w:pPr>
              <w:rPr>
                <w:rFonts w:ascii="Arial Narrow" w:hAnsi="Arial Narrow" w:cs="Times New Roman"/>
                <w:b/>
                <w:color w:val="1F497D" w:themeColor="text2"/>
                <w:sz w:val="24"/>
                <w:szCs w:val="24"/>
                <w:lang w:val="en-US"/>
              </w:rPr>
            </w:pPr>
            <w:r>
              <w:rPr>
                <w:rFonts w:ascii="Arial Narrow" w:hAnsi="Arial Narrow" w:cs="Times New Roman"/>
                <w:b/>
                <w:color w:val="1F497D" w:themeColor="text2"/>
                <w:sz w:val="24"/>
                <w:szCs w:val="24"/>
              </w:rPr>
              <w:t xml:space="preserve">Περιφερειακά Γραφεία </w:t>
            </w:r>
            <w:r>
              <w:rPr>
                <w:rFonts w:ascii="Arial Narrow" w:hAnsi="Arial Narrow" w:cs="Times New Roman"/>
                <w:b/>
                <w:color w:val="1F497D" w:themeColor="text2"/>
                <w:sz w:val="24"/>
                <w:szCs w:val="24"/>
                <w:lang w:val="en-US"/>
              </w:rPr>
              <w:t>GCC</w:t>
            </w:r>
          </w:p>
        </w:tc>
      </w:tr>
      <w:tr w:rsidR="00A914AD" w:rsidRPr="00A914AD" w14:paraId="3148E34E" w14:textId="77777777" w:rsidTr="00A914AD">
        <w:tc>
          <w:tcPr>
            <w:tcW w:w="5733" w:type="dxa"/>
          </w:tcPr>
          <w:p w14:paraId="43561217" w14:textId="430658B5" w:rsidR="00A914AD" w:rsidRPr="00A7533E" w:rsidRDefault="00A7533E" w:rsidP="00A914AD">
            <w:pPr>
              <w:rPr>
                <w:rFonts w:ascii="Arial Narrow" w:hAnsi="Arial Narrow" w:cs="Times New Roman"/>
                <w:b/>
                <w:color w:val="1F497D" w:themeColor="text2"/>
                <w:sz w:val="24"/>
                <w:szCs w:val="24"/>
              </w:rPr>
            </w:pPr>
            <w:r>
              <w:rPr>
                <w:rFonts w:ascii="Arial Narrow" w:hAnsi="Arial Narrow" w:cs="Times New Roman"/>
                <w:b/>
                <w:color w:val="1F497D" w:themeColor="text2"/>
                <w:sz w:val="24"/>
                <w:szCs w:val="24"/>
              </w:rPr>
              <w:t xml:space="preserve">Τουρισμός </w:t>
            </w:r>
          </w:p>
        </w:tc>
        <w:tc>
          <w:tcPr>
            <w:tcW w:w="4886" w:type="dxa"/>
          </w:tcPr>
          <w:p w14:paraId="5800C9C1" w14:textId="0E16B906" w:rsidR="00A914AD" w:rsidRPr="00A7533E" w:rsidRDefault="00A7533E" w:rsidP="00A914AD">
            <w:pPr>
              <w:rPr>
                <w:rFonts w:ascii="Arial Narrow" w:hAnsi="Arial Narrow" w:cs="Times New Roman"/>
                <w:b/>
                <w:color w:val="1F497D" w:themeColor="text2"/>
                <w:sz w:val="24"/>
                <w:szCs w:val="24"/>
                <w:lang w:val="en-US"/>
              </w:rPr>
            </w:pPr>
            <w:r>
              <w:rPr>
                <w:rFonts w:ascii="Arial Narrow" w:hAnsi="Arial Narrow" w:cs="Times New Roman"/>
                <w:b/>
                <w:color w:val="1F497D" w:themeColor="text2"/>
                <w:sz w:val="24"/>
                <w:szCs w:val="24"/>
                <w:lang w:val="en-US"/>
              </w:rPr>
              <w:t xml:space="preserve">Travel Management and Hospitality </w:t>
            </w:r>
          </w:p>
        </w:tc>
      </w:tr>
    </w:tbl>
    <w:p w14:paraId="202615C8" w14:textId="18C4D361" w:rsidR="00A914AD" w:rsidRDefault="00A914AD" w:rsidP="00A7533E">
      <w:pPr>
        <w:rPr>
          <w:rFonts w:ascii="Arial Narrow" w:hAnsi="Arial Narrow" w:cs="Times New Roman"/>
          <w:b/>
          <w:sz w:val="28"/>
          <w:szCs w:val="28"/>
        </w:rPr>
      </w:pPr>
    </w:p>
    <w:p w14:paraId="51EDEC8E" w14:textId="0CB055A9" w:rsidR="00A7533E" w:rsidRDefault="00A7533E" w:rsidP="00A7533E">
      <w:pPr>
        <w:rPr>
          <w:rFonts w:ascii="Arial Narrow" w:hAnsi="Arial Narrow" w:cs="Times New Roman"/>
          <w:b/>
          <w:color w:val="1F497D" w:themeColor="text2"/>
          <w:sz w:val="28"/>
          <w:szCs w:val="28"/>
        </w:rPr>
      </w:pPr>
      <w:r w:rsidRPr="00A7533E">
        <w:rPr>
          <w:rFonts w:ascii="Arial Narrow" w:hAnsi="Arial Narrow" w:cs="Times New Roman"/>
          <w:b/>
          <w:color w:val="1F497D" w:themeColor="text2"/>
          <w:sz w:val="28"/>
          <w:szCs w:val="28"/>
        </w:rPr>
        <w:t xml:space="preserve">6.4.7. Πλεονεκτήματα των ΗΑΕ για Έλληνες Επενδυτές </w:t>
      </w:r>
    </w:p>
    <w:p w14:paraId="4D779663" w14:textId="5A1F992D" w:rsidR="00BD5E99" w:rsidRDefault="00A7533E" w:rsidP="00BD5E99">
      <w:pPr>
        <w:jc w:val="both"/>
        <w:rPr>
          <w:rFonts w:ascii="Arial Narrow" w:hAnsi="Arial Narrow" w:cs="Times New Roman"/>
          <w:sz w:val="24"/>
          <w:szCs w:val="24"/>
        </w:rPr>
      </w:pPr>
      <w:r>
        <w:rPr>
          <w:rFonts w:ascii="Arial Narrow" w:hAnsi="Arial Narrow" w:cs="Times New Roman"/>
          <w:sz w:val="24"/>
          <w:szCs w:val="24"/>
        </w:rPr>
        <w:t>Φορολογικό περιβάλλον: εταιρικός φόρος 9% και εκτεταμένο δίκτυο συμβάσεων αποφυγής διπλής φορολογίας</w:t>
      </w:r>
      <w:r w:rsidR="00BD5E99">
        <w:rPr>
          <w:rFonts w:ascii="Arial Narrow" w:hAnsi="Arial Narrow" w:cs="Times New Roman"/>
          <w:sz w:val="24"/>
          <w:szCs w:val="24"/>
        </w:rPr>
        <w:t xml:space="preserve"> και </w:t>
      </w:r>
      <w:r w:rsidR="00BD5E99">
        <w:rPr>
          <w:rFonts w:ascii="Arial Narrow" w:hAnsi="Arial Narrow" w:cs="Times New Roman"/>
          <w:sz w:val="24"/>
          <w:szCs w:val="24"/>
          <w:lang w:val="en-US"/>
        </w:rPr>
        <w:t>Free</w:t>
      </w:r>
      <w:r w:rsidR="00BD5E99" w:rsidRPr="00BD5E99">
        <w:rPr>
          <w:rFonts w:ascii="Arial Narrow" w:hAnsi="Arial Narrow" w:cs="Times New Roman"/>
          <w:sz w:val="24"/>
          <w:szCs w:val="24"/>
        </w:rPr>
        <w:t xml:space="preserve"> </w:t>
      </w:r>
      <w:r w:rsidR="00BD5E99">
        <w:rPr>
          <w:rFonts w:ascii="Arial Narrow" w:hAnsi="Arial Narrow" w:cs="Times New Roman"/>
          <w:sz w:val="24"/>
          <w:szCs w:val="24"/>
          <w:lang w:val="en-US"/>
        </w:rPr>
        <w:t>Zones</w:t>
      </w:r>
      <w:r w:rsidR="00BD5E99" w:rsidRPr="00BD5E99">
        <w:rPr>
          <w:rFonts w:ascii="Arial Narrow" w:hAnsi="Arial Narrow" w:cs="Times New Roman"/>
          <w:sz w:val="24"/>
          <w:szCs w:val="24"/>
        </w:rPr>
        <w:t xml:space="preserve">. </w:t>
      </w:r>
      <w:r w:rsidR="00BD5E99">
        <w:rPr>
          <w:rFonts w:ascii="Arial Narrow" w:hAnsi="Arial Narrow" w:cs="Times New Roman"/>
          <w:sz w:val="24"/>
          <w:szCs w:val="24"/>
        </w:rPr>
        <w:t>Οι</w:t>
      </w:r>
      <w:r w:rsidR="00BD5E99" w:rsidRPr="000834C4">
        <w:rPr>
          <w:rFonts w:ascii="Arial Narrow" w:hAnsi="Arial Narrow" w:cs="Times New Roman"/>
          <w:sz w:val="24"/>
          <w:szCs w:val="24"/>
          <w:lang w:val="en-AE"/>
        </w:rPr>
        <w:t xml:space="preserve"> </w:t>
      </w:r>
      <w:r w:rsidR="00BD5E99">
        <w:rPr>
          <w:rFonts w:ascii="Arial Narrow" w:hAnsi="Arial Narrow" w:cs="Times New Roman"/>
          <w:sz w:val="24"/>
          <w:szCs w:val="24"/>
        </w:rPr>
        <w:t>ελληνικές</w:t>
      </w:r>
      <w:r w:rsidR="00BD5E99" w:rsidRPr="000834C4">
        <w:rPr>
          <w:rFonts w:ascii="Arial Narrow" w:hAnsi="Arial Narrow" w:cs="Times New Roman"/>
          <w:sz w:val="24"/>
          <w:szCs w:val="24"/>
          <w:lang w:val="en-AE"/>
        </w:rPr>
        <w:t xml:space="preserve"> </w:t>
      </w:r>
      <w:r w:rsidR="00BD5E99">
        <w:rPr>
          <w:rFonts w:ascii="Arial Narrow" w:hAnsi="Arial Narrow" w:cs="Times New Roman"/>
          <w:sz w:val="24"/>
          <w:szCs w:val="24"/>
        </w:rPr>
        <w:t>επιχειρήσεις</w:t>
      </w:r>
      <w:r w:rsidR="00BD5E99" w:rsidRPr="000834C4">
        <w:rPr>
          <w:rFonts w:ascii="Arial Narrow" w:hAnsi="Arial Narrow" w:cs="Times New Roman"/>
          <w:sz w:val="24"/>
          <w:szCs w:val="24"/>
          <w:lang w:val="en-AE"/>
        </w:rPr>
        <w:t xml:space="preserve"> </w:t>
      </w:r>
      <w:r w:rsidR="00BD5E99">
        <w:rPr>
          <w:rFonts w:ascii="Arial Narrow" w:hAnsi="Arial Narrow" w:cs="Times New Roman"/>
          <w:sz w:val="24"/>
          <w:szCs w:val="24"/>
        </w:rPr>
        <w:t>αξιοποιούν</w:t>
      </w:r>
      <w:r w:rsidR="00BD5E99" w:rsidRPr="000834C4">
        <w:rPr>
          <w:rFonts w:ascii="Arial Narrow" w:hAnsi="Arial Narrow" w:cs="Times New Roman"/>
          <w:sz w:val="24"/>
          <w:szCs w:val="24"/>
          <w:lang w:val="en-AE"/>
        </w:rPr>
        <w:t xml:space="preserve"> </w:t>
      </w:r>
      <w:r w:rsidR="00BD5E99">
        <w:rPr>
          <w:rFonts w:ascii="Arial Narrow" w:hAnsi="Arial Narrow" w:cs="Times New Roman"/>
          <w:sz w:val="24"/>
          <w:szCs w:val="24"/>
        </w:rPr>
        <w:t>κυρίως</w:t>
      </w:r>
      <w:r w:rsidR="00BD5E99" w:rsidRPr="000834C4">
        <w:rPr>
          <w:rFonts w:ascii="Arial Narrow" w:hAnsi="Arial Narrow" w:cs="Times New Roman"/>
          <w:sz w:val="24"/>
          <w:szCs w:val="24"/>
          <w:lang w:val="en-AE"/>
        </w:rPr>
        <w:t xml:space="preserve"> </w:t>
      </w:r>
      <w:r w:rsidR="00BD5E99">
        <w:rPr>
          <w:rFonts w:ascii="Arial Narrow" w:hAnsi="Arial Narrow" w:cs="Times New Roman"/>
          <w:sz w:val="24"/>
          <w:szCs w:val="24"/>
          <w:lang w:val="en-US"/>
        </w:rPr>
        <w:t>DUBAI</w:t>
      </w:r>
      <w:r w:rsidR="00BD5E99" w:rsidRPr="000834C4">
        <w:rPr>
          <w:rFonts w:ascii="Arial Narrow" w:hAnsi="Arial Narrow" w:cs="Times New Roman"/>
          <w:sz w:val="24"/>
          <w:szCs w:val="24"/>
          <w:lang w:val="en-AE"/>
        </w:rPr>
        <w:t xml:space="preserve"> </w:t>
      </w:r>
      <w:r w:rsidR="00BD5E99">
        <w:rPr>
          <w:rFonts w:ascii="Arial Narrow" w:hAnsi="Arial Narrow" w:cs="Times New Roman"/>
          <w:sz w:val="24"/>
          <w:szCs w:val="24"/>
          <w:lang w:val="en-US"/>
        </w:rPr>
        <w:t>MULTI</w:t>
      </w:r>
      <w:r w:rsidR="00BD5E99" w:rsidRPr="000834C4">
        <w:rPr>
          <w:rFonts w:ascii="Arial Narrow" w:hAnsi="Arial Narrow" w:cs="Times New Roman"/>
          <w:sz w:val="24"/>
          <w:szCs w:val="24"/>
          <w:lang w:val="en-AE"/>
        </w:rPr>
        <w:t xml:space="preserve"> </w:t>
      </w:r>
      <w:r w:rsidR="00BD5E99">
        <w:rPr>
          <w:rFonts w:ascii="Arial Narrow" w:hAnsi="Arial Narrow" w:cs="Times New Roman"/>
          <w:sz w:val="24"/>
          <w:szCs w:val="24"/>
          <w:lang w:val="en-US"/>
        </w:rPr>
        <w:t>COMMODITIES</w:t>
      </w:r>
      <w:r w:rsidR="00BD5E99" w:rsidRPr="000834C4">
        <w:rPr>
          <w:rFonts w:ascii="Arial Narrow" w:hAnsi="Arial Narrow" w:cs="Times New Roman"/>
          <w:sz w:val="24"/>
          <w:szCs w:val="24"/>
          <w:lang w:val="en-AE"/>
        </w:rPr>
        <w:t xml:space="preserve"> </w:t>
      </w:r>
      <w:r w:rsidR="00BD5E99">
        <w:rPr>
          <w:rFonts w:ascii="Arial Narrow" w:hAnsi="Arial Narrow" w:cs="Times New Roman"/>
          <w:sz w:val="24"/>
          <w:szCs w:val="24"/>
          <w:lang w:val="en-US"/>
        </w:rPr>
        <w:t>CENTER</w:t>
      </w:r>
      <w:r w:rsidR="00BD5E99" w:rsidRPr="000834C4">
        <w:rPr>
          <w:rFonts w:ascii="Arial Narrow" w:hAnsi="Arial Narrow" w:cs="Times New Roman"/>
          <w:sz w:val="24"/>
          <w:szCs w:val="24"/>
          <w:lang w:val="en-AE"/>
        </w:rPr>
        <w:t xml:space="preserve">, </w:t>
      </w:r>
      <w:r w:rsidR="00BD5E99">
        <w:rPr>
          <w:rFonts w:ascii="Arial Narrow" w:hAnsi="Arial Narrow" w:cs="Times New Roman"/>
          <w:sz w:val="24"/>
          <w:szCs w:val="24"/>
          <w:lang w:val="en-US"/>
        </w:rPr>
        <w:t>DUBAI</w:t>
      </w:r>
      <w:r w:rsidR="00BD5E99" w:rsidRPr="000834C4">
        <w:rPr>
          <w:rFonts w:ascii="Arial Narrow" w:hAnsi="Arial Narrow" w:cs="Times New Roman"/>
          <w:sz w:val="24"/>
          <w:szCs w:val="24"/>
          <w:lang w:val="en-AE"/>
        </w:rPr>
        <w:t xml:space="preserve"> </w:t>
      </w:r>
      <w:r w:rsidR="00BD5E99">
        <w:rPr>
          <w:rFonts w:ascii="Arial Narrow" w:hAnsi="Arial Narrow" w:cs="Times New Roman"/>
          <w:sz w:val="24"/>
          <w:szCs w:val="24"/>
          <w:lang w:val="en-US"/>
        </w:rPr>
        <w:t>INTERNET</w:t>
      </w:r>
      <w:r w:rsidR="00BD5E99" w:rsidRPr="000834C4">
        <w:rPr>
          <w:rFonts w:ascii="Arial Narrow" w:hAnsi="Arial Narrow" w:cs="Times New Roman"/>
          <w:sz w:val="24"/>
          <w:szCs w:val="24"/>
          <w:lang w:val="en-AE"/>
        </w:rPr>
        <w:t xml:space="preserve"> </w:t>
      </w:r>
      <w:r w:rsidR="00BD5E99">
        <w:rPr>
          <w:rFonts w:ascii="Arial Narrow" w:hAnsi="Arial Narrow" w:cs="Times New Roman"/>
          <w:sz w:val="24"/>
          <w:szCs w:val="24"/>
          <w:lang w:val="en-US"/>
        </w:rPr>
        <w:t>CITY</w:t>
      </w:r>
      <w:r w:rsidR="00BD5E99" w:rsidRPr="000834C4">
        <w:rPr>
          <w:rFonts w:ascii="Arial Narrow" w:hAnsi="Arial Narrow" w:cs="Times New Roman"/>
          <w:sz w:val="24"/>
          <w:szCs w:val="24"/>
          <w:lang w:val="en-AE"/>
        </w:rPr>
        <w:t xml:space="preserve">, </w:t>
      </w:r>
      <w:r w:rsidR="00BD5E99">
        <w:rPr>
          <w:rFonts w:ascii="Arial Narrow" w:hAnsi="Arial Narrow" w:cs="Times New Roman"/>
          <w:sz w:val="24"/>
          <w:szCs w:val="24"/>
          <w:lang w:val="en-US"/>
        </w:rPr>
        <w:t>JEBEL</w:t>
      </w:r>
      <w:r w:rsidR="00BD5E99" w:rsidRPr="000834C4">
        <w:rPr>
          <w:rFonts w:ascii="Arial Narrow" w:hAnsi="Arial Narrow" w:cs="Times New Roman"/>
          <w:sz w:val="24"/>
          <w:szCs w:val="24"/>
          <w:lang w:val="en-AE"/>
        </w:rPr>
        <w:t xml:space="preserve"> </w:t>
      </w:r>
      <w:r w:rsidR="00BD5E99">
        <w:rPr>
          <w:rFonts w:ascii="Arial Narrow" w:hAnsi="Arial Narrow" w:cs="Times New Roman"/>
          <w:sz w:val="24"/>
          <w:szCs w:val="24"/>
          <w:lang w:val="en-US"/>
        </w:rPr>
        <w:t>ALI</w:t>
      </w:r>
      <w:r w:rsidR="00BD5E99" w:rsidRPr="000834C4">
        <w:rPr>
          <w:rFonts w:ascii="Arial Narrow" w:hAnsi="Arial Narrow" w:cs="Times New Roman"/>
          <w:sz w:val="24"/>
          <w:szCs w:val="24"/>
          <w:lang w:val="en-AE"/>
        </w:rPr>
        <w:t xml:space="preserve"> </w:t>
      </w:r>
      <w:r w:rsidR="00BD5E99">
        <w:rPr>
          <w:rFonts w:ascii="Arial Narrow" w:hAnsi="Arial Narrow" w:cs="Times New Roman"/>
          <w:sz w:val="24"/>
          <w:szCs w:val="24"/>
          <w:lang w:val="en-US"/>
        </w:rPr>
        <w:t>FREE</w:t>
      </w:r>
      <w:r w:rsidR="00BD5E99" w:rsidRPr="000834C4">
        <w:rPr>
          <w:rFonts w:ascii="Arial Narrow" w:hAnsi="Arial Narrow" w:cs="Times New Roman"/>
          <w:sz w:val="24"/>
          <w:szCs w:val="24"/>
          <w:lang w:val="en-AE"/>
        </w:rPr>
        <w:t xml:space="preserve"> </w:t>
      </w:r>
      <w:r w:rsidR="00BD5E99">
        <w:rPr>
          <w:rFonts w:ascii="Arial Narrow" w:hAnsi="Arial Narrow" w:cs="Times New Roman"/>
          <w:sz w:val="24"/>
          <w:szCs w:val="24"/>
          <w:lang w:val="en-US"/>
        </w:rPr>
        <w:t>ZONE</w:t>
      </w:r>
      <w:r w:rsidR="00BD5E99" w:rsidRPr="000834C4">
        <w:rPr>
          <w:rFonts w:ascii="Arial Narrow" w:hAnsi="Arial Narrow" w:cs="Times New Roman"/>
          <w:sz w:val="24"/>
          <w:szCs w:val="24"/>
          <w:lang w:val="en-AE"/>
        </w:rPr>
        <w:t xml:space="preserve">, </w:t>
      </w:r>
      <w:r w:rsidR="00BD5E99">
        <w:rPr>
          <w:rFonts w:ascii="Arial Narrow" w:hAnsi="Arial Narrow" w:cs="Times New Roman"/>
          <w:sz w:val="24"/>
          <w:szCs w:val="24"/>
          <w:lang w:val="en-US"/>
        </w:rPr>
        <w:t>ABU</w:t>
      </w:r>
      <w:r w:rsidR="00BD5E99" w:rsidRPr="000834C4">
        <w:rPr>
          <w:rFonts w:ascii="Arial Narrow" w:hAnsi="Arial Narrow" w:cs="Times New Roman"/>
          <w:sz w:val="24"/>
          <w:szCs w:val="24"/>
          <w:lang w:val="en-AE"/>
        </w:rPr>
        <w:t xml:space="preserve"> </w:t>
      </w:r>
      <w:r w:rsidR="00BD5E99">
        <w:rPr>
          <w:rFonts w:ascii="Arial Narrow" w:hAnsi="Arial Narrow" w:cs="Times New Roman"/>
          <w:sz w:val="24"/>
          <w:szCs w:val="24"/>
          <w:lang w:val="en-US"/>
        </w:rPr>
        <w:t>DHABI</w:t>
      </w:r>
      <w:r w:rsidR="00BD5E99" w:rsidRPr="000834C4">
        <w:rPr>
          <w:rFonts w:ascii="Arial Narrow" w:hAnsi="Arial Narrow" w:cs="Times New Roman"/>
          <w:sz w:val="24"/>
          <w:szCs w:val="24"/>
          <w:lang w:val="en-AE"/>
        </w:rPr>
        <w:t xml:space="preserve"> </w:t>
      </w:r>
      <w:r w:rsidR="00BD5E99">
        <w:rPr>
          <w:rFonts w:ascii="Arial Narrow" w:hAnsi="Arial Narrow" w:cs="Times New Roman"/>
          <w:sz w:val="24"/>
          <w:szCs w:val="24"/>
          <w:lang w:val="en-US"/>
        </w:rPr>
        <w:t>GLOBAL</w:t>
      </w:r>
      <w:r w:rsidR="00BD5E99" w:rsidRPr="000834C4">
        <w:rPr>
          <w:rFonts w:ascii="Arial Narrow" w:hAnsi="Arial Narrow" w:cs="Times New Roman"/>
          <w:sz w:val="24"/>
          <w:szCs w:val="24"/>
          <w:lang w:val="en-AE"/>
        </w:rPr>
        <w:t xml:space="preserve"> </w:t>
      </w:r>
      <w:r w:rsidR="00BD5E99">
        <w:rPr>
          <w:rFonts w:ascii="Arial Narrow" w:hAnsi="Arial Narrow" w:cs="Times New Roman"/>
          <w:sz w:val="24"/>
          <w:szCs w:val="24"/>
          <w:lang w:val="en-US"/>
        </w:rPr>
        <w:t>MARKET</w:t>
      </w:r>
      <w:r w:rsidR="00BD5E99" w:rsidRPr="000834C4">
        <w:rPr>
          <w:rFonts w:ascii="Arial Narrow" w:hAnsi="Arial Narrow" w:cs="Times New Roman"/>
          <w:sz w:val="24"/>
          <w:szCs w:val="24"/>
          <w:lang w:val="en-AE"/>
        </w:rPr>
        <w:t xml:space="preserve">. </w:t>
      </w:r>
      <w:r w:rsidR="00BD5E99">
        <w:rPr>
          <w:rFonts w:ascii="Arial Narrow" w:hAnsi="Arial Narrow" w:cs="Times New Roman"/>
          <w:sz w:val="24"/>
          <w:szCs w:val="24"/>
        </w:rPr>
        <w:t xml:space="preserve">Επίσης τα ΗΑΕ λειτουργούν ως βάση για </w:t>
      </w:r>
      <w:r w:rsidR="00BD5E99">
        <w:rPr>
          <w:rFonts w:ascii="Arial Narrow" w:hAnsi="Arial Narrow" w:cs="Times New Roman"/>
          <w:sz w:val="24"/>
          <w:szCs w:val="24"/>
          <w:lang w:val="en-US"/>
        </w:rPr>
        <w:t>GCC</w:t>
      </w:r>
      <w:r w:rsidR="00BD5E99" w:rsidRPr="00BD5E99">
        <w:rPr>
          <w:rFonts w:ascii="Arial Narrow" w:hAnsi="Arial Narrow" w:cs="Times New Roman"/>
          <w:sz w:val="24"/>
          <w:szCs w:val="24"/>
        </w:rPr>
        <w:t xml:space="preserve">, </w:t>
      </w:r>
      <w:r w:rsidR="00BD5E99">
        <w:rPr>
          <w:rFonts w:ascii="Arial Narrow" w:hAnsi="Arial Narrow" w:cs="Times New Roman"/>
          <w:sz w:val="24"/>
          <w:szCs w:val="24"/>
        </w:rPr>
        <w:t xml:space="preserve">Μέση Ανατολή, Αφρική &amp; Νότιο Ασία. </w:t>
      </w:r>
    </w:p>
    <w:p w14:paraId="09443D73" w14:textId="2AF48CEC" w:rsidR="00BD5E99" w:rsidRPr="002A5419" w:rsidRDefault="002A5419" w:rsidP="002A5419">
      <w:pPr>
        <w:jc w:val="center"/>
        <w:rPr>
          <w:rFonts w:ascii="Arial Narrow" w:hAnsi="Arial Narrow" w:cs="Times New Roman"/>
          <w:b/>
          <w:color w:val="4F81BD" w:themeColor="accent1"/>
          <w:sz w:val="28"/>
          <w:szCs w:val="28"/>
        </w:rPr>
      </w:pPr>
      <w:r>
        <w:rPr>
          <w:rFonts w:ascii="Arial Narrow" w:hAnsi="Arial Narrow" w:cs="Times New Roman"/>
          <w:b/>
          <w:color w:val="4F81BD" w:themeColor="accent1"/>
          <w:sz w:val="28"/>
          <w:szCs w:val="28"/>
        </w:rPr>
        <w:t xml:space="preserve">ΠΙΝΑΚΑΣ </w:t>
      </w:r>
      <w:r w:rsidR="008E0187">
        <w:rPr>
          <w:rFonts w:ascii="Arial Narrow" w:hAnsi="Arial Narrow" w:cs="Times New Roman"/>
          <w:b/>
          <w:color w:val="4F81BD" w:themeColor="accent1"/>
          <w:sz w:val="28"/>
          <w:szCs w:val="28"/>
        </w:rPr>
        <w:t>28</w:t>
      </w:r>
      <w:r>
        <w:rPr>
          <w:rFonts w:ascii="Arial Narrow" w:hAnsi="Arial Narrow" w:cs="Times New Roman"/>
          <w:b/>
          <w:color w:val="4F81BD" w:themeColor="accent1"/>
          <w:sz w:val="28"/>
          <w:szCs w:val="28"/>
        </w:rPr>
        <w:t xml:space="preserve"> - </w:t>
      </w:r>
      <w:r w:rsidR="00BD5E99" w:rsidRPr="002A5419">
        <w:rPr>
          <w:rFonts w:ascii="Arial Narrow" w:hAnsi="Arial Narrow" w:cs="Times New Roman"/>
          <w:b/>
          <w:color w:val="4F81BD" w:themeColor="accent1"/>
          <w:sz w:val="28"/>
          <w:szCs w:val="28"/>
        </w:rPr>
        <w:t>6.4.8. Εμπόδια και Προκλήσεις</w:t>
      </w:r>
    </w:p>
    <w:tbl>
      <w:tblPr>
        <w:tblStyle w:val="TableGrid"/>
        <w:tblW w:w="0" w:type="auto"/>
        <w:tblLook w:val="04A0" w:firstRow="1" w:lastRow="0" w:firstColumn="1" w:lastColumn="0" w:noHBand="0" w:noVBand="1"/>
      </w:tblPr>
      <w:tblGrid>
        <w:gridCol w:w="4885"/>
        <w:gridCol w:w="4886"/>
      </w:tblGrid>
      <w:tr w:rsidR="00BD5E99" w:rsidRPr="002A5419" w14:paraId="34CAF71B" w14:textId="77777777" w:rsidTr="00BD5E99">
        <w:tc>
          <w:tcPr>
            <w:tcW w:w="4885" w:type="dxa"/>
          </w:tcPr>
          <w:p w14:paraId="139DFA25" w14:textId="31244675" w:rsidR="00BD5E99" w:rsidRPr="002A5419" w:rsidRDefault="00BD5E99" w:rsidP="00BD5E99">
            <w:pPr>
              <w:jc w:val="both"/>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Παράγοντας</w:t>
            </w:r>
          </w:p>
        </w:tc>
        <w:tc>
          <w:tcPr>
            <w:tcW w:w="4886" w:type="dxa"/>
          </w:tcPr>
          <w:p w14:paraId="2E92120B" w14:textId="0961DCC0" w:rsidR="00BD5E99" w:rsidRPr="002A5419" w:rsidRDefault="00BD5E99" w:rsidP="00BD5E99">
            <w:pPr>
              <w:jc w:val="both"/>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Βαθμός</w:t>
            </w:r>
          </w:p>
        </w:tc>
      </w:tr>
      <w:tr w:rsidR="00BD5E99" w:rsidRPr="002A5419" w14:paraId="68AF4A16" w14:textId="77777777" w:rsidTr="00BD5E99">
        <w:tc>
          <w:tcPr>
            <w:tcW w:w="4885" w:type="dxa"/>
          </w:tcPr>
          <w:p w14:paraId="697688BE" w14:textId="3750B15A" w:rsidR="00BD5E99" w:rsidRPr="002A5419" w:rsidRDefault="00BD5E99" w:rsidP="00BD5E99">
            <w:pPr>
              <w:jc w:val="both"/>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 xml:space="preserve">Ανταγωνισμός Πολυεθνικών </w:t>
            </w:r>
          </w:p>
        </w:tc>
        <w:tc>
          <w:tcPr>
            <w:tcW w:w="4886" w:type="dxa"/>
          </w:tcPr>
          <w:p w14:paraId="0368DB3C" w14:textId="24880DFC" w:rsidR="00BD5E99" w:rsidRPr="002A5419" w:rsidRDefault="00BD5E99" w:rsidP="00BD5E99">
            <w:pPr>
              <w:jc w:val="both"/>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 xml:space="preserve">Υψηλός </w:t>
            </w:r>
          </w:p>
        </w:tc>
      </w:tr>
      <w:tr w:rsidR="00BD5E99" w:rsidRPr="002A5419" w14:paraId="3D8F3788" w14:textId="77777777" w:rsidTr="00BD5E99">
        <w:tc>
          <w:tcPr>
            <w:tcW w:w="4885" w:type="dxa"/>
          </w:tcPr>
          <w:p w14:paraId="27BA1E29" w14:textId="66436141" w:rsidR="00BD5E99" w:rsidRPr="002A5419" w:rsidRDefault="00BD5E99" w:rsidP="00BD5E99">
            <w:pPr>
              <w:jc w:val="both"/>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 xml:space="preserve">Απαιτήσεις τοπικής αγοράς </w:t>
            </w:r>
          </w:p>
        </w:tc>
        <w:tc>
          <w:tcPr>
            <w:tcW w:w="4886" w:type="dxa"/>
          </w:tcPr>
          <w:p w14:paraId="2A23E183" w14:textId="41525D16" w:rsidR="00BD5E99" w:rsidRPr="002A5419" w:rsidRDefault="00BD5E99" w:rsidP="00BD5E99">
            <w:pPr>
              <w:jc w:val="both"/>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 xml:space="preserve">Μεσαίος </w:t>
            </w:r>
          </w:p>
        </w:tc>
      </w:tr>
      <w:tr w:rsidR="00BD5E99" w:rsidRPr="002A5419" w14:paraId="71258350" w14:textId="77777777" w:rsidTr="00BD5E99">
        <w:tc>
          <w:tcPr>
            <w:tcW w:w="4885" w:type="dxa"/>
          </w:tcPr>
          <w:p w14:paraId="3A52272F" w14:textId="7747CA6E" w:rsidR="00BD5E99" w:rsidRPr="002A5419" w:rsidRDefault="00BD5E99" w:rsidP="00BD5E99">
            <w:pPr>
              <w:jc w:val="both"/>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 xml:space="preserve">Κόστος ανθρώπινου δυναμικού </w:t>
            </w:r>
          </w:p>
        </w:tc>
        <w:tc>
          <w:tcPr>
            <w:tcW w:w="4886" w:type="dxa"/>
          </w:tcPr>
          <w:p w14:paraId="7CB61A8D" w14:textId="66805FEB" w:rsidR="00BD5E99" w:rsidRPr="002A5419" w:rsidRDefault="00BD5E99" w:rsidP="00BD5E99">
            <w:pPr>
              <w:jc w:val="both"/>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 xml:space="preserve">Μεσαίος </w:t>
            </w:r>
          </w:p>
        </w:tc>
      </w:tr>
      <w:tr w:rsidR="00BD5E99" w:rsidRPr="002A5419" w14:paraId="40D8C901" w14:textId="77777777" w:rsidTr="00BD5E99">
        <w:tc>
          <w:tcPr>
            <w:tcW w:w="4885" w:type="dxa"/>
          </w:tcPr>
          <w:p w14:paraId="472B8A13" w14:textId="2C1C7DB1" w:rsidR="00BD5E99" w:rsidRPr="002A5419" w:rsidRDefault="00BD5E99" w:rsidP="00BD5E99">
            <w:pPr>
              <w:jc w:val="both"/>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Ρυθμιστικές διαδικασίες</w:t>
            </w:r>
          </w:p>
        </w:tc>
        <w:tc>
          <w:tcPr>
            <w:tcW w:w="4886" w:type="dxa"/>
          </w:tcPr>
          <w:p w14:paraId="6C5CD809" w14:textId="2793D287" w:rsidR="00BD5E99" w:rsidRPr="002A5419" w:rsidRDefault="00BD5E99" w:rsidP="00BD5E99">
            <w:pPr>
              <w:jc w:val="both"/>
              <w:rPr>
                <w:rFonts w:ascii="Arial Narrow" w:hAnsi="Arial Narrow" w:cs="Times New Roman"/>
                <w:b/>
                <w:color w:val="4F81BD" w:themeColor="accent1"/>
                <w:sz w:val="24"/>
                <w:szCs w:val="24"/>
              </w:rPr>
            </w:pPr>
            <w:r w:rsidRPr="002A5419">
              <w:rPr>
                <w:rFonts w:ascii="Arial Narrow" w:hAnsi="Arial Narrow" w:cs="Times New Roman"/>
                <w:b/>
                <w:color w:val="4F81BD" w:themeColor="accent1"/>
                <w:sz w:val="24"/>
                <w:szCs w:val="24"/>
              </w:rPr>
              <w:t xml:space="preserve">Χαμηλός – Μεσαίος </w:t>
            </w:r>
          </w:p>
        </w:tc>
      </w:tr>
    </w:tbl>
    <w:p w14:paraId="5D69979A" w14:textId="595774AF" w:rsidR="005603A5" w:rsidRPr="002A5419" w:rsidRDefault="005603A5" w:rsidP="005603A5">
      <w:pPr>
        <w:rPr>
          <w:rFonts w:ascii="Arial Narrow" w:hAnsi="Arial Narrow" w:cs="Times New Roman"/>
          <w:b/>
          <w:color w:val="4F81BD" w:themeColor="accent1"/>
          <w:sz w:val="28"/>
          <w:szCs w:val="28"/>
        </w:rPr>
      </w:pPr>
    </w:p>
    <w:p w14:paraId="0B244FC5" w14:textId="5F1C2681" w:rsidR="00414204" w:rsidRDefault="00414204" w:rsidP="005603A5">
      <w:pPr>
        <w:rPr>
          <w:rFonts w:ascii="Arial Narrow" w:hAnsi="Arial Narrow" w:cs="Times New Roman"/>
          <w:b/>
          <w:color w:val="1F497D" w:themeColor="text2"/>
          <w:sz w:val="28"/>
          <w:szCs w:val="28"/>
        </w:rPr>
      </w:pPr>
      <w:r w:rsidRPr="00414204">
        <w:rPr>
          <w:rFonts w:ascii="Arial Narrow" w:hAnsi="Arial Narrow" w:cs="Times New Roman"/>
          <w:b/>
          <w:color w:val="1F497D" w:themeColor="text2"/>
          <w:sz w:val="28"/>
          <w:szCs w:val="28"/>
        </w:rPr>
        <w:t xml:space="preserve">6.4.8. Προοπτικές 2026-2030 </w:t>
      </w:r>
    </w:p>
    <w:p w14:paraId="55FDFD4D" w14:textId="28BBE9FD" w:rsidR="00414204" w:rsidRDefault="00414204" w:rsidP="00414204">
      <w:pPr>
        <w:jc w:val="both"/>
        <w:rPr>
          <w:rFonts w:ascii="Arial Narrow" w:hAnsi="Arial Narrow" w:cs="Times New Roman"/>
          <w:sz w:val="24"/>
          <w:szCs w:val="24"/>
        </w:rPr>
      </w:pPr>
      <w:r>
        <w:rPr>
          <w:rFonts w:ascii="Arial Narrow" w:hAnsi="Arial Narrow" w:cs="Times New Roman"/>
          <w:sz w:val="24"/>
          <w:szCs w:val="24"/>
        </w:rPr>
        <w:t xml:space="preserve">Οι τομείς με τις μεγαλύτερες προοπτικές ελληνικών επενδύσεων είναι Ανανεώσιμες Πηγές Ενέργειας (ΑΠΕ),  Πράσινο Υδρογόνο, Τεχνητή Νοημοσύνη, </w:t>
      </w:r>
      <w:r w:rsidR="008A1B4E">
        <w:rPr>
          <w:rFonts w:ascii="Arial Narrow" w:hAnsi="Arial Narrow" w:cs="Times New Roman"/>
          <w:sz w:val="24"/>
          <w:szCs w:val="24"/>
          <w:lang w:val="en-US"/>
        </w:rPr>
        <w:t>FinTech</w:t>
      </w:r>
      <w:r w:rsidR="008A1B4E" w:rsidRPr="008A1B4E">
        <w:rPr>
          <w:rFonts w:ascii="Arial Narrow" w:hAnsi="Arial Narrow" w:cs="Times New Roman"/>
          <w:sz w:val="24"/>
          <w:szCs w:val="24"/>
        </w:rPr>
        <w:t xml:space="preserve">, </w:t>
      </w:r>
      <w:r w:rsidR="008A1B4E">
        <w:rPr>
          <w:rFonts w:ascii="Arial Narrow" w:hAnsi="Arial Narrow" w:cs="Times New Roman"/>
          <w:sz w:val="24"/>
          <w:szCs w:val="24"/>
          <w:lang w:val="en-US"/>
        </w:rPr>
        <w:t>Logistics</w:t>
      </w:r>
      <w:r w:rsidR="008A1B4E" w:rsidRPr="008A1B4E">
        <w:rPr>
          <w:rFonts w:ascii="Arial Narrow" w:hAnsi="Arial Narrow" w:cs="Times New Roman"/>
          <w:sz w:val="24"/>
          <w:szCs w:val="24"/>
        </w:rPr>
        <w:t xml:space="preserve">, </w:t>
      </w:r>
      <w:r w:rsidR="00DE4223">
        <w:rPr>
          <w:rFonts w:ascii="Arial Narrow" w:hAnsi="Arial Narrow" w:cs="Times New Roman"/>
          <w:sz w:val="24"/>
          <w:szCs w:val="24"/>
        </w:rPr>
        <w:t xml:space="preserve">Ναυτιλιακή Τεχνολογία, Αγροτεχνολογία, Φαρμακευτική Βιομηχανία, Τουριστικές επενδύσεις και </w:t>
      </w:r>
      <w:r w:rsidR="00DE4223">
        <w:rPr>
          <w:rFonts w:ascii="Arial Narrow" w:hAnsi="Arial Narrow" w:cs="Times New Roman"/>
          <w:sz w:val="24"/>
          <w:szCs w:val="24"/>
          <w:lang w:val="en-US"/>
        </w:rPr>
        <w:t>Data</w:t>
      </w:r>
      <w:r w:rsidR="00DE4223" w:rsidRPr="00DE4223">
        <w:rPr>
          <w:rFonts w:ascii="Arial Narrow" w:hAnsi="Arial Narrow" w:cs="Times New Roman"/>
          <w:sz w:val="24"/>
          <w:szCs w:val="24"/>
        </w:rPr>
        <w:t xml:space="preserve"> </w:t>
      </w:r>
      <w:r w:rsidR="00DE4223">
        <w:rPr>
          <w:rFonts w:ascii="Arial Narrow" w:hAnsi="Arial Narrow" w:cs="Times New Roman"/>
          <w:sz w:val="24"/>
          <w:szCs w:val="24"/>
          <w:lang w:val="en-US"/>
        </w:rPr>
        <w:t>Centers</w:t>
      </w:r>
      <w:r w:rsidR="00DE4223" w:rsidRPr="00DE4223">
        <w:rPr>
          <w:rFonts w:ascii="Arial Narrow" w:hAnsi="Arial Narrow" w:cs="Times New Roman"/>
          <w:sz w:val="24"/>
          <w:szCs w:val="24"/>
        </w:rPr>
        <w:t>.</w:t>
      </w:r>
    </w:p>
    <w:p w14:paraId="72AB243E" w14:textId="3593CDB8" w:rsidR="006F4630" w:rsidRDefault="00DE4223" w:rsidP="00414204">
      <w:pPr>
        <w:jc w:val="both"/>
        <w:rPr>
          <w:rFonts w:ascii="Arial Narrow" w:hAnsi="Arial Narrow" w:cs="Times New Roman"/>
          <w:sz w:val="24"/>
          <w:szCs w:val="24"/>
        </w:rPr>
      </w:pPr>
      <w:r>
        <w:rPr>
          <w:rFonts w:ascii="Arial Narrow" w:hAnsi="Arial Narrow" w:cs="Times New Roman"/>
          <w:sz w:val="24"/>
          <w:szCs w:val="24"/>
        </w:rPr>
        <w:t>Παρόλο που οι ελληνικές επενδύσεις στα ΗΑΕ παραμένουν σημαντικά μικρότερες από τις επενδύσεις των ΗΑΕ στην Ελλάδα, παρουσιάζουν σταθερή ανοδική πορεία. Η ελληνική επιχειρηματική παρουσία έχει πλέον αποκτήσει μόνιμα χαρακτηριστικά, με ιδιαίτερη δυναμική στους τομείς της ναυτιλίας, των κατασκευών, της τεχνολογίας, των φαρμάκων και των τροφίμων. Τα ΗΑΕ αποτελούν σήμερα τον σημαντικότερο επενδυτικό και επιχειρηματικό κόμβο για τις ελληνικές επιχειρήσεις στη Μέση Ανατολή.</w:t>
      </w:r>
    </w:p>
    <w:p w14:paraId="3A854309" w14:textId="390DCD99" w:rsidR="00817F84" w:rsidRDefault="00817F84" w:rsidP="00817F84">
      <w:pPr>
        <w:jc w:val="center"/>
        <w:rPr>
          <w:rFonts w:ascii="Arial Narrow" w:hAnsi="Arial Narrow" w:cs="Times New Roman"/>
          <w:b/>
          <w:color w:val="4F81BD" w:themeColor="accent1"/>
          <w:sz w:val="28"/>
          <w:szCs w:val="28"/>
        </w:rPr>
      </w:pPr>
      <w:r w:rsidRPr="00817F84">
        <w:rPr>
          <w:rFonts w:ascii="Arial Narrow" w:hAnsi="Arial Narrow" w:cs="Times New Roman"/>
          <w:b/>
          <w:color w:val="4F81BD" w:themeColor="accent1"/>
          <w:sz w:val="28"/>
          <w:szCs w:val="28"/>
        </w:rPr>
        <w:t>7. ΕΠΕΝΔΥΣΕΙΣ ΤΩΝ ΗΝΩΜΕΝΩΝ ΑΡΑΒΙΚΩΝ ΕΜΙΡΑΤΩΝ ΣΤΗΝ ΕΛΛΑΔΑ</w:t>
      </w:r>
    </w:p>
    <w:p w14:paraId="61953E52" w14:textId="04823B75" w:rsidR="00817F84" w:rsidRDefault="00D24999" w:rsidP="00D24999">
      <w:pPr>
        <w:jc w:val="both"/>
        <w:rPr>
          <w:rFonts w:ascii="Arial Narrow" w:hAnsi="Arial Narrow" w:cs="Times New Roman"/>
          <w:sz w:val="24"/>
          <w:szCs w:val="24"/>
        </w:rPr>
      </w:pPr>
      <w:r>
        <w:rPr>
          <w:rFonts w:ascii="Arial Narrow" w:hAnsi="Arial Narrow" w:cs="Times New Roman"/>
          <w:sz w:val="24"/>
          <w:szCs w:val="24"/>
        </w:rPr>
        <w:t xml:space="preserve">Τα Ηνωμένα Αραβικά Εμιράτα αποτελούν έναν από τους σημαντικότερους στρατηγικούς επενδυτικούς εταίρους της Ελλάδας στη περιοχή της Μέσης Ανατολής. Η οικονομική συνεργασία ενισχύθηκε σημαντικά μετά την υπογραφή της Στρατηγικής Εταιρικής Σχέσης Ελλάδας – ΗΑΕ το 2020 και τη δημιουργία κοινού επενδυτικού πλαισίου πολλών δις Ευρώ. Το 2022 η επενδυτική εταιρεία του Αμπου – Ντάμπι </w:t>
      </w:r>
      <w:r>
        <w:rPr>
          <w:rFonts w:ascii="Arial Narrow" w:hAnsi="Arial Narrow" w:cs="Times New Roman"/>
          <w:sz w:val="24"/>
          <w:szCs w:val="24"/>
          <w:lang w:val="en-US"/>
        </w:rPr>
        <w:t>ADQ</w:t>
      </w:r>
      <w:r w:rsidRPr="00ED388E">
        <w:rPr>
          <w:rFonts w:ascii="Arial Narrow" w:hAnsi="Arial Narrow" w:cs="Times New Roman"/>
          <w:sz w:val="24"/>
          <w:szCs w:val="24"/>
        </w:rPr>
        <w:t xml:space="preserve"> </w:t>
      </w:r>
      <w:r w:rsidR="00ED388E">
        <w:rPr>
          <w:rFonts w:ascii="Arial Narrow" w:hAnsi="Arial Narrow" w:cs="Times New Roman"/>
          <w:sz w:val="24"/>
          <w:szCs w:val="24"/>
        </w:rPr>
        <w:t xml:space="preserve">υπέγραψε Συμφωνία με την Ελληνική Αναπτυξιακή Τράπεζα και την Ελληνική Αναπτυξιακή Τράπεζα Επενδύσεων για επενδύσεις συνολικής αξίας 4 δις </w:t>
      </w:r>
      <w:r w:rsidR="005336EA">
        <w:rPr>
          <w:rFonts w:ascii="Arial Narrow" w:hAnsi="Arial Narrow" w:cs="Times New Roman"/>
          <w:sz w:val="24"/>
          <w:szCs w:val="24"/>
        </w:rPr>
        <w:t xml:space="preserve">€ στην ελληνική οικονομία. Οι Εμιρατινές αυτές Επενδύσεις κατευθύνονται προς τους εξής τομείς: Ανανεώσιμες Πηγές Ενέργειας, Υποδομές, Αγροδιατροφή και γεωργία, Τεχνολογία και ψηφιακή οικονομία, υγεία και βιοεπιστήμες, μεταφορές και </w:t>
      </w:r>
      <w:r w:rsidR="005336EA">
        <w:rPr>
          <w:rFonts w:ascii="Arial Narrow" w:hAnsi="Arial Narrow" w:cs="Times New Roman"/>
          <w:sz w:val="24"/>
          <w:szCs w:val="24"/>
          <w:lang w:val="en-US"/>
        </w:rPr>
        <w:t>logistics</w:t>
      </w:r>
      <w:r w:rsidR="005336EA" w:rsidRPr="005336EA">
        <w:rPr>
          <w:rFonts w:ascii="Arial Narrow" w:hAnsi="Arial Narrow" w:cs="Times New Roman"/>
          <w:sz w:val="24"/>
          <w:szCs w:val="24"/>
        </w:rPr>
        <w:t xml:space="preserve">, </w:t>
      </w:r>
      <w:r w:rsidR="005336EA">
        <w:rPr>
          <w:rFonts w:ascii="Arial Narrow" w:hAnsi="Arial Narrow" w:cs="Times New Roman"/>
          <w:sz w:val="24"/>
          <w:szCs w:val="24"/>
        </w:rPr>
        <w:t xml:space="preserve">τουρισμός και ακίνητα &amp; Βιομηχανία και προηγμένες τεχνολογίες. </w:t>
      </w:r>
    </w:p>
    <w:p w14:paraId="132FA763" w14:textId="2D2F618F" w:rsidR="005336EA" w:rsidRDefault="005336EA" w:rsidP="00D24999">
      <w:pPr>
        <w:jc w:val="both"/>
        <w:rPr>
          <w:rFonts w:ascii="Arial Narrow" w:hAnsi="Arial Narrow" w:cs="Times New Roman"/>
          <w:b/>
          <w:color w:val="4F81BD" w:themeColor="accent1"/>
          <w:sz w:val="24"/>
          <w:szCs w:val="24"/>
        </w:rPr>
      </w:pPr>
      <w:r w:rsidRPr="005336EA">
        <w:rPr>
          <w:rFonts w:ascii="Arial Narrow" w:hAnsi="Arial Narrow" w:cs="Times New Roman"/>
          <w:b/>
          <w:color w:val="4F81BD" w:themeColor="accent1"/>
          <w:sz w:val="24"/>
          <w:szCs w:val="24"/>
        </w:rPr>
        <w:t xml:space="preserve">7.1. Ενέργεια και Ανανεώσιμες Πηγές Ενέργειας </w:t>
      </w:r>
    </w:p>
    <w:p w14:paraId="72F5150F" w14:textId="6F3DF879" w:rsidR="00A617C1" w:rsidRDefault="005336EA" w:rsidP="00D24999">
      <w:pPr>
        <w:jc w:val="both"/>
        <w:rPr>
          <w:rFonts w:ascii="Arial Narrow" w:hAnsi="Arial Narrow" w:cs="Times New Roman"/>
          <w:sz w:val="24"/>
          <w:szCs w:val="24"/>
        </w:rPr>
      </w:pPr>
      <w:r>
        <w:rPr>
          <w:rFonts w:ascii="Arial Narrow" w:hAnsi="Arial Narrow" w:cs="Times New Roman"/>
          <w:sz w:val="24"/>
          <w:szCs w:val="24"/>
        </w:rPr>
        <w:t xml:space="preserve">Ο ενεργειακός τομέας αποτελεί τον σημαντικότερο αποδέκτη επενδυτικού </w:t>
      </w:r>
      <w:r w:rsidR="000106BB">
        <w:rPr>
          <w:rFonts w:ascii="Arial Narrow" w:hAnsi="Arial Narrow" w:cs="Times New Roman"/>
          <w:sz w:val="24"/>
          <w:szCs w:val="24"/>
        </w:rPr>
        <w:t xml:space="preserve">ενδιαφέροντος των ΗΑΕ στην Ελλάδα. Η </w:t>
      </w:r>
      <w:r w:rsidR="000106BB">
        <w:rPr>
          <w:rFonts w:ascii="Arial Narrow" w:hAnsi="Arial Narrow" w:cs="Times New Roman"/>
          <w:sz w:val="24"/>
          <w:szCs w:val="24"/>
          <w:lang w:val="en-US"/>
        </w:rPr>
        <w:t>Masdar</w:t>
      </w:r>
      <w:r w:rsidR="000106BB" w:rsidRPr="000106BB">
        <w:rPr>
          <w:rFonts w:ascii="Arial Narrow" w:hAnsi="Arial Narrow" w:cs="Times New Roman"/>
          <w:sz w:val="24"/>
          <w:szCs w:val="24"/>
        </w:rPr>
        <w:t xml:space="preserve">, </w:t>
      </w:r>
      <w:r w:rsidR="000106BB">
        <w:rPr>
          <w:rFonts w:ascii="Arial Narrow" w:hAnsi="Arial Narrow" w:cs="Times New Roman"/>
          <w:sz w:val="24"/>
          <w:szCs w:val="24"/>
        </w:rPr>
        <w:t xml:space="preserve">κοφυραία εταιρεία καθαρής ενέργειας του Άμπου – Ντάμπι, πραγματοποίησε τη πρώτη της επένδυση στην Ελλάδα το 2021 μέσω φωτοβολταϊκού πάρκου 65 </w:t>
      </w:r>
      <w:r w:rsidR="000106BB">
        <w:rPr>
          <w:rFonts w:ascii="Arial Narrow" w:hAnsi="Arial Narrow" w:cs="Times New Roman"/>
          <w:sz w:val="24"/>
          <w:szCs w:val="24"/>
          <w:lang w:val="en-US"/>
        </w:rPr>
        <w:t>MW</w:t>
      </w:r>
      <w:r w:rsidR="000106BB" w:rsidRPr="000106BB">
        <w:rPr>
          <w:rFonts w:ascii="Arial Narrow" w:hAnsi="Arial Narrow" w:cs="Times New Roman"/>
          <w:sz w:val="24"/>
          <w:szCs w:val="24"/>
        </w:rPr>
        <w:t xml:space="preserve"> </w:t>
      </w:r>
      <w:r w:rsidR="00A617C1">
        <w:rPr>
          <w:rFonts w:ascii="Arial Narrow" w:hAnsi="Arial Narrow" w:cs="Times New Roman"/>
          <w:sz w:val="24"/>
          <w:szCs w:val="24"/>
        </w:rPr>
        <w:t xml:space="preserve">στη Βοιωτία. Εξαγορά της </w:t>
      </w:r>
      <w:r w:rsidR="00A617C1">
        <w:rPr>
          <w:rFonts w:ascii="Arial Narrow" w:hAnsi="Arial Narrow" w:cs="Times New Roman"/>
          <w:sz w:val="24"/>
          <w:szCs w:val="24"/>
          <w:lang w:val="en-US"/>
        </w:rPr>
        <w:t>TERNA</w:t>
      </w:r>
      <w:r w:rsidR="00A617C1" w:rsidRPr="00A617C1">
        <w:rPr>
          <w:rFonts w:ascii="Arial Narrow" w:hAnsi="Arial Narrow" w:cs="Times New Roman"/>
          <w:sz w:val="24"/>
          <w:szCs w:val="24"/>
        </w:rPr>
        <w:t xml:space="preserve"> </w:t>
      </w:r>
      <w:r w:rsidR="00A617C1">
        <w:rPr>
          <w:rFonts w:ascii="Arial Narrow" w:hAnsi="Arial Narrow" w:cs="Times New Roman"/>
          <w:sz w:val="24"/>
          <w:szCs w:val="24"/>
          <w:lang w:val="en-US"/>
        </w:rPr>
        <w:t>ENERGY</w:t>
      </w:r>
      <w:r w:rsidR="00A617C1" w:rsidRPr="00A617C1">
        <w:rPr>
          <w:rFonts w:ascii="Arial Narrow" w:hAnsi="Arial Narrow" w:cs="Times New Roman"/>
          <w:sz w:val="24"/>
          <w:szCs w:val="24"/>
        </w:rPr>
        <w:t xml:space="preserve">: </w:t>
      </w:r>
      <w:r w:rsidR="00A617C1">
        <w:rPr>
          <w:rFonts w:ascii="Arial Narrow" w:hAnsi="Arial Narrow" w:cs="Times New Roman"/>
          <w:sz w:val="24"/>
          <w:szCs w:val="24"/>
        </w:rPr>
        <w:t xml:space="preserve">η μεγαλύτερη επένδυση των ΗΑΕ στην Ελλάδα είναι η εξαγορά της </w:t>
      </w:r>
      <w:r w:rsidR="00A617C1">
        <w:rPr>
          <w:rFonts w:ascii="Arial Narrow" w:hAnsi="Arial Narrow" w:cs="Times New Roman"/>
          <w:sz w:val="24"/>
          <w:szCs w:val="24"/>
          <w:lang w:val="en-US"/>
        </w:rPr>
        <w:t>TERNA</w:t>
      </w:r>
      <w:r w:rsidR="00A617C1" w:rsidRPr="00A617C1">
        <w:rPr>
          <w:rFonts w:ascii="Arial Narrow" w:hAnsi="Arial Narrow" w:cs="Times New Roman"/>
          <w:sz w:val="24"/>
          <w:szCs w:val="24"/>
        </w:rPr>
        <w:t xml:space="preserve"> </w:t>
      </w:r>
      <w:r w:rsidR="00A617C1">
        <w:rPr>
          <w:rFonts w:ascii="Arial Narrow" w:hAnsi="Arial Narrow" w:cs="Times New Roman"/>
          <w:sz w:val="24"/>
          <w:szCs w:val="24"/>
          <w:lang w:val="en-US"/>
        </w:rPr>
        <w:t>ENERGY</w:t>
      </w:r>
      <w:r w:rsidR="00A617C1" w:rsidRPr="00A617C1">
        <w:rPr>
          <w:rFonts w:ascii="Arial Narrow" w:hAnsi="Arial Narrow" w:cs="Times New Roman"/>
          <w:sz w:val="24"/>
          <w:szCs w:val="24"/>
        </w:rPr>
        <w:t xml:space="preserve"> </w:t>
      </w:r>
      <w:r w:rsidR="00A617C1">
        <w:rPr>
          <w:rFonts w:ascii="Arial Narrow" w:hAnsi="Arial Narrow" w:cs="Times New Roman"/>
          <w:sz w:val="24"/>
          <w:szCs w:val="24"/>
        </w:rPr>
        <w:t xml:space="preserve">από την </w:t>
      </w:r>
      <w:r w:rsidR="00586E0A">
        <w:rPr>
          <w:rFonts w:ascii="Arial Narrow" w:hAnsi="Arial Narrow" w:cs="Times New Roman"/>
          <w:sz w:val="24"/>
          <w:szCs w:val="24"/>
          <w:lang w:val="en-US"/>
        </w:rPr>
        <w:t>Masdar</w:t>
      </w:r>
      <w:r w:rsidR="00586E0A" w:rsidRPr="00586E0A">
        <w:rPr>
          <w:rFonts w:ascii="Arial Narrow" w:hAnsi="Arial Narrow" w:cs="Times New Roman"/>
          <w:sz w:val="24"/>
          <w:szCs w:val="24"/>
        </w:rPr>
        <w:t xml:space="preserve">. </w:t>
      </w:r>
      <w:r w:rsidR="00586E0A">
        <w:rPr>
          <w:rFonts w:ascii="Arial Narrow" w:hAnsi="Arial Narrow" w:cs="Times New Roman"/>
          <w:sz w:val="24"/>
          <w:szCs w:val="24"/>
        </w:rPr>
        <w:t>Η αρχική εξαγορά πλειοψηφικού πακέτου έγινε το 2024 και η πλήρης εξαγορά το 2025, ενώ η επιχειρηματική αξία συναλλαγής ανήλθε περίπου στα 3,2 δις €</w:t>
      </w:r>
      <w:r w:rsidR="001A4356">
        <w:rPr>
          <w:rFonts w:ascii="Arial Narrow" w:hAnsi="Arial Narrow" w:cs="Times New Roman"/>
          <w:sz w:val="24"/>
          <w:szCs w:val="24"/>
        </w:rPr>
        <w:t xml:space="preserve">, αποτελεί μια από τις μεγαλύτερες επενδύσεις στον ευρωπαϊκό κλάδο ΑΠΕ τα τελευταία χρόνια. Η </w:t>
      </w:r>
      <w:r w:rsidR="001A4356">
        <w:rPr>
          <w:rFonts w:ascii="Arial Narrow" w:hAnsi="Arial Narrow" w:cs="Times New Roman"/>
          <w:sz w:val="24"/>
          <w:szCs w:val="24"/>
          <w:lang w:val="en-US"/>
        </w:rPr>
        <w:t>Masdar</w:t>
      </w:r>
      <w:r w:rsidR="001A4356" w:rsidRPr="001A4356">
        <w:rPr>
          <w:rFonts w:ascii="Arial Narrow" w:hAnsi="Arial Narrow" w:cs="Times New Roman"/>
          <w:sz w:val="24"/>
          <w:szCs w:val="24"/>
        </w:rPr>
        <w:t xml:space="preserve"> </w:t>
      </w:r>
      <w:r w:rsidR="001A4356">
        <w:rPr>
          <w:rFonts w:ascii="Arial Narrow" w:hAnsi="Arial Narrow" w:cs="Times New Roman"/>
          <w:sz w:val="24"/>
          <w:szCs w:val="24"/>
        </w:rPr>
        <w:t>συμμετέχει επίσης στην πρωτοβουλία «</w:t>
      </w:r>
      <w:r w:rsidR="001A4356">
        <w:rPr>
          <w:rFonts w:ascii="Arial Narrow" w:hAnsi="Arial Narrow" w:cs="Times New Roman"/>
          <w:sz w:val="24"/>
          <w:szCs w:val="24"/>
          <w:lang w:val="en-US"/>
        </w:rPr>
        <w:t>GR</w:t>
      </w:r>
      <w:r w:rsidR="001A4356" w:rsidRPr="001A4356">
        <w:rPr>
          <w:rFonts w:ascii="Arial Narrow" w:hAnsi="Arial Narrow" w:cs="Times New Roman"/>
          <w:sz w:val="24"/>
          <w:szCs w:val="24"/>
        </w:rPr>
        <w:t>-</w:t>
      </w:r>
      <w:r w:rsidR="001A4356">
        <w:rPr>
          <w:rFonts w:ascii="Arial Narrow" w:hAnsi="Arial Narrow" w:cs="Times New Roman"/>
          <w:sz w:val="24"/>
          <w:szCs w:val="24"/>
          <w:lang w:val="en-US"/>
        </w:rPr>
        <w:t>Ecco</w:t>
      </w:r>
      <w:r w:rsidR="001A4356" w:rsidRPr="001A4356">
        <w:rPr>
          <w:rFonts w:ascii="Arial Narrow" w:hAnsi="Arial Narrow" w:cs="Times New Roman"/>
          <w:sz w:val="24"/>
          <w:szCs w:val="24"/>
        </w:rPr>
        <w:t xml:space="preserve"> </w:t>
      </w:r>
      <w:r w:rsidR="001A4356">
        <w:rPr>
          <w:rFonts w:ascii="Arial Narrow" w:hAnsi="Arial Narrow" w:cs="Times New Roman"/>
          <w:sz w:val="24"/>
          <w:szCs w:val="24"/>
          <w:lang w:val="en-US"/>
        </w:rPr>
        <w:t>Island</w:t>
      </w:r>
      <w:r w:rsidR="001A4356">
        <w:rPr>
          <w:rFonts w:ascii="Arial Narrow" w:hAnsi="Arial Narrow" w:cs="Times New Roman"/>
          <w:sz w:val="24"/>
          <w:szCs w:val="24"/>
        </w:rPr>
        <w:t xml:space="preserve">» για τη βιώσιμη ενεργειακή μετάβαση ελληνικών πράσινων νησιών. </w:t>
      </w:r>
    </w:p>
    <w:p w14:paraId="37722B53" w14:textId="337675C9" w:rsidR="001A4356" w:rsidRDefault="001A4356" w:rsidP="00D24999">
      <w:pPr>
        <w:jc w:val="both"/>
        <w:rPr>
          <w:rFonts w:ascii="Arial Narrow" w:hAnsi="Arial Narrow" w:cs="Times New Roman"/>
          <w:b/>
          <w:color w:val="4F81BD" w:themeColor="accent1"/>
          <w:sz w:val="24"/>
          <w:szCs w:val="24"/>
        </w:rPr>
      </w:pPr>
      <w:r w:rsidRPr="001A4356">
        <w:rPr>
          <w:rFonts w:ascii="Arial Narrow" w:hAnsi="Arial Narrow" w:cs="Times New Roman"/>
          <w:b/>
          <w:color w:val="4F81BD" w:themeColor="accent1"/>
          <w:sz w:val="24"/>
          <w:szCs w:val="24"/>
        </w:rPr>
        <w:t xml:space="preserve">7.2. Υποδομές </w:t>
      </w:r>
    </w:p>
    <w:p w14:paraId="62917390" w14:textId="55A67DFA" w:rsidR="001A4356" w:rsidRDefault="001A4356" w:rsidP="00D24999">
      <w:pPr>
        <w:jc w:val="both"/>
        <w:rPr>
          <w:rFonts w:ascii="Arial Narrow" w:hAnsi="Arial Narrow" w:cs="Times New Roman"/>
          <w:sz w:val="24"/>
          <w:szCs w:val="24"/>
        </w:rPr>
      </w:pPr>
      <w:r>
        <w:rPr>
          <w:rFonts w:ascii="Arial Narrow" w:hAnsi="Arial Narrow" w:cs="Times New Roman"/>
          <w:sz w:val="24"/>
          <w:szCs w:val="24"/>
        </w:rPr>
        <w:t xml:space="preserve">Τα ΗΑΕ θεωρούν την Ελλάδα βασική πύλη εισόδου προς την ΕΕ. Οι επενδύσεις επικεντρώνονται σε λιμάνια, αεροδρόμια, </w:t>
      </w:r>
      <w:r>
        <w:rPr>
          <w:rFonts w:ascii="Arial Narrow" w:hAnsi="Arial Narrow" w:cs="Times New Roman"/>
          <w:sz w:val="24"/>
          <w:szCs w:val="24"/>
          <w:lang w:val="en-US"/>
        </w:rPr>
        <w:t>logistics</w:t>
      </w:r>
      <w:r w:rsidRPr="001A4356">
        <w:rPr>
          <w:rFonts w:ascii="Arial Narrow" w:hAnsi="Arial Narrow" w:cs="Times New Roman"/>
          <w:sz w:val="24"/>
          <w:szCs w:val="24"/>
        </w:rPr>
        <w:t xml:space="preserve"> </w:t>
      </w:r>
      <w:r>
        <w:rPr>
          <w:rFonts w:ascii="Arial Narrow" w:hAnsi="Arial Narrow" w:cs="Times New Roman"/>
          <w:sz w:val="24"/>
          <w:szCs w:val="24"/>
          <w:lang w:val="en-US"/>
        </w:rPr>
        <w:t>hubs</w:t>
      </w:r>
      <w:r w:rsidRPr="001A4356">
        <w:rPr>
          <w:rFonts w:ascii="Arial Narrow" w:hAnsi="Arial Narrow" w:cs="Times New Roman"/>
          <w:sz w:val="24"/>
          <w:szCs w:val="24"/>
        </w:rPr>
        <w:t xml:space="preserve">, </w:t>
      </w:r>
      <w:r>
        <w:rPr>
          <w:rFonts w:ascii="Arial Narrow" w:hAnsi="Arial Narrow" w:cs="Times New Roman"/>
          <w:sz w:val="24"/>
          <w:szCs w:val="24"/>
        </w:rPr>
        <w:t>ενεργειακά δίκτυα, αποθηκευτικούς χώρους και μεταφορικές υποδομές. Οι τομείς αυτοί περιλαμβάνονται ρητά στο κοινό επενδυτικό πρόγραμμα Ελλάδας – ΗΑΕ</w:t>
      </w:r>
    </w:p>
    <w:p w14:paraId="5BBDEE4A" w14:textId="5C9F4003" w:rsidR="001A4356" w:rsidRPr="006F4630" w:rsidRDefault="001A4356" w:rsidP="00D24999">
      <w:pPr>
        <w:jc w:val="both"/>
        <w:rPr>
          <w:rFonts w:ascii="Arial Narrow" w:hAnsi="Arial Narrow" w:cs="Times New Roman"/>
          <w:b/>
          <w:color w:val="4F81BD" w:themeColor="accent1"/>
          <w:sz w:val="24"/>
          <w:szCs w:val="24"/>
        </w:rPr>
      </w:pPr>
      <w:r w:rsidRPr="00B93C54">
        <w:rPr>
          <w:rFonts w:ascii="Arial Narrow" w:hAnsi="Arial Narrow" w:cs="Times New Roman"/>
          <w:b/>
          <w:color w:val="4F81BD" w:themeColor="accent1"/>
          <w:sz w:val="24"/>
          <w:szCs w:val="24"/>
        </w:rPr>
        <w:t>7.3. Τουρισ</w:t>
      </w:r>
      <w:r w:rsidR="00B93C54" w:rsidRPr="00B93C54">
        <w:rPr>
          <w:rFonts w:ascii="Arial Narrow" w:hAnsi="Arial Narrow" w:cs="Times New Roman"/>
          <w:b/>
          <w:color w:val="4F81BD" w:themeColor="accent1"/>
          <w:sz w:val="24"/>
          <w:szCs w:val="24"/>
        </w:rPr>
        <w:t xml:space="preserve">μός και </w:t>
      </w:r>
      <w:r w:rsidR="00B93C54" w:rsidRPr="00B93C54">
        <w:rPr>
          <w:rFonts w:ascii="Arial Narrow" w:hAnsi="Arial Narrow" w:cs="Times New Roman"/>
          <w:b/>
          <w:color w:val="4F81BD" w:themeColor="accent1"/>
          <w:sz w:val="24"/>
          <w:szCs w:val="24"/>
          <w:lang w:val="en-US"/>
        </w:rPr>
        <w:t>Real</w:t>
      </w:r>
      <w:r w:rsidR="00B93C54" w:rsidRPr="006F4630">
        <w:rPr>
          <w:rFonts w:ascii="Arial Narrow" w:hAnsi="Arial Narrow" w:cs="Times New Roman"/>
          <w:b/>
          <w:color w:val="4F81BD" w:themeColor="accent1"/>
          <w:sz w:val="24"/>
          <w:szCs w:val="24"/>
        </w:rPr>
        <w:t xml:space="preserve"> </w:t>
      </w:r>
      <w:r w:rsidR="00B93C54" w:rsidRPr="00B93C54">
        <w:rPr>
          <w:rFonts w:ascii="Arial Narrow" w:hAnsi="Arial Narrow" w:cs="Times New Roman"/>
          <w:b/>
          <w:color w:val="4F81BD" w:themeColor="accent1"/>
          <w:sz w:val="24"/>
          <w:szCs w:val="24"/>
          <w:lang w:val="en-US"/>
        </w:rPr>
        <w:t>Estate</w:t>
      </w:r>
    </w:p>
    <w:p w14:paraId="64679744" w14:textId="16CD4E63" w:rsidR="00B93C54" w:rsidRDefault="00B93C54" w:rsidP="00D24999">
      <w:pPr>
        <w:jc w:val="both"/>
        <w:rPr>
          <w:rFonts w:ascii="Arial Narrow" w:hAnsi="Arial Narrow" w:cs="Times New Roman"/>
          <w:b/>
          <w:color w:val="4F81BD" w:themeColor="accent1"/>
          <w:sz w:val="24"/>
          <w:szCs w:val="24"/>
        </w:rPr>
      </w:pPr>
      <w:r w:rsidRPr="006F4630">
        <w:rPr>
          <w:rFonts w:ascii="Arial Narrow" w:hAnsi="Arial Narrow" w:cs="Times New Roman"/>
          <w:b/>
          <w:color w:val="4F81BD" w:themeColor="accent1"/>
          <w:sz w:val="24"/>
          <w:szCs w:val="24"/>
        </w:rPr>
        <w:t xml:space="preserve">7.4. </w:t>
      </w:r>
      <w:r>
        <w:rPr>
          <w:rFonts w:ascii="Arial Narrow" w:hAnsi="Arial Narrow" w:cs="Times New Roman"/>
          <w:b/>
          <w:color w:val="4F81BD" w:themeColor="accent1"/>
          <w:sz w:val="24"/>
          <w:szCs w:val="24"/>
          <w:lang w:val="en-US"/>
        </w:rPr>
        <w:t>A</w:t>
      </w:r>
      <w:r w:rsidR="003518BE">
        <w:rPr>
          <w:rFonts w:ascii="Arial Narrow" w:hAnsi="Arial Narrow" w:cs="Times New Roman"/>
          <w:b/>
          <w:color w:val="4F81BD" w:themeColor="accent1"/>
          <w:sz w:val="24"/>
          <w:szCs w:val="24"/>
        </w:rPr>
        <w:t>γροδιατροφικός Τομέας</w:t>
      </w:r>
    </w:p>
    <w:p w14:paraId="5D44EC1A" w14:textId="77340860" w:rsidR="003518BE" w:rsidRDefault="003518BE" w:rsidP="00D24999">
      <w:pPr>
        <w:jc w:val="both"/>
        <w:rPr>
          <w:rFonts w:ascii="Arial Narrow" w:hAnsi="Arial Narrow" w:cs="Times New Roman"/>
          <w:sz w:val="24"/>
          <w:szCs w:val="24"/>
        </w:rPr>
      </w:pPr>
      <w:r>
        <w:rPr>
          <w:rFonts w:ascii="Arial Narrow" w:hAnsi="Arial Narrow" w:cs="Times New Roman"/>
          <w:sz w:val="24"/>
          <w:szCs w:val="24"/>
        </w:rPr>
        <w:t xml:space="preserve">Τα ΗΑΕ επιδιώκουν τη διασφάλιση επισιτιστικής ασφάλειας μέσω επενδύσεων στο εξωτερικό. Οι βασικοί τομείς ενδιαφέροντος για την Ελλάδα είναι το ελαιόλαδο, τα γαλακτοκομικά, οι ιχθυοκαλλιέργειες, η μεταποίηση τροφίμων, η αγροτική τεχνολογία και η εφοδιαστική αλυσίδα τροφίμων. Ο συγκεκριμένος τομέας περιλαμβάνεται στις προτεραιότητες του επενδυτικού σχήματος </w:t>
      </w:r>
      <w:r>
        <w:rPr>
          <w:rFonts w:ascii="Arial Narrow" w:hAnsi="Arial Narrow" w:cs="Times New Roman"/>
          <w:sz w:val="24"/>
          <w:szCs w:val="24"/>
          <w:lang w:val="en-US"/>
        </w:rPr>
        <w:t>ADQ</w:t>
      </w:r>
      <w:r w:rsidRPr="003518BE">
        <w:rPr>
          <w:rFonts w:ascii="Arial Narrow" w:hAnsi="Arial Narrow" w:cs="Times New Roman"/>
          <w:sz w:val="24"/>
          <w:szCs w:val="24"/>
        </w:rPr>
        <w:t xml:space="preserve"> </w:t>
      </w:r>
      <w:r>
        <w:rPr>
          <w:rFonts w:ascii="Arial Narrow" w:hAnsi="Arial Narrow" w:cs="Times New Roman"/>
          <w:sz w:val="24"/>
          <w:szCs w:val="24"/>
        </w:rPr>
        <w:t>–</w:t>
      </w:r>
      <w:r w:rsidRPr="003518BE">
        <w:rPr>
          <w:rFonts w:ascii="Arial Narrow" w:hAnsi="Arial Narrow" w:cs="Times New Roman"/>
          <w:sz w:val="24"/>
          <w:szCs w:val="24"/>
        </w:rPr>
        <w:t xml:space="preserve"> </w:t>
      </w:r>
      <w:r>
        <w:rPr>
          <w:rFonts w:ascii="Arial Narrow" w:hAnsi="Arial Narrow" w:cs="Times New Roman"/>
          <w:sz w:val="24"/>
          <w:szCs w:val="24"/>
        </w:rPr>
        <w:t>Ελλάδας</w:t>
      </w:r>
    </w:p>
    <w:p w14:paraId="60331778" w14:textId="4B5EDDC1" w:rsidR="003518BE" w:rsidRDefault="003518BE" w:rsidP="00D24999">
      <w:pPr>
        <w:jc w:val="both"/>
        <w:rPr>
          <w:rFonts w:ascii="Arial Narrow" w:hAnsi="Arial Narrow" w:cs="Times New Roman"/>
          <w:b/>
          <w:color w:val="4F81BD" w:themeColor="accent1"/>
          <w:sz w:val="24"/>
          <w:szCs w:val="24"/>
        </w:rPr>
      </w:pPr>
      <w:r w:rsidRPr="003518BE">
        <w:rPr>
          <w:rFonts w:ascii="Arial Narrow" w:hAnsi="Arial Narrow" w:cs="Times New Roman"/>
          <w:b/>
          <w:color w:val="4F81BD" w:themeColor="accent1"/>
          <w:sz w:val="24"/>
          <w:szCs w:val="24"/>
        </w:rPr>
        <w:t xml:space="preserve">7.5. Τεχνολογία και Ψηφιακή Οικονομία </w:t>
      </w:r>
    </w:p>
    <w:p w14:paraId="632BC8C2" w14:textId="06730B2E" w:rsidR="006F49E1" w:rsidRDefault="003518BE" w:rsidP="00D24999">
      <w:pPr>
        <w:jc w:val="both"/>
        <w:rPr>
          <w:rFonts w:ascii="Arial Narrow" w:hAnsi="Arial Narrow" w:cs="Times New Roman"/>
          <w:sz w:val="24"/>
          <w:szCs w:val="24"/>
        </w:rPr>
      </w:pPr>
      <w:r>
        <w:rPr>
          <w:rFonts w:ascii="Arial Narrow" w:hAnsi="Arial Narrow" w:cs="Times New Roman"/>
          <w:sz w:val="24"/>
          <w:szCs w:val="24"/>
        </w:rPr>
        <w:t xml:space="preserve">Τα τελευταία χρόνια </w:t>
      </w:r>
      <w:r w:rsidR="00735EBE">
        <w:rPr>
          <w:rFonts w:ascii="Arial Narrow" w:hAnsi="Arial Narrow" w:cs="Times New Roman"/>
          <w:sz w:val="24"/>
          <w:szCs w:val="24"/>
        </w:rPr>
        <w:t xml:space="preserve">παρατηρείται αυξανόμενο ενδιαφέρον από επενδυτικά κεφάλαια των ΗΑΕ για </w:t>
      </w:r>
      <w:r w:rsidR="00735EBE">
        <w:rPr>
          <w:rFonts w:ascii="Arial Narrow" w:hAnsi="Arial Narrow" w:cs="Times New Roman"/>
          <w:sz w:val="24"/>
          <w:szCs w:val="24"/>
          <w:lang w:val="en-US"/>
        </w:rPr>
        <w:t>data</w:t>
      </w:r>
      <w:r w:rsidR="00735EBE" w:rsidRPr="00735EBE">
        <w:rPr>
          <w:rFonts w:ascii="Arial Narrow" w:hAnsi="Arial Narrow" w:cs="Times New Roman"/>
          <w:sz w:val="24"/>
          <w:szCs w:val="24"/>
        </w:rPr>
        <w:t xml:space="preserve"> </w:t>
      </w:r>
      <w:r w:rsidR="00735EBE">
        <w:rPr>
          <w:rFonts w:ascii="Arial Narrow" w:hAnsi="Arial Narrow" w:cs="Times New Roman"/>
          <w:sz w:val="24"/>
          <w:szCs w:val="24"/>
          <w:lang w:val="en-US"/>
        </w:rPr>
        <w:t>centers</w:t>
      </w:r>
      <w:r w:rsidR="00735EBE" w:rsidRPr="00735EBE">
        <w:rPr>
          <w:rFonts w:ascii="Arial Narrow" w:hAnsi="Arial Narrow" w:cs="Times New Roman"/>
          <w:sz w:val="24"/>
          <w:szCs w:val="24"/>
        </w:rPr>
        <w:t xml:space="preserve">, </w:t>
      </w:r>
      <w:r w:rsidR="00735EBE">
        <w:rPr>
          <w:rFonts w:ascii="Arial Narrow" w:hAnsi="Arial Narrow" w:cs="Times New Roman"/>
          <w:sz w:val="24"/>
          <w:szCs w:val="24"/>
        </w:rPr>
        <w:t xml:space="preserve">τεχνητή νοημοσύνη, </w:t>
      </w:r>
      <w:r w:rsidR="00735EBE">
        <w:rPr>
          <w:rFonts w:ascii="Arial Narrow" w:hAnsi="Arial Narrow" w:cs="Times New Roman"/>
          <w:sz w:val="24"/>
          <w:szCs w:val="24"/>
          <w:lang w:val="en-US"/>
        </w:rPr>
        <w:t>FinTech</w:t>
      </w:r>
      <w:r w:rsidR="00735EBE" w:rsidRPr="00735EBE">
        <w:rPr>
          <w:rFonts w:ascii="Arial Narrow" w:hAnsi="Arial Narrow" w:cs="Times New Roman"/>
          <w:sz w:val="24"/>
          <w:szCs w:val="24"/>
        </w:rPr>
        <w:t>,</w:t>
      </w:r>
      <w:r w:rsidR="006F49E1">
        <w:rPr>
          <w:rFonts w:ascii="Arial Narrow" w:hAnsi="Arial Narrow" w:cs="Times New Roman"/>
          <w:sz w:val="24"/>
          <w:szCs w:val="24"/>
        </w:rPr>
        <w:t xml:space="preserve"> κυβερνοασφάλεια, ψηφιακές υποδομές και </w:t>
      </w:r>
      <w:r w:rsidR="006F49E1">
        <w:rPr>
          <w:rFonts w:ascii="Arial Narrow" w:hAnsi="Arial Narrow" w:cs="Times New Roman"/>
          <w:sz w:val="24"/>
          <w:szCs w:val="24"/>
          <w:lang w:val="en-US"/>
        </w:rPr>
        <w:t>StartUps</w:t>
      </w:r>
      <w:r w:rsidR="006F49E1" w:rsidRPr="006F49E1">
        <w:rPr>
          <w:rFonts w:ascii="Arial Narrow" w:hAnsi="Arial Narrow" w:cs="Times New Roman"/>
          <w:sz w:val="24"/>
          <w:szCs w:val="24"/>
        </w:rPr>
        <w:t xml:space="preserve">. </w:t>
      </w:r>
      <w:r w:rsidR="006F49E1">
        <w:rPr>
          <w:rFonts w:ascii="Arial Narrow" w:hAnsi="Arial Narrow" w:cs="Times New Roman"/>
          <w:sz w:val="24"/>
          <w:szCs w:val="24"/>
        </w:rPr>
        <w:t xml:space="preserve">Η Ελλάδα αντιμετωπίζεται ως αναδυόμενος τεχνολογικός κόμβος της Νοτιονατολικής Ευρώπης. </w:t>
      </w:r>
    </w:p>
    <w:p w14:paraId="06809398" w14:textId="66B9650C" w:rsidR="006F49E1" w:rsidRDefault="006F49E1" w:rsidP="00D24999">
      <w:pPr>
        <w:jc w:val="both"/>
        <w:rPr>
          <w:rFonts w:ascii="Arial Narrow" w:hAnsi="Arial Narrow" w:cs="Times New Roman"/>
          <w:b/>
          <w:color w:val="4F81BD" w:themeColor="accent1"/>
          <w:sz w:val="24"/>
          <w:szCs w:val="24"/>
        </w:rPr>
      </w:pPr>
      <w:r w:rsidRPr="006F49E1">
        <w:rPr>
          <w:rFonts w:ascii="Arial Narrow" w:hAnsi="Arial Narrow" w:cs="Times New Roman"/>
          <w:b/>
          <w:color w:val="4F81BD" w:themeColor="accent1"/>
          <w:sz w:val="24"/>
          <w:szCs w:val="24"/>
        </w:rPr>
        <w:t>7.6. Υγεία και Βιοεπιστήμες</w:t>
      </w:r>
    </w:p>
    <w:p w14:paraId="71666E59" w14:textId="685A5607" w:rsidR="006F49E1" w:rsidRDefault="006F49E1" w:rsidP="00D24999">
      <w:pPr>
        <w:jc w:val="both"/>
        <w:rPr>
          <w:rFonts w:ascii="Arial Narrow" w:hAnsi="Arial Narrow" w:cs="Times New Roman"/>
          <w:sz w:val="24"/>
          <w:szCs w:val="24"/>
        </w:rPr>
      </w:pPr>
      <w:r>
        <w:rPr>
          <w:rFonts w:ascii="Arial Narrow" w:hAnsi="Arial Narrow" w:cs="Times New Roman"/>
          <w:sz w:val="24"/>
          <w:szCs w:val="24"/>
        </w:rPr>
        <w:t>Το κοινό επενδυτικό πρόγραμμα προβλέπει δυνατότητα χρηματοδότησης για νοσοκομειακές υποδομές, επενδύσεις στο τομέα του φαρμάκου, βιοτεχνολογίας, ιατρικής έρευνας, κέντρων υγείας και αποκατάστασης. Ο συγκεκριμένος τομέας θεωρείται στρατηγικής σημασίας μετά την πανδημία.</w:t>
      </w:r>
    </w:p>
    <w:p w14:paraId="1587ED4E" w14:textId="77777777" w:rsidR="006F49E1" w:rsidRDefault="006F49E1" w:rsidP="00D24999">
      <w:pPr>
        <w:jc w:val="both"/>
        <w:rPr>
          <w:b/>
          <w:sz w:val="28"/>
          <w:szCs w:val="28"/>
        </w:rPr>
      </w:pPr>
      <w:r w:rsidRPr="006F49E1">
        <w:rPr>
          <w:rFonts w:ascii="Arial Narrow" w:hAnsi="Arial Narrow" w:cs="Times New Roman"/>
          <w:b/>
          <w:color w:val="4F81BD" w:themeColor="accent1"/>
          <w:sz w:val="24"/>
          <w:szCs w:val="24"/>
        </w:rPr>
        <w:t xml:space="preserve">7.7. Ναυτιλία &amp; </w:t>
      </w:r>
      <w:r w:rsidRPr="006F49E1">
        <w:rPr>
          <w:rFonts w:ascii="Arial Narrow" w:hAnsi="Arial Narrow" w:cs="Times New Roman"/>
          <w:b/>
          <w:color w:val="4F81BD" w:themeColor="accent1"/>
          <w:sz w:val="24"/>
          <w:szCs w:val="24"/>
          <w:lang w:val="en-US"/>
        </w:rPr>
        <w:t>Logistics</w:t>
      </w:r>
    </w:p>
    <w:p w14:paraId="12B68D84" w14:textId="77777777" w:rsidR="006F49E1" w:rsidRDefault="006F49E1" w:rsidP="00D24999">
      <w:pPr>
        <w:jc w:val="both"/>
        <w:rPr>
          <w:sz w:val="24"/>
          <w:szCs w:val="24"/>
        </w:rPr>
      </w:pPr>
      <w:r>
        <w:rPr>
          <w:sz w:val="24"/>
          <w:szCs w:val="24"/>
          <w:lang w:val="en-US"/>
        </w:rPr>
        <w:t>H</w:t>
      </w:r>
      <w:r w:rsidRPr="006F49E1">
        <w:rPr>
          <w:sz w:val="24"/>
          <w:szCs w:val="24"/>
        </w:rPr>
        <w:t xml:space="preserve"> </w:t>
      </w:r>
      <w:r>
        <w:rPr>
          <w:sz w:val="24"/>
          <w:szCs w:val="24"/>
        </w:rPr>
        <w:t xml:space="preserve">συνεργασία Ελλάδας – ΗΑΕ επεκτείνεται και στη ναυτιλία, αξιοποιώντας τον ελληνικό εμπορικό στόλο, τα ελληνικά λιμάνια και τα λιμάνια των ΗΑΕ ως παγκόσμιους διαμετακομιστικούς κόμβους. Αύξηση ενδιαφέροντος παρατηρείται για έργα εφοδιαστικής αλυσίδας και θαλάσσιων μεταφορών. </w:t>
      </w:r>
    </w:p>
    <w:p w14:paraId="6CA33E28" w14:textId="2546BC3C" w:rsidR="006F49E1" w:rsidRDefault="006F49E1" w:rsidP="006F49E1">
      <w:pPr>
        <w:jc w:val="center"/>
        <w:rPr>
          <w:b/>
          <w:color w:val="4F81BD" w:themeColor="accent1"/>
          <w:sz w:val="28"/>
          <w:szCs w:val="28"/>
        </w:rPr>
      </w:pPr>
      <w:r>
        <w:rPr>
          <w:b/>
          <w:color w:val="4F81BD" w:themeColor="accent1"/>
          <w:sz w:val="28"/>
          <w:szCs w:val="28"/>
        </w:rPr>
        <w:tab/>
      </w:r>
      <w:r w:rsidR="002A5419">
        <w:rPr>
          <w:b/>
          <w:color w:val="4F81BD" w:themeColor="accent1"/>
          <w:sz w:val="28"/>
          <w:szCs w:val="28"/>
        </w:rPr>
        <w:t xml:space="preserve">ΠΙΝΑΚΑΣ </w:t>
      </w:r>
      <w:r w:rsidR="008E0187">
        <w:rPr>
          <w:b/>
          <w:color w:val="4F81BD" w:themeColor="accent1"/>
          <w:sz w:val="28"/>
          <w:szCs w:val="28"/>
        </w:rPr>
        <w:t>29</w:t>
      </w:r>
      <w:r w:rsidR="002A5419">
        <w:rPr>
          <w:b/>
          <w:color w:val="4F81BD" w:themeColor="accent1"/>
          <w:sz w:val="28"/>
          <w:szCs w:val="28"/>
        </w:rPr>
        <w:t xml:space="preserve"> - </w:t>
      </w:r>
      <w:r>
        <w:rPr>
          <w:b/>
          <w:color w:val="4F81BD" w:themeColor="accent1"/>
          <w:sz w:val="28"/>
          <w:szCs w:val="28"/>
        </w:rPr>
        <w:t xml:space="preserve">ΚΥΡΙΟΤΕΡΟΙ ΕΠΕΝΔΥΤΙΚΟΙ ΦΟΡΕΙΣ ΤΩΝ ΗΑΕ ΣΤΗΝ ΕΛΛΑΔΑ </w:t>
      </w:r>
    </w:p>
    <w:tbl>
      <w:tblPr>
        <w:tblStyle w:val="TableGrid"/>
        <w:tblW w:w="0" w:type="auto"/>
        <w:tblLook w:val="04A0" w:firstRow="1" w:lastRow="0" w:firstColumn="1" w:lastColumn="0" w:noHBand="0" w:noVBand="1"/>
      </w:tblPr>
      <w:tblGrid>
        <w:gridCol w:w="4885"/>
        <w:gridCol w:w="4886"/>
      </w:tblGrid>
      <w:tr w:rsidR="00056F0A" w14:paraId="54529797" w14:textId="77777777" w:rsidTr="00056F0A">
        <w:tc>
          <w:tcPr>
            <w:tcW w:w="4885" w:type="dxa"/>
          </w:tcPr>
          <w:p w14:paraId="064FEFE9" w14:textId="0FB16D3C" w:rsidR="00056F0A" w:rsidRPr="00056F0A" w:rsidRDefault="00056F0A" w:rsidP="00056F0A">
            <w:pPr>
              <w:rPr>
                <w:b/>
                <w:color w:val="4F81BD" w:themeColor="accent1"/>
                <w:sz w:val="24"/>
                <w:szCs w:val="24"/>
              </w:rPr>
            </w:pPr>
            <w:r>
              <w:rPr>
                <w:b/>
                <w:color w:val="4F81BD" w:themeColor="accent1"/>
                <w:sz w:val="24"/>
                <w:szCs w:val="24"/>
              </w:rPr>
              <w:t>Φορέας</w:t>
            </w:r>
          </w:p>
        </w:tc>
        <w:tc>
          <w:tcPr>
            <w:tcW w:w="4886" w:type="dxa"/>
          </w:tcPr>
          <w:p w14:paraId="43B365BB" w14:textId="6474217C" w:rsidR="00056F0A" w:rsidRPr="00056F0A" w:rsidRDefault="00056F0A" w:rsidP="00056F0A">
            <w:pPr>
              <w:rPr>
                <w:b/>
                <w:color w:val="4F81BD" w:themeColor="accent1"/>
                <w:sz w:val="24"/>
                <w:szCs w:val="24"/>
              </w:rPr>
            </w:pPr>
            <w:r>
              <w:rPr>
                <w:b/>
                <w:color w:val="4F81BD" w:themeColor="accent1"/>
                <w:sz w:val="24"/>
                <w:szCs w:val="24"/>
              </w:rPr>
              <w:t>Τομέας</w:t>
            </w:r>
          </w:p>
        </w:tc>
      </w:tr>
      <w:tr w:rsidR="00056F0A" w14:paraId="443741EB" w14:textId="77777777" w:rsidTr="00056F0A">
        <w:tc>
          <w:tcPr>
            <w:tcW w:w="4885" w:type="dxa"/>
          </w:tcPr>
          <w:p w14:paraId="7F8E61D4" w14:textId="57DCDE1D" w:rsidR="00056F0A" w:rsidRPr="00056F0A" w:rsidRDefault="00056F0A" w:rsidP="00056F0A">
            <w:pPr>
              <w:rPr>
                <w:b/>
                <w:color w:val="4F81BD" w:themeColor="accent1"/>
                <w:sz w:val="24"/>
                <w:szCs w:val="24"/>
                <w:lang w:val="en-US"/>
              </w:rPr>
            </w:pPr>
            <w:r>
              <w:rPr>
                <w:b/>
                <w:color w:val="4F81BD" w:themeColor="accent1"/>
                <w:sz w:val="24"/>
                <w:szCs w:val="24"/>
                <w:lang w:val="en-US"/>
              </w:rPr>
              <w:t xml:space="preserve">ADQ </w:t>
            </w:r>
          </w:p>
        </w:tc>
        <w:tc>
          <w:tcPr>
            <w:tcW w:w="4886" w:type="dxa"/>
          </w:tcPr>
          <w:p w14:paraId="144C0A63" w14:textId="735D682B" w:rsidR="00056F0A" w:rsidRPr="00056F0A" w:rsidRDefault="003D0EFE" w:rsidP="00056F0A">
            <w:pPr>
              <w:rPr>
                <w:b/>
                <w:color w:val="4F81BD" w:themeColor="accent1"/>
                <w:sz w:val="24"/>
                <w:szCs w:val="24"/>
              </w:rPr>
            </w:pPr>
            <w:r>
              <w:rPr>
                <w:b/>
                <w:color w:val="4F81BD" w:themeColor="accent1"/>
                <w:sz w:val="24"/>
                <w:szCs w:val="24"/>
              </w:rPr>
              <w:t>Υποδομές, Τεχνολογία, Υγεία και Γεωργία</w:t>
            </w:r>
          </w:p>
        </w:tc>
      </w:tr>
      <w:tr w:rsidR="00056F0A" w14:paraId="3CC259A3" w14:textId="77777777" w:rsidTr="00056F0A">
        <w:tc>
          <w:tcPr>
            <w:tcW w:w="4885" w:type="dxa"/>
          </w:tcPr>
          <w:p w14:paraId="16E8B8ED" w14:textId="26C7F02E" w:rsidR="00056F0A" w:rsidRPr="003D0EFE" w:rsidRDefault="003D0EFE" w:rsidP="00056F0A">
            <w:pPr>
              <w:rPr>
                <w:b/>
                <w:color w:val="4F81BD" w:themeColor="accent1"/>
                <w:sz w:val="24"/>
                <w:szCs w:val="24"/>
                <w:lang w:val="en-US"/>
              </w:rPr>
            </w:pPr>
            <w:r>
              <w:rPr>
                <w:b/>
                <w:color w:val="4F81BD" w:themeColor="accent1"/>
                <w:sz w:val="24"/>
                <w:szCs w:val="24"/>
                <w:lang w:val="en-US"/>
              </w:rPr>
              <w:t>Masdar</w:t>
            </w:r>
          </w:p>
        </w:tc>
        <w:tc>
          <w:tcPr>
            <w:tcW w:w="4886" w:type="dxa"/>
          </w:tcPr>
          <w:p w14:paraId="790B2CCB" w14:textId="056BA7CE" w:rsidR="00056F0A" w:rsidRPr="00056F0A" w:rsidRDefault="00B40902" w:rsidP="00056F0A">
            <w:pPr>
              <w:rPr>
                <w:b/>
                <w:color w:val="4F81BD" w:themeColor="accent1"/>
                <w:sz w:val="24"/>
                <w:szCs w:val="24"/>
              </w:rPr>
            </w:pPr>
            <w:r>
              <w:rPr>
                <w:b/>
                <w:color w:val="4F81BD" w:themeColor="accent1"/>
                <w:sz w:val="24"/>
                <w:szCs w:val="24"/>
              </w:rPr>
              <w:t>Ανανεώσιμες Πηγές Ενέργειας</w:t>
            </w:r>
          </w:p>
        </w:tc>
      </w:tr>
      <w:tr w:rsidR="00056F0A" w14:paraId="0288449F" w14:textId="77777777" w:rsidTr="00056F0A">
        <w:tc>
          <w:tcPr>
            <w:tcW w:w="4885" w:type="dxa"/>
          </w:tcPr>
          <w:p w14:paraId="5925456F" w14:textId="77777777" w:rsidR="00B40902" w:rsidRDefault="00B40902" w:rsidP="00056F0A">
            <w:pPr>
              <w:rPr>
                <w:b/>
                <w:color w:val="4F81BD" w:themeColor="accent1"/>
                <w:sz w:val="24"/>
                <w:szCs w:val="24"/>
                <w:lang w:val="en-US"/>
              </w:rPr>
            </w:pPr>
          </w:p>
          <w:p w14:paraId="06F59FA7" w14:textId="115A8822" w:rsidR="00056F0A" w:rsidRPr="00B40902" w:rsidRDefault="00B40902" w:rsidP="00056F0A">
            <w:pPr>
              <w:rPr>
                <w:b/>
                <w:color w:val="4F81BD" w:themeColor="accent1"/>
                <w:sz w:val="24"/>
                <w:szCs w:val="24"/>
                <w:lang w:val="en-US"/>
              </w:rPr>
            </w:pPr>
            <w:r>
              <w:rPr>
                <w:b/>
                <w:color w:val="4F81BD" w:themeColor="accent1"/>
                <w:sz w:val="24"/>
                <w:szCs w:val="24"/>
                <w:lang w:val="en-US"/>
              </w:rPr>
              <w:t>Mubadala Investment Company</w:t>
            </w:r>
          </w:p>
        </w:tc>
        <w:tc>
          <w:tcPr>
            <w:tcW w:w="4886" w:type="dxa"/>
          </w:tcPr>
          <w:p w14:paraId="17FA908E" w14:textId="05E59F4D" w:rsidR="00056F0A" w:rsidRPr="00056F0A" w:rsidRDefault="00B40902" w:rsidP="00056F0A">
            <w:pPr>
              <w:rPr>
                <w:b/>
                <w:color w:val="4F81BD" w:themeColor="accent1"/>
                <w:sz w:val="24"/>
                <w:szCs w:val="24"/>
              </w:rPr>
            </w:pPr>
            <w:r>
              <w:rPr>
                <w:b/>
                <w:color w:val="4F81BD" w:themeColor="accent1"/>
                <w:sz w:val="24"/>
                <w:szCs w:val="24"/>
              </w:rPr>
              <w:t>Συμμετοχές, επενδυτικά κεφάλαια, συν-επενδύσεις</w:t>
            </w:r>
          </w:p>
        </w:tc>
      </w:tr>
      <w:tr w:rsidR="00056F0A" w14:paraId="6008587A" w14:textId="77777777" w:rsidTr="00056F0A">
        <w:tc>
          <w:tcPr>
            <w:tcW w:w="4885" w:type="dxa"/>
          </w:tcPr>
          <w:p w14:paraId="40BD419B" w14:textId="596F627B" w:rsidR="00056F0A" w:rsidRPr="005F4D3B" w:rsidRDefault="005F4D3B" w:rsidP="00056F0A">
            <w:pPr>
              <w:rPr>
                <w:b/>
                <w:color w:val="4F81BD" w:themeColor="accent1"/>
                <w:sz w:val="24"/>
                <w:szCs w:val="24"/>
                <w:lang w:val="en-US"/>
              </w:rPr>
            </w:pPr>
            <w:r>
              <w:rPr>
                <w:b/>
                <w:color w:val="4F81BD" w:themeColor="accent1"/>
                <w:sz w:val="24"/>
                <w:szCs w:val="24"/>
                <w:lang w:val="en-US"/>
              </w:rPr>
              <w:t>TAQA</w:t>
            </w:r>
          </w:p>
        </w:tc>
        <w:tc>
          <w:tcPr>
            <w:tcW w:w="4886" w:type="dxa"/>
          </w:tcPr>
          <w:p w14:paraId="378AB9D8" w14:textId="1E87860A" w:rsidR="00056F0A" w:rsidRPr="00056F0A" w:rsidRDefault="005F4D3B" w:rsidP="00056F0A">
            <w:pPr>
              <w:rPr>
                <w:b/>
                <w:color w:val="4F81BD" w:themeColor="accent1"/>
                <w:sz w:val="24"/>
                <w:szCs w:val="24"/>
              </w:rPr>
            </w:pPr>
            <w:r>
              <w:rPr>
                <w:b/>
                <w:color w:val="4F81BD" w:themeColor="accent1"/>
                <w:sz w:val="24"/>
                <w:szCs w:val="24"/>
              </w:rPr>
              <w:t>Ενέργεια και Δίκτυα</w:t>
            </w:r>
          </w:p>
        </w:tc>
      </w:tr>
      <w:tr w:rsidR="00056F0A" w14:paraId="02FAFDC7" w14:textId="77777777" w:rsidTr="00056F0A">
        <w:tc>
          <w:tcPr>
            <w:tcW w:w="4885" w:type="dxa"/>
          </w:tcPr>
          <w:p w14:paraId="3B372553" w14:textId="5E880FAF" w:rsidR="00056F0A" w:rsidRPr="005F4D3B" w:rsidRDefault="005F4D3B" w:rsidP="00056F0A">
            <w:pPr>
              <w:rPr>
                <w:b/>
                <w:color w:val="4F81BD" w:themeColor="accent1"/>
                <w:sz w:val="24"/>
                <w:szCs w:val="24"/>
                <w:lang w:val="en-US"/>
              </w:rPr>
            </w:pPr>
            <w:r>
              <w:rPr>
                <w:b/>
                <w:color w:val="4F81BD" w:themeColor="accent1"/>
                <w:sz w:val="24"/>
                <w:szCs w:val="24"/>
                <w:lang w:val="en-US"/>
              </w:rPr>
              <w:t>AL DAHRA</w:t>
            </w:r>
          </w:p>
        </w:tc>
        <w:tc>
          <w:tcPr>
            <w:tcW w:w="4886" w:type="dxa"/>
          </w:tcPr>
          <w:p w14:paraId="4D9FB54C" w14:textId="66D6B2F9" w:rsidR="00056F0A" w:rsidRPr="00362F03" w:rsidRDefault="00362F03" w:rsidP="00056F0A">
            <w:pPr>
              <w:rPr>
                <w:b/>
                <w:color w:val="4F81BD" w:themeColor="accent1"/>
                <w:sz w:val="24"/>
                <w:szCs w:val="24"/>
              </w:rPr>
            </w:pPr>
            <w:r>
              <w:rPr>
                <w:b/>
                <w:color w:val="4F81BD" w:themeColor="accent1"/>
                <w:sz w:val="24"/>
                <w:szCs w:val="24"/>
              </w:rPr>
              <w:t xml:space="preserve">Αγροδιατροφή και Τρόφιμα </w:t>
            </w:r>
          </w:p>
        </w:tc>
      </w:tr>
    </w:tbl>
    <w:p w14:paraId="40E97D3B" w14:textId="559CD93E" w:rsidR="00056F0A" w:rsidRDefault="00056F0A" w:rsidP="00362F03">
      <w:pPr>
        <w:jc w:val="center"/>
        <w:rPr>
          <w:b/>
          <w:color w:val="4F81BD" w:themeColor="accent1"/>
          <w:sz w:val="28"/>
          <w:szCs w:val="28"/>
        </w:rPr>
      </w:pPr>
    </w:p>
    <w:p w14:paraId="7D46F0BE" w14:textId="71487667" w:rsidR="00362F03" w:rsidRDefault="002A5419" w:rsidP="00362F03">
      <w:pPr>
        <w:jc w:val="center"/>
        <w:rPr>
          <w:b/>
          <w:color w:val="4F81BD" w:themeColor="accent1"/>
          <w:sz w:val="28"/>
          <w:szCs w:val="28"/>
        </w:rPr>
      </w:pPr>
      <w:r>
        <w:rPr>
          <w:b/>
          <w:color w:val="4F81BD" w:themeColor="accent1"/>
          <w:sz w:val="28"/>
          <w:szCs w:val="28"/>
        </w:rPr>
        <w:t>ΠΙΝΑΚΑΣ 3</w:t>
      </w:r>
      <w:r w:rsidR="008E0187">
        <w:rPr>
          <w:b/>
          <w:color w:val="4F81BD" w:themeColor="accent1"/>
          <w:sz w:val="28"/>
          <w:szCs w:val="28"/>
        </w:rPr>
        <w:t>0</w:t>
      </w:r>
      <w:r>
        <w:rPr>
          <w:b/>
          <w:color w:val="4F81BD" w:themeColor="accent1"/>
          <w:sz w:val="28"/>
          <w:szCs w:val="28"/>
        </w:rPr>
        <w:t xml:space="preserve"> - </w:t>
      </w:r>
      <w:r w:rsidR="00362F03">
        <w:rPr>
          <w:b/>
          <w:color w:val="4F81BD" w:themeColor="accent1"/>
          <w:sz w:val="28"/>
          <w:szCs w:val="28"/>
        </w:rPr>
        <w:t xml:space="preserve">ΚΥΡΙΕΣ ΕΠΕΝΔΥΣΕΙΣ ΚΑΙ ΣΥΝΑΛΛΑΓΕΣ ΗΑΕ ΣΤΗΝ ΕΛΛΑΔΑ </w:t>
      </w:r>
    </w:p>
    <w:tbl>
      <w:tblPr>
        <w:tblStyle w:val="TableGrid"/>
        <w:tblW w:w="0" w:type="auto"/>
        <w:tblLook w:val="04A0" w:firstRow="1" w:lastRow="0" w:firstColumn="1" w:lastColumn="0" w:noHBand="0" w:noVBand="1"/>
      </w:tblPr>
      <w:tblGrid>
        <w:gridCol w:w="1708"/>
        <w:gridCol w:w="1821"/>
        <w:gridCol w:w="1903"/>
        <w:gridCol w:w="2436"/>
        <w:gridCol w:w="1903"/>
      </w:tblGrid>
      <w:tr w:rsidR="00362F03" w14:paraId="7C45902D" w14:textId="77777777" w:rsidTr="00362F03">
        <w:tc>
          <w:tcPr>
            <w:tcW w:w="1954" w:type="dxa"/>
          </w:tcPr>
          <w:p w14:paraId="61B76A48" w14:textId="77777777" w:rsidR="00362F03" w:rsidRDefault="00362F03" w:rsidP="00362F03">
            <w:pPr>
              <w:rPr>
                <w:b/>
                <w:color w:val="4F81BD" w:themeColor="accent1"/>
                <w:sz w:val="24"/>
                <w:szCs w:val="24"/>
              </w:rPr>
            </w:pPr>
          </w:p>
          <w:p w14:paraId="59F45D9A" w14:textId="4494E6A1" w:rsidR="00362F03" w:rsidRPr="00362F03" w:rsidRDefault="00362F03" w:rsidP="00362F03">
            <w:pPr>
              <w:rPr>
                <w:b/>
                <w:color w:val="4F81BD" w:themeColor="accent1"/>
                <w:sz w:val="24"/>
                <w:szCs w:val="24"/>
              </w:rPr>
            </w:pPr>
            <w:r>
              <w:rPr>
                <w:b/>
                <w:color w:val="4F81BD" w:themeColor="accent1"/>
                <w:sz w:val="24"/>
                <w:szCs w:val="24"/>
              </w:rPr>
              <w:t xml:space="preserve">Έτος </w:t>
            </w:r>
          </w:p>
        </w:tc>
        <w:tc>
          <w:tcPr>
            <w:tcW w:w="1954" w:type="dxa"/>
          </w:tcPr>
          <w:p w14:paraId="49696BCF" w14:textId="77777777" w:rsidR="00362F03" w:rsidRDefault="00362F03" w:rsidP="00362F03">
            <w:pPr>
              <w:rPr>
                <w:b/>
                <w:color w:val="4F81BD" w:themeColor="accent1"/>
                <w:sz w:val="24"/>
                <w:szCs w:val="24"/>
              </w:rPr>
            </w:pPr>
          </w:p>
          <w:p w14:paraId="0EB7B1FE" w14:textId="4D04BA3C" w:rsidR="00362F03" w:rsidRPr="00362F03" w:rsidRDefault="00362F03" w:rsidP="00362F03">
            <w:pPr>
              <w:rPr>
                <w:b/>
                <w:color w:val="4F81BD" w:themeColor="accent1"/>
                <w:sz w:val="24"/>
                <w:szCs w:val="24"/>
              </w:rPr>
            </w:pPr>
            <w:r>
              <w:rPr>
                <w:b/>
                <w:color w:val="4F81BD" w:themeColor="accent1"/>
                <w:sz w:val="24"/>
                <w:szCs w:val="24"/>
              </w:rPr>
              <w:t>Επενδυτής ΗΑΕ</w:t>
            </w:r>
          </w:p>
        </w:tc>
        <w:tc>
          <w:tcPr>
            <w:tcW w:w="1954" w:type="dxa"/>
          </w:tcPr>
          <w:p w14:paraId="3B51D27C" w14:textId="77777777" w:rsidR="00362F03" w:rsidRDefault="00362F03" w:rsidP="00362F03">
            <w:pPr>
              <w:rPr>
                <w:b/>
                <w:color w:val="4F81BD" w:themeColor="accent1"/>
                <w:sz w:val="24"/>
                <w:szCs w:val="24"/>
              </w:rPr>
            </w:pPr>
          </w:p>
          <w:p w14:paraId="383416F8" w14:textId="667BED77" w:rsidR="00362F03" w:rsidRPr="00362F03" w:rsidRDefault="00362F03" w:rsidP="00362F03">
            <w:pPr>
              <w:rPr>
                <w:b/>
                <w:color w:val="4F81BD" w:themeColor="accent1"/>
                <w:sz w:val="24"/>
                <w:szCs w:val="24"/>
              </w:rPr>
            </w:pPr>
            <w:r>
              <w:rPr>
                <w:b/>
                <w:color w:val="4F81BD" w:themeColor="accent1"/>
                <w:sz w:val="24"/>
                <w:szCs w:val="24"/>
              </w:rPr>
              <w:t xml:space="preserve">Τομέας </w:t>
            </w:r>
          </w:p>
        </w:tc>
        <w:tc>
          <w:tcPr>
            <w:tcW w:w="1954" w:type="dxa"/>
          </w:tcPr>
          <w:p w14:paraId="45804FA3" w14:textId="77777777" w:rsidR="00362F03" w:rsidRDefault="00362F03" w:rsidP="00362F03">
            <w:pPr>
              <w:rPr>
                <w:b/>
                <w:color w:val="4F81BD" w:themeColor="accent1"/>
                <w:sz w:val="24"/>
                <w:szCs w:val="24"/>
              </w:rPr>
            </w:pPr>
          </w:p>
          <w:p w14:paraId="4161FCB0" w14:textId="5ED25128" w:rsidR="00362F03" w:rsidRPr="00362F03" w:rsidRDefault="00362F03" w:rsidP="00362F03">
            <w:pPr>
              <w:rPr>
                <w:b/>
                <w:color w:val="4F81BD" w:themeColor="accent1"/>
                <w:sz w:val="24"/>
                <w:szCs w:val="24"/>
              </w:rPr>
            </w:pPr>
            <w:r>
              <w:rPr>
                <w:b/>
                <w:color w:val="4F81BD" w:themeColor="accent1"/>
                <w:sz w:val="24"/>
                <w:szCs w:val="24"/>
              </w:rPr>
              <w:t xml:space="preserve">Επένδυση/Συναλλαγή </w:t>
            </w:r>
          </w:p>
        </w:tc>
        <w:tc>
          <w:tcPr>
            <w:tcW w:w="1955" w:type="dxa"/>
          </w:tcPr>
          <w:p w14:paraId="6727C88C" w14:textId="3F7AA32A" w:rsidR="00362F03" w:rsidRPr="00362F03" w:rsidRDefault="00362F03" w:rsidP="00362F03">
            <w:pPr>
              <w:rPr>
                <w:b/>
                <w:color w:val="4F81BD" w:themeColor="accent1"/>
                <w:sz w:val="24"/>
                <w:szCs w:val="24"/>
              </w:rPr>
            </w:pPr>
            <w:r>
              <w:rPr>
                <w:b/>
                <w:color w:val="4F81BD" w:themeColor="accent1"/>
                <w:sz w:val="24"/>
                <w:szCs w:val="24"/>
              </w:rPr>
              <w:t xml:space="preserve">Εκτιμώμενη Αξία </w:t>
            </w:r>
          </w:p>
        </w:tc>
      </w:tr>
      <w:tr w:rsidR="00362F03" w14:paraId="3F417CA0" w14:textId="77777777" w:rsidTr="00362F03">
        <w:tc>
          <w:tcPr>
            <w:tcW w:w="1954" w:type="dxa"/>
          </w:tcPr>
          <w:p w14:paraId="37C37933" w14:textId="77777777" w:rsidR="008C0936" w:rsidRDefault="008C0936" w:rsidP="00362F03">
            <w:pPr>
              <w:rPr>
                <w:b/>
                <w:color w:val="4F81BD" w:themeColor="accent1"/>
                <w:sz w:val="24"/>
                <w:szCs w:val="24"/>
              </w:rPr>
            </w:pPr>
          </w:p>
          <w:p w14:paraId="5874F855" w14:textId="77777777" w:rsidR="008C0936" w:rsidRDefault="008C0936" w:rsidP="00362F03">
            <w:pPr>
              <w:rPr>
                <w:b/>
                <w:color w:val="4F81BD" w:themeColor="accent1"/>
                <w:sz w:val="24"/>
                <w:szCs w:val="24"/>
              </w:rPr>
            </w:pPr>
          </w:p>
          <w:p w14:paraId="195B5B5A" w14:textId="77777777" w:rsidR="008C0936" w:rsidRDefault="008C0936" w:rsidP="00362F03">
            <w:pPr>
              <w:rPr>
                <w:b/>
                <w:color w:val="4F81BD" w:themeColor="accent1"/>
                <w:sz w:val="24"/>
                <w:szCs w:val="24"/>
              </w:rPr>
            </w:pPr>
          </w:p>
          <w:p w14:paraId="1732E610" w14:textId="77777777" w:rsidR="008C0936" w:rsidRDefault="008C0936" w:rsidP="00362F03">
            <w:pPr>
              <w:rPr>
                <w:b/>
                <w:color w:val="4F81BD" w:themeColor="accent1"/>
                <w:sz w:val="24"/>
                <w:szCs w:val="24"/>
              </w:rPr>
            </w:pPr>
          </w:p>
          <w:p w14:paraId="13B90F14" w14:textId="60CC42FE" w:rsidR="00362F03" w:rsidRPr="00362F03" w:rsidRDefault="00362F03" w:rsidP="00362F03">
            <w:pPr>
              <w:rPr>
                <w:b/>
                <w:color w:val="4F81BD" w:themeColor="accent1"/>
                <w:sz w:val="24"/>
                <w:szCs w:val="24"/>
              </w:rPr>
            </w:pPr>
            <w:r>
              <w:rPr>
                <w:b/>
                <w:color w:val="4F81BD" w:themeColor="accent1"/>
                <w:sz w:val="24"/>
                <w:szCs w:val="24"/>
              </w:rPr>
              <w:t>2023</w:t>
            </w:r>
          </w:p>
        </w:tc>
        <w:tc>
          <w:tcPr>
            <w:tcW w:w="1954" w:type="dxa"/>
          </w:tcPr>
          <w:p w14:paraId="5D6F19A2" w14:textId="77777777" w:rsidR="008C0936" w:rsidRDefault="008C0936" w:rsidP="00362F03">
            <w:pPr>
              <w:rPr>
                <w:b/>
                <w:color w:val="4F81BD" w:themeColor="accent1"/>
                <w:sz w:val="24"/>
                <w:szCs w:val="24"/>
                <w:lang w:val="en-US"/>
              </w:rPr>
            </w:pPr>
          </w:p>
          <w:p w14:paraId="08187F2B" w14:textId="77777777" w:rsidR="008C0936" w:rsidRDefault="008C0936" w:rsidP="00362F03">
            <w:pPr>
              <w:rPr>
                <w:b/>
                <w:color w:val="4F81BD" w:themeColor="accent1"/>
                <w:sz w:val="24"/>
                <w:szCs w:val="24"/>
                <w:lang w:val="en-US"/>
              </w:rPr>
            </w:pPr>
          </w:p>
          <w:p w14:paraId="7A569AB1" w14:textId="77777777" w:rsidR="008C0936" w:rsidRDefault="008C0936" w:rsidP="00362F03">
            <w:pPr>
              <w:rPr>
                <w:b/>
                <w:color w:val="4F81BD" w:themeColor="accent1"/>
                <w:sz w:val="24"/>
                <w:szCs w:val="24"/>
                <w:lang w:val="en-US"/>
              </w:rPr>
            </w:pPr>
          </w:p>
          <w:p w14:paraId="3D842824" w14:textId="2ED346F9" w:rsidR="00362F03" w:rsidRPr="008C0936" w:rsidRDefault="008C0936" w:rsidP="00362F03">
            <w:pPr>
              <w:rPr>
                <w:b/>
                <w:color w:val="4F81BD" w:themeColor="accent1"/>
                <w:sz w:val="24"/>
                <w:szCs w:val="24"/>
              </w:rPr>
            </w:pPr>
            <w:r>
              <w:rPr>
                <w:b/>
                <w:color w:val="4F81BD" w:themeColor="accent1"/>
                <w:sz w:val="24"/>
                <w:szCs w:val="24"/>
                <w:lang w:val="en-US"/>
              </w:rPr>
              <w:t xml:space="preserve">ADQ </w:t>
            </w:r>
            <w:r>
              <w:rPr>
                <w:b/>
                <w:color w:val="4F81BD" w:themeColor="accent1"/>
                <w:sz w:val="24"/>
                <w:szCs w:val="24"/>
              </w:rPr>
              <w:t xml:space="preserve">και λοιποί φορείς </w:t>
            </w:r>
          </w:p>
        </w:tc>
        <w:tc>
          <w:tcPr>
            <w:tcW w:w="1954" w:type="dxa"/>
          </w:tcPr>
          <w:p w14:paraId="18C2C983" w14:textId="77777777" w:rsidR="008C0936" w:rsidRDefault="008C0936" w:rsidP="00362F03">
            <w:pPr>
              <w:rPr>
                <w:b/>
                <w:color w:val="4F81BD" w:themeColor="accent1"/>
                <w:sz w:val="24"/>
                <w:szCs w:val="24"/>
              </w:rPr>
            </w:pPr>
          </w:p>
          <w:p w14:paraId="7B05B5B8" w14:textId="77777777" w:rsidR="008C0936" w:rsidRDefault="008C0936" w:rsidP="00362F03">
            <w:pPr>
              <w:rPr>
                <w:b/>
                <w:color w:val="4F81BD" w:themeColor="accent1"/>
                <w:sz w:val="24"/>
                <w:szCs w:val="24"/>
              </w:rPr>
            </w:pPr>
          </w:p>
          <w:p w14:paraId="59638EF7" w14:textId="77777777" w:rsidR="008C0936" w:rsidRDefault="008C0936" w:rsidP="00362F03">
            <w:pPr>
              <w:rPr>
                <w:b/>
                <w:color w:val="4F81BD" w:themeColor="accent1"/>
                <w:sz w:val="24"/>
                <w:szCs w:val="24"/>
              </w:rPr>
            </w:pPr>
          </w:p>
          <w:p w14:paraId="059E07BD" w14:textId="77777777" w:rsidR="008C0936" w:rsidRDefault="008C0936" w:rsidP="00362F03">
            <w:pPr>
              <w:rPr>
                <w:b/>
                <w:color w:val="4F81BD" w:themeColor="accent1"/>
                <w:sz w:val="24"/>
                <w:szCs w:val="24"/>
              </w:rPr>
            </w:pPr>
          </w:p>
          <w:p w14:paraId="1204B78F" w14:textId="5B707DFC" w:rsidR="00362F03" w:rsidRPr="00362F03" w:rsidRDefault="008C0936" w:rsidP="00362F03">
            <w:pPr>
              <w:rPr>
                <w:b/>
                <w:color w:val="4F81BD" w:themeColor="accent1"/>
                <w:sz w:val="24"/>
                <w:szCs w:val="24"/>
              </w:rPr>
            </w:pPr>
            <w:r>
              <w:rPr>
                <w:b/>
                <w:color w:val="4F81BD" w:themeColor="accent1"/>
                <w:sz w:val="24"/>
                <w:szCs w:val="24"/>
              </w:rPr>
              <w:t xml:space="preserve">Πολυτομεακός </w:t>
            </w:r>
          </w:p>
        </w:tc>
        <w:tc>
          <w:tcPr>
            <w:tcW w:w="1954" w:type="dxa"/>
          </w:tcPr>
          <w:p w14:paraId="5A02B18E" w14:textId="45E5CF01" w:rsidR="00362F03" w:rsidRPr="00362F03" w:rsidRDefault="008C0936" w:rsidP="00362F03">
            <w:pPr>
              <w:rPr>
                <w:b/>
                <w:color w:val="4F81BD" w:themeColor="accent1"/>
                <w:sz w:val="24"/>
                <w:szCs w:val="24"/>
              </w:rPr>
            </w:pPr>
            <w:r>
              <w:rPr>
                <w:b/>
                <w:color w:val="4F81BD" w:themeColor="accent1"/>
                <w:sz w:val="24"/>
                <w:szCs w:val="24"/>
              </w:rPr>
              <w:t xml:space="preserve">Συνέχιση υλοποίησης της ελληνό-εμιρατινής επενδυτικής πρωτοβουλίας </w:t>
            </w:r>
          </w:p>
        </w:tc>
        <w:tc>
          <w:tcPr>
            <w:tcW w:w="1955" w:type="dxa"/>
          </w:tcPr>
          <w:p w14:paraId="14FCD1CE" w14:textId="77777777" w:rsidR="008C0936" w:rsidRDefault="008C0936" w:rsidP="00362F03">
            <w:pPr>
              <w:rPr>
                <w:b/>
                <w:color w:val="4F81BD" w:themeColor="accent1"/>
                <w:sz w:val="24"/>
                <w:szCs w:val="24"/>
              </w:rPr>
            </w:pPr>
          </w:p>
          <w:p w14:paraId="011E14F9" w14:textId="77777777" w:rsidR="008C0936" w:rsidRDefault="008C0936" w:rsidP="00362F03">
            <w:pPr>
              <w:rPr>
                <w:b/>
                <w:color w:val="4F81BD" w:themeColor="accent1"/>
                <w:sz w:val="24"/>
                <w:szCs w:val="24"/>
              </w:rPr>
            </w:pPr>
          </w:p>
          <w:p w14:paraId="684F6318" w14:textId="77777777" w:rsidR="008C0936" w:rsidRDefault="008C0936" w:rsidP="00362F03">
            <w:pPr>
              <w:rPr>
                <w:b/>
                <w:color w:val="4F81BD" w:themeColor="accent1"/>
                <w:sz w:val="24"/>
                <w:szCs w:val="24"/>
              </w:rPr>
            </w:pPr>
          </w:p>
          <w:p w14:paraId="34626ECD" w14:textId="7A173B6B" w:rsidR="00362F03" w:rsidRPr="00362F03" w:rsidRDefault="008C0936" w:rsidP="00362F03">
            <w:pPr>
              <w:rPr>
                <w:b/>
                <w:color w:val="4F81BD" w:themeColor="accent1"/>
                <w:sz w:val="24"/>
                <w:szCs w:val="24"/>
              </w:rPr>
            </w:pPr>
            <w:r>
              <w:rPr>
                <w:b/>
                <w:color w:val="4F81BD" w:themeColor="accent1"/>
                <w:sz w:val="24"/>
                <w:szCs w:val="24"/>
              </w:rPr>
              <w:t xml:space="preserve">Μέρος του πλαισίου δις </w:t>
            </w:r>
          </w:p>
        </w:tc>
      </w:tr>
      <w:tr w:rsidR="00362F03" w:rsidRPr="00022BD6" w14:paraId="28E53FF7" w14:textId="77777777" w:rsidTr="00362F03">
        <w:tc>
          <w:tcPr>
            <w:tcW w:w="1954" w:type="dxa"/>
          </w:tcPr>
          <w:p w14:paraId="747F0AFF" w14:textId="77777777" w:rsidR="00FA746A" w:rsidRDefault="00FA746A" w:rsidP="00362F03">
            <w:pPr>
              <w:rPr>
                <w:b/>
                <w:color w:val="4F81BD" w:themeColor="accent1"/>
                <w:sz w:val="24"/>
                <w:szCs w:val="24"/>
              </w:rPr>
            </w:pPr>
          </w:p>
          <w:p w14:paraId="2CE0902F" w14:textId="77777777" w:rsidR="006A20E0" w:rsidRDefault="006A20E0" w:rsidP="00362F03">
            <w:pPr>
              <w:rPr>
                <w:b/>
                <w:color w:val="4F81BD" w:themeColor="accent1"/>
                <w:sz w:val="24"/>
                <w:szCs w:val="24"/>
              </w:rPr>
            </w:pPr>
          </w:p>
          <w:p w14:paraId="5A89D633" w14:textId="77777777" w:rsidR="006A20E0" w:rsidRDefault="006A20E0" w:rsidP="00362F03">
            <w:pPr>
              <w:rPr>
                <w:b/>
                <w:color w:val="4F81BD" w:themeColor="accent1"/>
                <w:sz w:val="24"/>
                <w:szCs w:val="24"/>
              </w:rPr>
            </w:pPr>
          </w:p>
          <w:p w14:paraId="4E56CAE9" w14:textId="3E082BEC" w:rsidR="00362F03" w:rsidRPr="00362F03" w:rsidRDefault="008C0936" w:rsidP="00362F03">
            <w:pPr>
              <w:rPr>
                <w:b/>
                <w:color w:val="4F81BD" w:themeColor="accent1"/>
                <w:sz w:val="24"/>
                <w:szCs w:val="24"/>
              </w:rPr>
            </w:pPr>
            <w:r>
              <w:rPr>
                <w:b/>
                <w:color w:val="4F81BD" w:themeColor="accent1"/>
                <w:sz w:val="24"/>
                <w:szCs w:val="24"/>
              </w:rPr>
              <w:t>2024</w:t>
            </w:r>
          </w:p>
        </w:tc>
        <w:tc>
          <w:tcPr>
            <w:tcW w:w="1954" w:type="dxa"/>
          </w:tcPr>
          <w:p w14:paraId="04299091" w14:textId="77777777" w:rsidR="00FA746A" w:rsidRDefault="00FA746A" w:rsidP="00362F03">
            <w:pPr>
              <w:rPr>
                <w:b/>
                <w:color w:val="4F81BD" w:themeColor="accent1"/>
                <w:sz w:val="24"/>
                <w:szCs w:val="24"/>
                <w:lang w:val="en-US"/>
              </w:rPr>
            </w:pPr>
          </w:p>
          <w:p w14:paraId="14A5B08B" w14:textId="77777777" w:rsidR="006A20E0" w:rsidRDefault="006A20E0" w:rsidP="00362F03">
            <w:pPr>
              <w:rPr>
                <w:b/>
                <w:color w:val="4F81BD" w:themeColor="accent1"/>
                <w:sz w:val="24"/>
                <w:szCs w:val="24"/>
                <w:lang w:val="en-US"/>
              </w:rPr>
            </w:pPr>
          </w:p>
          <w:p w14:paraId="4C5CBB81" w14:textId="77777777" w:rsidR="006A20E0" w:rsidRDefault="006A20E0" w:rsidP="00362F03">
            <w:pPr>
              <w:rPr>
                <w:b/>
                <w:color w:val="4F81BD" w:themeColor="accent1"/>
                <w:sz w:val="24"/>
                <w:szCs w:val="24"/>
                <w:lang w:val="en-US"/>
              </w:rPr>
            </w:pPr>
          </w:p>
          <w:p w14:paraId="72B31CBD" w14:textId="33728B74" w:rsidR="00362F03" w:rsidRPr="00FA746A" w:rsidRDefault="00FA746A" w:rsidP="00362F03">
            <w:pPr>
              <w:rPr>
                <w:b/>
                <w:color w:val="4F81BD" w:themeColor="accent1"/>
                <w:sz w:val="24"/>
                <w:szCs w:val="24"/>
                <w:lang w:val="en-US"/>
              </w:rPr>
            </w:pPr>
            <w:r>
              <w:rPr>
                <w:b/>
                <w:color w:val="4F81BD" w:themeColor="accent1"/>
                <w:sz w:val="24"/>
                <w:szCs w:val="24"/>
                <w:lang w:val="en-US"/>
              </w:rPr>
              <w:t>Masdar</w:t>
            </w:r>
          </w:p>
        </w:tc>
        <w:tc>
          <w:tcPr>
            <w:tcW w:w="1954" w:type="dxa"/>
          </w:tcPr>
          <w:p w14:paraId="426E1FE7" w14:textId="77777777" w:rsidR="006A20E0" w:rsidRDefault="006A20E0" w:rsidP="00362F03">
            <w:pPr>
              <w:rPr>
                <w:b/>
                <w:color w:val="4F81BD" w:themeColor="accent1"/>
                <w:sz w:val="24"/>
                <w:szCs w:val="24"/>
              </w:rPr>
            </w:pPr>
          </w:p>
          <w:p w14:paraId="1B99CB1A" w14:textId="77777777" w:rsidR="006A20E0" w:rsidRDefault="006A20E0" w:rsidP="00362F03">
            <w:pPr>
              <w:rPr>
                <w:b/>
                <w:color w:val="4F81BD" w:themeColor="accent1"/>
                <w:sz w:val="24"/>
                <w:szCs w:val="24"/>
              </w:rPr>
            </w:pPr>
          </w:p>
          <w:p w14:paraId="5C628588" w14:textId="15CAAE9F" w:rsidR="00362F03" w:rsidRPr="00362F03" w:rsidRDefault="00FA746A" w:rsidP="00362F03">
            <w:pPr>
              <w:rPr>
                <w:b/>
                <w:color w:val="4F81BD" w:themeColor="accent1"/>
                <w:sz w:val="24"/>
                <w:szCs w:val="24"/>
              </w:rPr>
            </w:pPr>
            <w:r>
              <w:rPr>
                <w:b/>
                <w:color w:val="4F81BD" w:themeColor="accent1"/>
                <w:sz w:val="24"/>
                <w:szCs w:val="24"/>
              </w:rPr>
              <w:t>Ανανεώσιμες Πηγές Ενέργειας</w:t>
            </w:r>
          </w:p>
        </w:tc>
        <w:tc>
          <w:tcPr>
            <w:tcW w:w="1954" w:type="dxa"/>
          </w:tcPr>
          <w:p w14:paraId="194A251A" w14:textId="77777777" w:rsidR="006A20E0" w:rsidRDefault="006A20E0" w:rsidP="00362F03">
            <w:pPr>
              <w:rPr>
                <w:b/>
                <w:color w:val="4F81BD" w:themeColor="accent1"/>
                <w:sz w:val="24"/>
                <w:szCs w:val="24"/>
              </w:rPr>
            </w:pPr>
          </w:p>
          <w:p w14:paraId="1D1E1414" w14:textId="77777777" w:rsidR="006A20E0" w:rsidRDefault="006A20E0" w:rsidP="00362F03">
            <w:pPr>
              <w:rPr>
                <w:b/>
                <w:color w:val="4F81BD" w:themeColor="accent1"/>
                <w:sz w:val="24"/>
                <w:szCs w:val="24"/>
              </w:rPr>
            </w:pPr>
          </w:p>
          <w:p w14:paraId="4AA98A72" w14:textId="4C7E1CA7" w:rsidR="00362F03" w:rsidRPr="00FA746A" w:rsidRDefault="00FA746A" w:rsidP="00362F03">
            <w:pPr>
              <w:rPr>
                <w:b/>
                <w:color w:val="4F81BD" w:themeColor="accent1"/>
                <w:sz w:val="24"/>
                <w:szCs w:val="24"/>
                <w:lang w:val="en-US"/>
              </w:rPr>
            </w:pPr>
            <w:r>
              <w:rPr>
                <w:b/>
                <w:color w:val="4F81BD" w:themeColor="accent1"/>
                <w:sz w:val="24"/>
                <w:szCs w:val="24"/>
              </w:rPr>
              <w:t xml:space="preserve">Εξαγορά 67% της </w:t>
            </w:r>
            <w:r>
              <w:rPr>
                <w:b/>
                <w:color w:val="4F81BD" w:themeColor="accent1"/>
                <w:sz w:val="24"/>
                <w:szCs w:val="24"/>
                <w:lang w:val="en-US"/>
              </w:rPr>
              <w:t>Terna Energy</w:t>
            </w:r>
          </w:p>
        </w:tc>
        <w:tc>
          <w:tcPr>
            <w:tcW w:w="1955" w:type="dxa"/>
          </w:tcPr>
          <w:p w14:paraId="653121A9" w14:textId="25324AFF" w:rsidR="00362F03" w:rsidRPr="006A20E0" w:rsidRDefault="00FA746A" w:rsidP="00362F03">
            <w:pPr>
              <w:rPr>
                <w:b/>
                <w:color w:val="4F81BD" w:themeColor="accent1"/>
                <w:sz w:val="24"/>
                <w:szCs w:val="24"/>
                <w:lang w:val="en-US"/>
              </w:rPr>
            </w:pPr>
            <w:r>
              <w:rPr>
                <w:b/>
                <w:color w:val="4F81BD" w:themeColor="accent1"/>
                <w:sz w:val="24"/>
                <w:szCs w:val="24"/>
                <w:lang w:val="en-US"/>
              </w:rPr>
              <w:t>2,4</w:t>
            </w:r>
            <w:r w:rsidRPr="006A20E0">
              <w:rPr>
                <w:b/>
                <w:color w:val="4F81BD" w:themeColor="accent1"/>
                <w:sz w:val="24"/>
                <w:szCs w:val="24"/>
                <w:lang w:val="en-AE"/>
              </w:rPr>
              <w:t xml:space="preserve"> </w:t>
            </w:r>
            <w:r>
              <w:rPr>
                <w:b/>
                <w:color w:val="4F81BD" w:themeColor="accent1"/>
                <w:sz w:val="24"/>
                <w:szCs w:val="24"/>
              </w:rPr>
              <w:t>δις</w:t>
            </w:r>
            <w:r w:rsidRPr="006A20E0">
              <w:rPr>
                <w:b/>
                <w:color w:val="4F81BD" w:themeColor="accent1"/>
                <w:sz w:val="24"/>
                <w:szCs w:val="24"/>
                <w:lang w:val="en-AE"/>
              </w:rPr>
              <w:t xml:space="preserve"> €</w:t>
            </w:r>
            <w:r w:rsidR="006A20E0" w:rsidRPr="006A20E0">
              <w:rPr>
                <w:b/>
                <w:color w:val="4F81BD" w:themeColor="accent1"/>
                <w:sz w:val="24"/>
                <w:szCs w:val="24"/>
                <w:lang w:val="en-AE"/>
              </w:rPr>
              <w:t xml:space="preserve"> </w:t>
            </w:r>
            <w:r w:rsidR="006A20E0">
              <w:rPr>
                <w:b/>
                <w:color w:val="4F81BD" w:themeColor="accent1"/>
                <w:sz w:val="24"/>
                <w:szCs w:val="24"/>
                <w:lang w:val="en-US"/>
              </w:rPr>
              <w:t xml:space="preserve">equity value &amp; 3,2 </w:t>
            </w:r>
            <w:r w:rsidR="006A20E0">
              <w:rPr>
                <w:b/>
                <w:color w:val="4F81BD" w:themeColor="accent1"/>
                <w:sz w:val="24"/>
                <w:szCs w:val="24"/>
              </w:rPr>
              <w:t>δις</w:t>
            </w:r>
            <w:r w:rsidR="006A20E0" w:rsidRPr="006A20E0">
              <w:rPr>
                <w:b/>
                <w:color w:val="4F81BD" w:themeColor="accent1"/>
                <w:sz w:val="24"/>
                <w:szCs w:val="24"/>
                <w:lang w:val="en-AE"/>
              </w:rPr>
              <w:t xml:space="preserve"> € </w:t>
            </w:r>
            <w:r w:rsidR="006A20E0">
              <w:rPr>
                <w:b/>
                <w:color w:val="4F81BD" w:themeColor="accent1"/>
                <w:sz w:val="24"/>
                <w:szCs w:val="24"/>
                <w:lang w:val="en-US"/>
              </w:rPr>
              <w:t>enterprise value</w:t>
            </w:r>
          </w:p>
        </w:tc>
      </w:tr>
      <w:tr w:rsidR="00362F03" w:rsidRPr="00F11CBE" w14:paraId="0E7EE51B" w14:textId="77777777" w:rsidTr="00362F03">
        <w:tc>
          <w:tcPr>
            <w:tcW w:w="1954" w:type="dxa"/>
          </w:tcPr>
          <w:p w14:paraId="6E45DB32" w14:textId="77777777" w:rsidR="00F11CBE" w:rsidRDefault="00F11CBE" w:rsidP="00362F03">
            <w:pPr>
              <w:rPr>
                <w:b/>
                <w:color w:val="4F81BD" w:themeColor="accent1"/>
                <w:sz w:val="24"/>
                <w:szCs w:val="24"/>
                <w:lang w:val="en-AE"/>
              </w:rPr>
            </w:pPr>
          </w:p>
          <w:p w14:paraId="04BAEFA9" w14:textId="77777777" w:rsidR="00F11CBE" w:rsidRDefault="00F11CBE" w:rsidP="00362F03">
            <w:pPr>
              <w:rPr>
                <w:b/>
                <w:color w:val="4F81BD" w:themeColor="accent1"/>
                <w:sz w:val="24"/>
                <w:szCs w:val="24"/>
                <w:lang w:val="en-AE"/>
              </w:rPr>
            </w:pPr>
          </w:p>
          <w:p w14:paraId="7DD3ABF6" w14:textId="08F6F252" w:rsidR="00362F03" w:rsidRPr="006A20E0" w:rsidRDefault="006A20E0" w:rsidP="00362F03">
            <w:pPr>
              <w:rPr>
                <w:b/>
                <w:color w:val="4F81BD" w:themeColor="accent1"/>
                <w:sz w:val="24"/>
                <w:szCs w:val="24"/>
                <w:lang w:val="en-AE"/>
              </w:rPr>
            </w:pPr>
            <w:r>
              <w:rPr>
                <w:b/>
                <w:color w:val="4F81BD" w:themeColor="accent1"/>
                <w:sz w:val="24"/>
                <w:szCs w:val="24"/>
                <w:lang w:val="en-AE"/>
              </w:rPr>
              <w:t>2025</w:t>
            </w:r>
          </w:p>
        </w:tc>
        <w:tc>
          <w:tcPr>
            <w:tcW w:w="1954" w:type="dxa"/>
          </w:tcPr>
          <w:p w14:paraId="65D74096" w14:textId="77777777" w:rsidR="00F11CBE" w:rsidRDefault="00F11CBE" w:rsidP="00362F03">
            <w:pPr>
              <w:rPr>
                <w:b/>
                <w:color w:val="4F81BD" w:themeColor="accent1"/>
                <w:sz w:val="24"/>
                <w:szCs w:val="24"/>
                <w:lang w:val="en-US"/>
              </w:rPr>
            </w:pPr>
          </w:p>
          <w:p w14:paraId="5B14B416" w14:textId="77777777" w:rsidR="00F11CBE" w:rsidRDefault="00F11CBE" w:rsidP="00362F03">
            <w:pPr>
              <w:rPr>
                <w:b/>
                <w:color w:val="4F81BD" w:themeColor="accent1"/>
                <w:sz w:val="24"/>
                <w:szCs w:val="24"/>
                <w:lang w:val="en-US"/>
              </w:rPr>
            </w:pPr>
          </w:p>
          <w:p w14:paraId="3C78F647" w14:textId="0DD5B886" w:rsidR="00362F03" w:rsidRPr="00F11CBE" w:rsidRDefault="00F11CBE" w:rsidP="00362F03">
            <w:pPr>
              <w:rPr>
                <w:b/>
                <w:color w:val="4F81BD" w:themeColor="accent1"/>
                <w:sz w:val="24"/>
                <w:szCs w:val="24"/>
                <w:lang w:val="en-US"/>
              </w:rPr>
            </w:pPr>
            <w:r>
              <w:rPr>
                <w:b/>
                <w:color w:val="4F81BD" w:themeColor="accent1"/>
                <w:sz w:val="24"/>
                <w:szCs w:val="24"/>
                <w:lang w:val="en-US"/>
              </w:rPr>
              <w:t>Masdar</w:t>
            </w:r>
          </w:p>
        </w:tc>
        <w:tc>
          <w:tcPr>
            <w:tcW w:w="1954" w:type="dxa"/>
          </w:tcPr>
          <w:p w14:paraId="716A8271" w14:textId="77777777" w:rsidR="00F11CBE" w:rsidRDefault="00F11CBE" w:rsidP="00362F03">
            <w:pPr>
              <w:rPr>
                <w:b/>
                <w:color w:val="4F81BD" w:themeColor="accent1"/>
                <w:sz w:val="24"/>
                <w:szCs w:val="24"/>
              </w:rPr>
            </w:pPr>
          </w:p>
          <w:p w14:paraId="118945B1" w14:textId="77777777" w:rsidR="00F11CBE" w:rsidRDefault="00F11CBE" w:rsidP="00362F03">
            <w:pPr>
              <w:rPr>
                <w:b/>
                <w:color w:val="4F81BD" w:themeColor="accent1"/>
                <w:sz w:val="24"/>
                <w:szCs w:val="24"/>
              </w:rPr>
            </w:pPr>
          </w:p>
          <w:p w14:paraId="078CC9A7" w14:textId="1E1B1F37" w:rsidR="00362F03" w:rsidRPr="00F11CBE" w:rsidRDefault="00F11CBE" w:rsidP="00362F03">
            <w:pPr>
              <w:rPr>
                <w:b/>
                <w:color w:val="4F81BD" w:themeColor="accent1"/>
                <w:sz w:val="24"/>
                <w:szCs w:val="24"/>
              </w:rPr>
            </w:pPr>
            <w:r>
              <w:rPr>
                <w:b/>
                <w:color w:val="4F81BD" w:themeColor="accent1"/>
                <w:sz w:val="24"/>
                <w:szCs w:val="24"/>
              </w:rPr>
              <w:t xml:space="preserve">Ενέργεια </w:t>
            </w:r>
          </w:p>
        </w:tc>
        <w:tc>
          <w:tcPr>
            <w:tcW w:w="1954" w:type="dxa"/>
          </w:tcPr>
          <w:p w14:paraId="3F20C690" w14:textId="374244B5" w:rsidR="00362F03" w:rsidRPr="00F11CBE" w:rsidRDefault="00F11CBE" w:rsidP="00362F03">
            <w:pPr>
              <w:rPr>
                <w:b/>
                <w:color w:val="4F81BD" w:themeColor="accent1"/>
                <w:sz w:val="24"/>
                <w:szCs w:val="24"/>
              </w:rPr>
            </w:pPr>
            <w:r>
              <w:rPr>
                <w:b/>
                <w:color w:val="4F81BD" w:themeColor="accent1"/>
                <w:sz w:val="24"/>
                <w:szCs w:val="24"/>
              </w:rPr>
              <w:t xml:space="preserve">Ολοκλήρωση εξαγοράς 100% της </w:t>
            </w:r>
            <w:r>
              <w:rPr>
                <w:b/>
                <w:color w:val="4F81BD" w:themeColor="accent1"/>
                <w:sz w:val="24"/>
                <w:szCs w:val="24"/>
                <w:lang w:val="en-US"/>
              </w:rPr>
              <w:t>TERNA</w:t>
            </w:r>
            <w:r w:rsidRPr="00F11CBE">
              <w:rPr>
                <w:b/>
                <w:color w:val="4F81BD" w:themeColor="accent1"/>
                <w:sz w:val="24"/>
                <w:szCs w:val="24"/>
              </w:rPr>
              <w:t xml:space="preserve"> </w:t>
            </w:r>
            <w:r>
              <w:rPr>
                <w:b/>
                <w:color w:val="4F81BD" w:themeColor="accent1"/>
                <w:sz w:val="24"/>
                <w:szCs w:val="24"/>
                <w:lang w:val="en-US"/>
              </w:rPr>
              <w:t>ENERGY</w:t>
            </w:r>
            <w:r w:rsidRPr="00F11CBE">
              <w:rPr>
                <w:b/>
                <w:color w:val="4F81BD" w:themeColor="accent1"/>
                <w:sz w:val="24"/>
                <w:szCs w:val="24"/>
              </w:rPr>
              <w:t xml:space="preserve"> </w:t>
            </w:r>
          </w:p>
        </w:tc>
        <w:tc>
          <w:tcPr>
            <w:tcW w:w="1955" w:type="dxa"/>
          </w:tcPr>
          <w:p w14:paraId="676E534F" w14:textId="28DE737F" w:rsidR="00362F03" w:rsidRPr="00F11CBE" w:rsidRDefault="000E0DA1" w:rsidP="00362F03">
            <w:pPr>
              <w:rPr>
                <w:b/>
                <w:color w:val="4F81BD" w:themeColor="accent1"/>
                <w:sz w:val="24"/>
                <w:szCs w:val="24"/>
              </w:rPr>
            </w:pPr>
            <w:r>
              <w:rPr>
                <w:b/>
                <w:color w:val="4F81BD" w:themeColor="accent1"/>
                <w:sz w:val="24"/>
                <w:szCs w:val="24"/>
              </w:rPr>
              <w:t>Συνολική αποτίμηση 2,4 δις €</w:t>
            </w:r>
          </w:p>
        </w:tc>
      </w:tr>
      <w:tr w:rsidR="00362F03" w:rsidRPr="00F11CBE" w14:paraId="1DB410AE" w14:textId="77777777" w:rsidTr="00362F03">
        <w:tc>
          <w:tcPr>
            <w:tcW w:w="1954" w:type="dxa"/>
          </w:tcPr>
          <w:p w14:paraId="2BAADDCE" w14:textId="77777777" w:rsidR="0007081B" w:rsidRDefault="0007081B" w:rsidP="00362F03">
            <w:pPr>
              <w:rPr>
                <w:b/>
                <w:color w:val="4F81BD" w:themeColor="accent1"/>
                <w:sz w:val="24"/>
                <w:szCs w:val="24"/>
              </w:rPr>
            </w:pPr>
          </w:p>
          <w:p w14:paraId="4789A874" w14:textId="77777777" w:rsidR="0007081B" w:rsidRDefault="0007081B" w:rsidP="00362F03">
            <w:pPr>
              <w:rPr>
                <w:b/>
                <w:color w:val="4F81BD" w:themeColor="accent1"/>
                <w:sz w:val="24"/>
                <w:szCs w:val="24"/>
              </w:rPr>
            </w:pPr>
          </w:p>
          <w:p w14:paraId="148017B5" w14:textId="77777777" w:rsidR="0007081B" w:rsidRDefault="0007081B" w:rsidP="00362F03">
            <w:pPr>
              <w:rPr>
                <w:b/>
                <w:color w:val="4F81BD" w:themeColor="accent1"/>
                <w:sz w:val="24"/>
                <w:szCs w:val="24"/>
              </w:rPr>
            </w:pPr>
          </w:p>
          <w:p w14:paraId="33586B86" w14:textId="77777777" w:rsidR="0007081B" w:rsidRDefault="0007081B" w:rsidP="00362F03">
            <w:pPr>
              <w:rPr>
                <w:b/>
                <w:color w:val="4F81BD" w:themeColor="accent1"/>
                <w:sz w:val="24"/>
                <w:szCs w:val="24"/>
              </w:rPr>
            </w:pPr>
          </w:p>
          <w:p w14:paraId="3527E366" w14:textId="6221B2B1" w:rsidR="00362F03" w:rsidRPr="00F11CBE" w:rsidRDefault="000E0DA1" w:rsidP="00362F03">
            <w:pPr>
              <w:rPr>
                <w:b/>
                <w:color w:val="4F81BD" w:themeColor="accent1"/>
                <w:sz w:val="24"/>
                <w:szCs w:val="24"/>
              </w:rPr>
            </w:pPr>
            <w:r>
              <w:rPr>
                <w:b/>
                <w:color w:val="4F81BD" w:themeColor="accent1"/>
                <w:sz w:val="24"/>
                <w:szCs w:val="24"/>
              </w:rPr>
              <w:t>2025</w:t>
            </w:r>
          </w:p>
        </w:tc>
        <w:tc>
          <w:tcPr>
            <w:tcW w:w="1954" w:type="dxa"/>
          </w:tcPr>
          <w:p w14:paraId="12FFC265" w14:textId="77777777" w:rsidR="0007081B" w:rsidRDefault="0007081B" w:rsidP="00362F03">
            <w:pPr>
              <w:rPr>
                <w:b/>
                <w:color w:val="4F81BD" w:themeColor="accent1"/>
                <w:sz w:val="24"/>
                <w:szCs w:val="24"/>
                <w:lang w:val="en-US"/>
              </w:rPr>
            </w:pPr>
          </w:p>
          <w:p w14:paraId="13225A98" w14:textId="77777777" w:rsidR="0007081B" w:rsidRDefault="0007081B" w:rsidP="00362F03">
            <w:pPr>
              <w:rPr>
                <w:b/>
                <w:color w:val="4F81BD" w:themeColor="accent1"/>
                <w:sz w:val="24"/>
                <w:szCs w:val="24"/>
                <w:lang w:val="en-US"/>
              </w:rPr>
            </w:pPr>
          </w:p>
          <w:p w14:paraId="46491B0A" w14:textId="77777777" w:rsidR="0007081B" w:rsidRDefault="0007081B" w:rsidP="00362F03">
            <w:pPr>
              <w:rPr>
                <w:b/>
                <w:color w:val="4F81BD" w:themeColor="accent1"/>
                <w:sz w:val="24"/>
                <w:szCs w:val="24"/>
                <w:lang w:val="en-US"/>
              </w:rPr>
            </w:pPr>
          </w:p>
          <w:p w14:paraId="5DD4FC25" w14:textId="77777777" w:rsidR="0007081B" w:rsidRDefault="0007081B" w:rsidP="00362F03">
            <w:pPr>
              <w:rPr>
                <w:b/>
                <w:color w:val="4F81BD" w:themeColor="accent1"/>
                <w:sz w:val="24"/>
                <w:szCs w:val="24"/>
                <w:lang w:val="en-US"/>
              </w:rPr>
            </w:pPr>
          </w:p>
          <w:p w14:paraId="564B886F" w14:textId="4EDA0177" w:rsidR="00362F03" w:rsidRPr="000E0DA1" w:rsidRDefault="000E0DA1" w:rsidP="00362F03">
            <w:pPr>
              <w:rPr>
                <w:b/>
                <w:color w:val="4F81BD" w:themeColor="accent1"/>
                <w:sz w:val="24"/>
                <w:szCs w:val="24"/>
                <w:lang w:val="en-US"/>
              </w:rPr>
            </w:pPr>
            <w:r>
              <w:rPr>
                <w:b/>
                <w:color w:val="4F81BD" w:themeColor="accent1"/>
                <w:sz w:val="24"/>
                <w:szCs w:val="24"/>
                <w:lang w:val="en-US"/>
              </w:rPr>
              <w:t>ADQ-HDB-HDBI</w:t>
            </w:r>
          </w:p>
        </w:tc>
        <w:tc>
          <w:tcPr>
            <w:tcW w:w="1954" w:type="dxa"/>
          </w:tcPr>
          <w:p w14:paraId="2ABDF5FF" w14:textId="40B72D32" w:rsidR="00362F03" w:rsidRPr="0007081B" w:rsidRDefault="00CC5EAF" w:rsidP="00362F03">
            <w:pPr>
              <w:rPr>
                <w:b/>
                <w:color w:val="4F81BD" w:themeColor="accent1"/>
                <w:sz w:val="24"/>
                <w:szCs w:val="24"/>
              </w:rPr>
            </w:pPr>
            <w:r>
              <w:rPr>
                <w:b/>
                <w:color w:val="4F81BD" w:themeColor="accent1"/>
                <w:sz w:val="24"/>
                <w:szCs w:val="24"/>
              </w:rPr>
              <w:t xml:space="preserve">Υποδομές, Ενέργεια, Τουρισμός, </w:t>
            </w:r>
            <w:r>
              <w:rPr>
                <w:b/>
                <w:color w:val="4F81BD" w:themeColor="accent1"/>
                <w:sz w:val="24"/>
                <w:szCs w:val="24"/>
                <w:lang w:val="en-US"/>
              </w:rPr>
              <w:t>Logistics</w:t>
            </w:r>
            <w:r w:rsidRPr="0007081B">
              <w:rPr>
                <w:b/>
                <w:color w:val="4F81BD" w:themeColor="accent1"/>
                <w:sz w:val="24"/>
                <w:szCs w:val="24"/>
              </w:rPr>
              <w:t xml:space="preserve">, </w:t>
            </w:r>
            <w:r w:rsidR="0007081B">
              <w:rPr>
                <w:b/>
                <w:color w:val="4F81BD" w:themeColor="accent1"/>
                <w:sz w:val="24"/>
                <w:szCs w:val="24"/>
              </w:rPr>
              <w:t xml:space="preserve">Τεχνολογία </w:t>
            </w:r>
          </w:p>
        </w:tc>
        <w:tc>
          <w:tcPr>
            <w:tcW w:w="1954" w:type="dxa"/>
          </w:tcPr>
          <w:p w14:paraId="54931226" w14:textId="54F04028" w:rsidR="00362F03" w:rsidRPr="00F11CBE" w:rsidRDefault="0007081B" w:rsidP="00362F03">
            <w:pPr>
              <w:rPr>
                <w:b/>
                <w:color w:val="4F81BD" w:themeColor="accent1"/>
                <w:sz w:val="24"/>
                <w:szCs w:val="24"/>
              </w:rPr>
            </w:pPr>
            <w:r>
              <w:rPr>
                <w:b/>
                <w:color w:val="4F81BD" w:themeColor="accent1"/>
                <w:sz w:val="24"/>
                <w:szCs w:val="24"/>
              </w:rPr>
              <w:t xml:space="preserve">Συνέχιση υλοποίησης της κοινής επενδυτικής πλατφόρμας Ελλάδας – ΗΑΕ </w:t>
            </w:r>
          </w:p>
        </w:tc>
        <w:tc>
          <w:tcPr>
            <w:tcW w:w="1955" w:type="dxa"/>
          </w:tcPr>
          <w:p w14:paraId="292C25D4" w14:textId="14A012B6" w:rsidR="00362F03" w:rsidRPr="0007081B" w:rsidRDefault="0007081B" w:rsidP="00362F03">
            <w:pPr>
              <w:rPr>
                <w:b/>
                <w:color w:val="4F81BD" w:themeColor="accent1"/>
                <w:sz w:val="24"/>
                <w:szCs w:val="24"/>
              </w:rPr>
            </w:pPr>
            <w:r>
              <w:rPr>
                <w:b/>
                <w:color w:val="4F81BD" w:themeColor="accent1"/>
                <w:sz w:val="24"/>
                <w:szCs w:val="24"/>
              </w:rPr>
              <w:t xml:space="preserve">Δυνητικό χαρτοφυλάκιο </w:t>
            </w:r>
            <w:r>
              <w:rPr>
                <w:b/>
                <w:color w:val="4F81BD" w:themeColor="accent1"/>
                <w:sz w:val="24"/>
                <w:szCs w:val="24"/>
                <w:lang w:val="en-US"/>
              </w:rPr>
              <w:t xml:space="preserve">4 </w:t>
            </w:r>
            <w:r>
              <w:rPr>
                <w:b/>
                <w:color w:val="4F81BD" w:themeColor="accent1"/>
                <w:sz w:val="24"/>
                <w:szCs w:val="24"/>
              </w:rPr>
              <w:t xml:space="preserve"> </w:t>
            </w:r>
            <w:r w:rsidR="00E162CD">
              <w:rPr>
                <w:b/>
                <w:color w:val="4F81BD" w:themeColor="accent1"/>
                <w:sz w:val="24"/>
                <w:szCs w:val="24"/>
              </w:rPr>
              <w:t>δις €</w:t>
            </w:r>
          </w:p>
        </w:tc>
      </w:tr>
      <w:tr w:rsidR="00362F03" w:rsidRPr="00F11CBE" w14:paraId="583C3039" w14:textId="77777777" w:rsidTr="00362F03">
        <w:tc>
          <w:tcPr>
            <w:tcW w:w="1954" w:type="dxa"/>
          </w:tcPr>
          <w:p w14:paraId="1FF0B4CF" w14:textId="77777777" w:rsidR="00362F03" w:rsidRPr="00F11CBE" w:rsidRDefault="00362F03" w:rsidP="00362F03">
            <w:pPr>
              <w:rPr>
                <w:b/>
                <w:color w:val="4F81BD" w:themeColor="accent1"/>
                <w:sz w:val="24"/>
                <w:szCs w:val="24"/>
              </w:rPr>
            </w:pPr>
          </w:p>
        </w:tc>
        <w:tc>
          <w:tcPr>
            <w:tcW w:w="1954" w:type="dxa"/>
          </w:tcPr>
          <w:p w14:paraId="70553B9E" w14:textId="77777777" w:rsidR="00362F03" w:rsidRPr="00F11CBE" w:rsidRDefault="00362F03" w:rsidP="00362F03">
            <w:pPr>
              <w:rPr>
                <w:b/>
                <w:color w:val="4F81BD" w:themeColor="accent1"/>
                <w:sz w:val="24"/>
                <w:szCs w:val="24"/>
              </w:rPr>
            </w:pPr>
          </w:p>
        </w:tc>
        <w:tc>
          <w:tcPr>
            <w:tcW w:w="1954" w:type="dxa"/>
          </w:tcPr>
          <w:p w14:paraId="10DD151C" w14:textId="77777777" w:rsidR="00362F03" w:rsidRPr="00F11CBE" w:rsidRDefault="00362F03" w:rsidP="00362F03">
            <w:pPr>
              <w:rPr>
                <w:b/>
                <w:color w:val="4F81BD" w:themeColor="accent1"/>
                <w:sz w:val="24"/>
                <w:szCs w:val="24"/>
              </w:rPr>
            </w:pPr>
          </w:p>
        </w:tc>
        <w:tc>
          <w:tcPr>
            <w:tcW w:w="1954" w:type="dxa"/>
          </w:tcPr>
          <w:p w14:paraId="0C7F9EA1" w14:textId="77777777" w:rsidR="00362F03" w:rsidRPr="00F11CBE" w:rsidRDefault="00362F03" w:rsidP="00362F03">
            <w:pPr>
              <w:rPr>
                <w:b/>
                <w:color w:val="4F81BD" w:themeColor="accent1"/>
                <w:sz w:val="24"/>
                <w:szCs w:val="24"/>
              </w:rPr>
            </w:pPr>
          </w:p>
        </w:tc>
        <w:tc>
          <w:tcPr>
            <w:tcW w:w="1955" w:type="dxa"/>
          </w:tcPr>
          <w:p w14:paraId="16F53698" w14:textId="77777777" w:rsidR="00362F03" w:rsidRPr="00F11CBE" w:rsidRDefault="00362F03" w:rsidP="00362F03">
            <w:pPr>
              <w:rPr>
                <w:b/>
                <w:color w:val="4F81BD" w:themeColor="accent1"/>
                <w:sz w:val="24"/>
                <w:szCs w:val="24"/>
              </w:rPr>
            </w:pPr>
          </w:p>
        </w:tc>
      </w:tr>
    </w:tbl>
    <w:p w14:paraId="51BFD7E9" w14:textId="04DC100A" w:rsidR="00963CE3" w:rsidRPr="004D031B" w:rsidRDefault="00963CE3" w:rsidP="00963CE3">
      <w:pPr>
        <w:rPr>
          <w:rFonts w:ascii="Arial Narrow" w:hAnsi="Arial Narrow"/>
          <w:b/>
          <w:color w:val="4F81BD" w:themeColor="accent1"/>
          <w:sz w:val="28"/>
          <w:szCs w:val="28"/>
        </w:rPr>
      </w:pPr>
    </w:p>
    <w:p w14:paraId="09600536" w14:textId="4C04AC69" w:rsidR="00963CE3" w:rsidRPr="00BD4739" w:rsidRDefault="00963CE3" w:rsidP="00963CE3">
      <w:pPr>
        <w:jc w:val="center"/>
        <w:rPr>
          <w:rFonts w:ascii="Arial Narrow" w:hAnsi="Arial Narrow"/>
          <w:b/>
          <w:color w:val="4F81BD" w:themeColor="accent1"/>
          <w:sz w:val="28"/>
          <w:szCs w:val="28"/>
        </w:rPr>
      </w:pPr>
      <w:r w:rsidRPr="00BD4739">
        <w:rPr>
          <w:rFonts w:ascii="Arial Narrow" w:hAnsi="Arial Narrow"/>
          <w:b/>
          <w:color w:val="4F81BD" w:themeColor="accent1"/>
          <w:sz w:val="28"/>
          <w:szCs w:val="28"/>
        </w:rPr>
        <w:t xml:space="preserve">8. ΘΕΣΜΙΚΟ ΕΠΕΝΔΥΤΙΚΟ ΠΛΑΙΣΙΟ ΕΛΛΑΔΑΣ – ΗΑΕ </w:t>
      </w:r>
    </w:p>
    <w:p w14:paraId="22F3DBDB" w14:textId="172B9876" w:rsidR="00D6642A" w:rsidRPr="004D031B" w:rsidRDefault="00963CE3" w:rsidP="00AB32B6">
      <w:pPr>
        <w:jc w:val="both"/>
        <w:rPr>
          <w:rFonts w:ascii="Arial Narrow" w:hAnsi="Arial Narrow"/>
          <w:sz w:val="24"/>
          <w:szCs w:val="24"/>
        </w:rPr>
      </w:pPr>
      <w:r w:rsidRPr="004D031B">
        <w:rPr>
          <w:rFonts w:ascii="Arial Narrow" w:hAnsi="Arial Narrow"/>
          <w:sz w:val="24"/>
          <w:szCs w:val="24"/>
        </w:rPr>
        <w:t xml:space="preserve">Τον Μάϊο 2022 υπεγράφη στρατηγική συμφωνία μεταξύ της </w:t>
      </w:r>
      <w:r w:rsidRPr="004D031B">
        <w:rPr>
          <w:rFonts w:ascii="Arial Narrow" w:hAnsi="Arial Narrow"/>
          <w:sz w:val="24"/>
          <w:szCs w:val="24"/>
          <w:lang w:val="en-US"/>
        </w:rPr>
        <w:t>ADQ</w:t>
      </w:r>
      <w:r w:rsidR="00AB32B6" w:rsidRPr="004D031B">
        <w:rPr>
          <w:rFonts w:ascii="Arial Narrow" w:hAnsi="Arial Narrow"/>
          <w:sz w:val="24"/>
          <w:szCs w:val="24"/>
        </w:rPr>
        <w:t xml:space="preserve">, της </w:t>
      </w:r>
      <w:r w:rsidR="00AB32B6" w:rsidRPr="004D031B">
        <w:rPr>
          <w:rFonts w:ascii="Arial Narrow" w:hAnsi="Arial Narrow"/>
          <w:sz w:val="24"/>
          <w:szCs w:val="24"/>
          <w:lang w:val="en-US"/>
        </w:rPr>
        <w:t>HELLENIC</w:t>
      </w:r>
      <w:r w:rsidR="00AB32B6" w:rsidRPr="004D031B">
        <w:rPr>
          <w:rFonts w:ascii="Arial Narrow" w:hAnsi="Arial Narrow"/>
          <w:sz w:val="24"/>
          <w:szCs w:val="24"/>
        </w:rPr>
        <w:t xml:space="preserve"> </w:t>
      </w:r>
      <w:r w:rsidR="00AB32B6" w:rsidRPr="004D031B">
        <w:rPr>
          <w:rFonts w:ascii="Arial Narrow" w:hAnsi="Arial Narrow"/>
          <w:sz w:val="24"/>
          <w:szCs w:val="24"/>
          <w:lang w:val="en-US"/>
        </w:rPr>
        <w:t>DEVELOPMENT</w:t>
      </w:r>
      <w:r w:rsidR="00AB32B6" w:rsidRPr="004D031B">
        <w:rPr>
          <w:rFonts w:ascii="Arial Narrow" w:hAnsi="Arial Narrow"/>
          <w:sz w:val="24"/>
          <w:szCs w:val="24"/>
        </w:rPr>
        <w:t xml:space="preserve"> </w:t>
      </w:r>
      <w:r w:rsidR="00AB32B6" w:rsidRPr="004D031B">
        <w:rPr>
          <w:rFonts w:ascii="Arial Narrow" w:hAnsi="Arial Narrow"/>
          <w:sz w:val="24"/>
          <w:szCs w:val="24"/>
          <w:lang w:val="en-US"/>
        </w:rPr>
        <w:t>BANK</w:t>
      </w:r>
      <w:r w:rsidR="00AB32B6" w:rsidRPr="004D031B">
        <w:rPr>
          <w:rFonts w:ascii="Arial Narrow" w:hAnsi="Arial Narrow"/>
          <w:sz w:val="24"/>
          <w:szCs w:val="24"/>
        </w:rPr>
        <w:t xml:space="preserve"> &amp; </w:t>
      </w:r>
      <w:r w:rsidR="00AB32B6" w:rsidRPr="004D031B">
        <w:rPr>
          <w:rFonts w:ascii="Arial Narrow" w:hAnsi="Arial Narrow"/>
          <w:sz w:val="24"/>
          <w:szCs w:val="24"/>
          <w:lang w:val="en-US"/>
        </w:rPr>
        <w:t>HELLENIC</w:t>
      </w:r>
      <w:r w:rsidR="00AB32B6" w:rsidRPr="004D031B">
        <w:rPr>
          <w:rFonts w:ascii="Arial Narrow" w:hAnsi="Arial Narrow"/>
          <w:sz w:val="24"/>
          <w:szCs w:val="24"/>
        </w:rPr>
        <w:t xml:space="preserve"> </w:t>
      </w:r>
      <w:r w:rsidR="00AB32B6" w:rsidRPr="004D031B">
        <w:rPr>
          <w:rFonts w:ascii="Arial Narrow" w:hAnsi="Arial Narrow"/>
          <w:sz w:val="24"/>
          <w:szCs w:val="24"/>
          <w:lang w:val="en-US"/>
        </w:rPr>
        <w:t>DEVELOPMENT</w:t>
      </w:r>
      <w:r w:rsidR="00AB32B6" w:rsidRPr="004D031B">
        <w:rPr>
          <w:rFonts w:ascii="Arial Narrow" w:hAnsi="Arial Narrow"/>
          <w:sz w:val="24"/>
          <w:szCs w:val="24"/>
        </w:rPr>
        <w:t xml:space="preserve"> </w:t>
      </w:r>
      <w:r w:rsidR="00AB32B6" w:rsidRPr="004D031B">
        <w:rPr>
          <w:rFonts w:ascii="Arial Narrow" w:hAnsi="Arial Narrow"/>
          <w:sz w:val="24"/>
          <w:szCs w:val="24"/>
          <w:lang w:val="en-US"/>
        </w:rPr>
        <w:t>BANK</w:t>
      </w:r>
      <w:r w:rsidR="00AB32B6" w:rsidRPr="004D031B">
        <w:rPr>
          <w:rFonts w:ascii="Arial Narrow" w:hAnsi="Arial Narrow"/>
          <w:sz w:val="24"/>
          <w:szCs w:val="24"/>
        </w:rPr>
        <w:t xml:space="preserve"> </w:t>
      </w:r>
      <w:r w:rsidR="00AB32B6" w:rsidRPr="004D031B">
        <w:rPr>
          <w:rFonts w:ascii="Arial Narrow" w:hAnsi="Arial Narrow"/>
          <w:sz w:val="24"/>
          <w:szCs w:val="24"/>
          <w:lang w:val="en-US"/>
        </w:rPr>
        <w:t>OF</w:t>
      </w:r>
      <w:r w:rsidR="00AB32B6" w:rsidRPr="004D031B">
        <w:rPr>
          <w:rFonts w:ascii="Arial Narrow" w:hAnsi="Arial Narrow"/>
          <w:sz w:val="24"/>
          <w:szCs w:val="24"/>
        </w:rPr>
        <w:t xml:space="preserve"> </w:t>
      </w:r>
      <w:r w:rsidR="00AB32B6" w:rsidRPr="004D031B">
        <w:rPr>
          <w:rFonts w:ascii="Arial Narrow" w:hAnsi="Arial Narrow"/>
          <w:sz w:val="24"/>
          <w:szCs w:val="24"/>
          <w:lang w:val="en-US"/>
        </w:rPr>
        <w:t>INVESTMENT</w:t>
      </w:r>
      <w:r w:rsidR="00AB32B6" w:rsidRPr="004D031B">
        <w:rPr>
          <w:rFonts w:ascii="Arial Narrow" w:hAnsi="Arial Narrow"/>
          <w:sz w:val="24"/>
          <w:szCs w:val="24"/>
        </w:rPr>
        <w:t xml:space="preserve"> για την δημιουργία επενδυτικής πλατφόρμας ύψους 4 δις €</w:t>
      </w:r>
      <w:r w:rsidR="004D031B" w:rsidRPr="004D031B">
        <w:rPr>
          <w:rFonts w:ascii="Arial Narrow" w:hAnsi="Arial Narrow"/>
          <w:sz w:val="24"/>
          <w:szCs w:val="24"/>
        </w:rPr>
        <w:t xml:space="preserve">, με στόχο τη χρηματοδότηση έργων σε ενέργεια, Ανανεώσιμες Πηγές Ενέργειας, Υποδομές, </w:t>
      </w:r>
      <w:r w:rsidR="004D031B" w:rsidRPr="004D031B">
        <w:rPr>
          <w:rFonts w:ascii="Arial Narrow" w:hAnsi="Arial Narrow"/>
          <w:sz w:val="24"/>
          <w:szCs w:val="24"/>
          <w:lang w:val="en-US"/>
        </w:rPr>
        <w:t>Logistics</w:t>
      </w:r>
      <w:r w:rsidR="004D031B" w:rsidRPr="004D031B">
        <w:rPr>
          <w:rFonts w:ascii="Arial Narrow" w:hAnsi="Arial Narrow"/>
          <w:sz w:val="24"/>
          <w:szCs w:val="24"/>
        </w:rPr>
        <w:t xml:space="preserve">, Τουρισμό, Αγροδιατροφή, Τεχνολογία &amp; Υγεία. Η συμφωνία αυτή εξακολουθεί να αποτελεί το βασικό όχημα των επενδύσεων των ΗΑΕ στην Ελλάδα. </w:t>
      </w:r>
    </w:p>
    <w:p w14:paraId="3281FF2D" w14:textId="249D050D" w:rsidR="004D031B" w:rsidRDefault="002A5419" w:rsidP="004D031B">
      <w:pPr>
        <w:jc w:val="center"/>
        <w:rPr>
          <w:rFonts w:ascii="Arial Narrow" w:hAnsi="Arial Narrow"/>
          <w:b/>
          <w:color w:val="4F81BD" w:themeColor="accent1"/>
          <w:sz w:val="28"/>
          <w:szCs w:val="28"/>
        </w:rPr>
      </w:pPr>
      <w:r>
        <w:rPr>
          <w:rFonts w:ascii="Arial Narrow" w:hAnsi="Arial Narrow"/>
          <w:b/>
          <w:color w:val="4F81BD" w:themeColor="accent1"/>
          <w:sz w:val="28"/>
          <w:szCs w:val="28"/>
        </w:rPr>
        <w:t>ΠΙΝΑΚΑΣ 3</w:t>
      </w:r>
      <w:r w:rsidR="008E0187">
        <w:rPr>
          <w:rFonts w:ascii="Arial Narrow" w:hAnsi="Arial Narrow"/>
          <w:b/>
          <w:color w:val="4F81BD" w:themeColor="accent1"/>
          <w:sz w:val="28"/>
          <w:szCs w:val="28"/>
        </w:rPr>
        <w:t>1</w:t>
      </w:r>
      <w:r>
        <w:rPr>
          <w:rFonts w:ascii="Arial Narrow" w:hAnsi="Arial Narrow"/>
          <w:b/>
          <w:color w:val="4F81BD" w:themeColor="accent1"/>
          <w:sz w:val="28"/>
          <w:szCs w:val="28"/>
        </w:rPr>
        <w:t xml:space="preserve"> - </w:t>
      </w:r>
      <w:r w:rsidR="004D031B" w:rsidRPr="00BD4739">
        <w:rPr>
          <w:rFonts w:ascii="Arial Narrow" w:hAnsi="Arial Narrow"/>
          <w:b/>
          <w:color w:val="4F81BD" w:themeColor="accent1"/>
          <w:sz w:val="28"/>
          <w:szCs w:val="28"/>
        </w:rPr>
        <w:t xml:space="preserve">9. ΕΚΤΙΜΩΜΕΝΗ ΕΞΕΛΙΞΗ ΕΠΕΝΔΥΣΕΩΝ ΗΑΕ ΣΤΗΝ ΕΛΛΔΑ </w:t>
      </w:r>
    </w:p>
    <w:tbl>
      <w:tblPr>
        <w:tblStyle w:val="TableGrid"/>
        <w:tblW w:w="0" w:type="auto"/>
        <w:tblLook w:val="04A0" w:firstRow="1" w:lastRow="0" w:firstColumn="1" w:lastColumn="0" w:noHBand="0" w:noVBand="1"/>
      </w:tblPr>
      <w:tblGrid>
        <w:gridCol w:w="4885"/>
        <w:gridCol w:w="4886"/>
      </w:tblGrid>
      <w:tr w:rsidR="00D6642A" w14:paraId="4CF32ED0" w14:textId="77777777" w:rsidTr="00D6642A">
        <w:tc>
          <w:tcPr>
            <w:tcW w:w="4885" w:type="dxa"/>
          </w:tcPr>
          <w:p w14:paraId="58A2E89C" w14:textId="5B2E1750" w:rsidR="00D6642A" w:rsidRPr="00D6642A" w:rsidRDefault="00460E8A" w:rsidP="00D6642A">
            <w:pPr>
              <w:rPr>
                <w:rFonts w:ascii="Arial Narrow" w:hAnsi="Arial Narrow"/>
                <w:b/>
                <w:color w:val="4F81BD" w:themeColor="accent1"/>
                <w:sz w:val="24"/>
                <w:szCs w:val="24"/>
              </w:rPr>
            </w:pPr>
            <w:r>
              <w:rPr>
                <w:rFonts w:ascii="Arial Narrow" w:hAnsi="Arial Narrow"/>
                <w:b/>
                <w:color w:val="4F81BD" w:themeColor="accent1"/>
                <w:sz w:val="24"/>
                <w:szCs w:val="24"/>
              </w:rPr>
              <w:t xml:space="preserve">Έτος </w:t>
            </w:r>
          </w:p>
        </w:tc>
        <w:tc>
          <w:tcPr>
            <w:tcW w:w="4886" w:type="dxa"/>
          </w:tcPr>
          <w:p w14:paraId="7CC2819C" w14:textId="2F725B6F" w:rsidR="00D6642A" w:rsidRPr="00D6642A" w:rsidRDefault="00460E8A" w:rsidP="00D6642A">
            <w:pPr>
              <w:rPr>
                <w:rFonts w:ascii="Arial Narrow" w:hAnsi="Arial Narrow"/>
                <w:b/>
                <w:color w:val="4F81BD" w:themeColor="accent1"/>
                <w:sz w:val="24"/>
                <w:szCs w:val="24"/>
              </w:rPr>
            </w:pPr>
            <w:r>
              <w:rPr>
                <w:rFonts w:ascii="Arial Narrow" w:hAnsi="Arial Narrow"/>
                <w:b/>
                <w:color w:val="4F81BD" w:themeColor="accent1"/>
                <w:sz w:val="24"/>
                <w:szCs w:val="24"/>
              </w:rPr>
              <w:t>Εκτίμηση Ροής Επενδύσεων ΗΑΕ στην Ελλάδα</w:t>
            </w:r>
          </w:p>
        </w:tc>
      </w:tr>
      <w:tr w:rsidR="00D6642A" w14:paraId="24864C01" w14:textId="77777777" w:rsidTr="00D6642A">
        <w:tc>
          <w:tcPr>
            <w:tcW w:w="4885" w:type="dxa"/>
          </w:tcPr>
          <w:p w14:paraId="59BEFE0E" w14:textId="77777777" w:rsidR="00460E8A" w:rsidRDefault="00460E8A" w:rsidP="00D6642A">
            <w:pPr>
              <w:rPr>
                <w:rFonts w:ascii="Arial Narrow" w:hAnsi="Arial Narrow"/>
                <w:b/>
                <w:color w:val="4F81BD" w:themeColor="accent1"/>
                <w:sz w:val="24"/>
                <w:szCs w:val="24"/>
              </w:rPr>
            </w:pPr>
          </w:p>
          <w:p w14:paraId="2857C631" w14:textId="53A0C554" w:rsidR="00D6642A" w:rsidRPr="00D6642A" w:rsidRDefault="00460E8A" w:rsidP="00D6642A">
            <w:pPr>
              <w:rPr>
                <w:rFonts w:ascii="Arial Narrow" w:hAnsi="Arial Narrow"/>
                <w:b/>
                <w:color w:val="4F81BD" w:themeColor="accent1"/>
                <w:sz w:val="24"/>
                <w:szCs w:val="24"/>
              </w:rPr>
            </w:pPr>
            <w:r>
              <w:rPr>
                <w:rFonts w:ascii="Arial Narrow" w:hAnsi="Arial Narrow"/>
                <w:b/>
                <w:color w:val="4F81BD" w:themeColor="accent1"/>
                <w:sz w:val="24"/>
                <w:szCs w:val="24"/>
              </w:rPr>
              <w:t>2023</w:t>
            </w:r>
          </w:p>
        </w:tc>
        <w:tc>
          <w:tcPr>
            <w:tcW w:w="4886" w:type="dxa"/>
          </w:tcPr>
          <w:p w14:paraId="4A5B1D77" w14:textId="455E744F" w:rsidR="00D6642A" w:rsidRPr="00D6642A" w:rsidRDefault="00460E8A" w:rsidP="00D6642A">
            <w:pPr>
              <w:rPr>
                <w:rFonts w:ascii="Arial Narrow" w:hAnsi="Arial Narrow"/>
                <w:b/>
                <w:color w:val="4F81BD" w:themeColor="accent1"/>
                <w:sz w:val="24"/>
                <w:szCs w:val="24"/>
              </w:rPr>
            </w:pPr>
            <w:r>
              <w:rPr>
                <w:rFonts w:ascii="Arial Narrow" w:hAnsi="Arial Narrow"/>
                <w:b/>
                <w:color w:val="4F81BD" w:themeColor="accent1"/>
                <w:sz w:val="24"/>
                <w:szCs w:val="24"/>
              </w:rPr>
              <w:t>Περιορισμένες νέες επενδύσεις – κυρίως προετοιμασία έργων</w:t>
            </w:r>
          </w:p>
        </w:tc>
      </w:tr>
      <w:tr w:rsidR="00D6642A" w14:paraId="64BBB9E3" w14:textId="77777777" w:rsidTr="00D6642A">
        <w:tc>
          <w:tcPr>
            <w:tcW w:w="4885" w:type="dxa"/>
          </w:tcPr>
          <w:p w14:paraId="4F1E79CF" w14:textId="7C0B02C0" w:rsidR="00D6642A" w:rsidRPr="00D6642A" w:rsidRDefault="00460E8A" w:rsidP="00D6642A">
            <w:pPr>
              <w:rPr>
                <w:rFonts w:ascii="Arial Narrow" w:hAnsi="Arial Narrow"/>
                <w:b/>
                <w:color w:val="4F81BD" w:themeColor="accent1"/>
                <w:sz w:val="24"/>
                <w:szCs w:val="24"/>
              </w:rPr>
            </w:pPr>
            <w:r>
              <w:rPr>
                <w:rFonts w:ascii="Arial Narrow" w:hAnsi="Arial Narrow"/>
                <w:b/>
                <w:color w:val="4F81BD" w:themeColor="accent1"/>
                <w:sz w:val="24"/>
                <w:szCs w:val="24"/>
              </w:rPr>
              <w:t>2024</w:t>
            </w:r>
          </w:p>
        </w:tc>
        <w:tc>
          <w:tcPr>
            <w:tcW w:w="4886" w:type="dxa"/>
          </w:tcPr>
          <w:p w14:paraId="5F33E3EC" w14:textId="57555EAA" w:rsidR="00D6642A" w:rsidRPr="00F04F50" w:rsidRDefault="00460E8A" w:rsidP="00D6642A">
            <w:pPr>
              <w:rPr>
                <w:rFonts w:ascii="Arial Narrow" w:hAnsi="Arial Narrow"/>
                <w:b/>
                <w:color w:val="4F81BD" w:themeColor="accent1"/>
                <w:sz w:val="24"/>
                <w:szCs w:val="24"/>
              </w:rPr>
            </w:pPr>
            <w:r>
              <w:rPr>
                <w:rFonts w:ascii="Arial Narrow" w:hAnsi="Arial Narrow"/>
                <w:b/>
                <w:color w:val="4F81BD" w:themeColor="accent1"/>
                <w:sz w:val="24"/>
                <w:szCs w:val="24"/>
              </w:rPr>
              <w:t xml:space="preserve">Πολύ σημαντική αύξηση λόγω </w:t>
            </w:r>
            <w:r w:rsidR="00F04F50">
              <w:rPr>
                <w:rFonts w:ascii="Arial Narrow" w:hAnsi="Arial Narrow"/>
                <w:b/>
                <w:color w:val="4F81BD" w:themeColor="accent1"/>
                <w:sz w:val="24"/>
                <w:szCs w:val="24"/>
                <w:lang w:val="en-US"/>
              </w:rPr>
              <w:t>Masdar</w:t>
            </w:r>
            <w:r w:rsidR="00F04F50" w:rsidRPr="00F04F50">
              <w:rPr>
                <w:rFonts w:ascii="Arial Narrow" w:hAnsi="Arial Narrow"/>
                <w:b/>
                <w:color w:val="4F81BD" w:themeColor="accent1"/>
                <w:sz w:val="24"/>
                <w:szCs w:val="24"/>
              </w:rPr>
              <w:t xml:space="preserve"> </w:t>
            </w:r>
            <w:r w:rsidR="00F04F50">
              <w:rPr>
                <w:rFonts w:ascii="Arial Narrow" w:hAnsi="Arial Narrow"/>
                <w:b/>
                <w:color w:val="4F81BD" w:themeColor="accent1"/>
                <w:sz w:val="24"/>
                <w:szCs w:val="24"/>
              </w:rPr>
              <w:t>–</w:t>
            </w:r>
            <w:r w:rsidR="00F04F50" w:rsidRPr="00F04F50">
              <w:rPr>
                <w:rFonts w:ascii="Arial Narrow" w:hAnsi="Arial Narrow"/>
                <w:b/>
                <w:color w:val="4F81BD" w:themeColor="accent1"/>
                <w:sz w:val="24"/>
                <w:szCs w:val="24"/>
              </w:rPr>
              <w:t xml:space="preserve"> </w:t>
            </w:r>
            <w:r w:rsidR="00F04F50">
              <w:rPr>
                <w:rFonts w:ascii="Arial Narrow" w:hAnsi="Arial Narrow"/>
                <w:b/>
                <w:color w:val="4F81BD" w:themeColor="accent1"/>
                <w:sz w:val="24"/>
                <w:szCs w:val="24"/>
                <w:lang w:val="en-US"/>
              </w:rPr>
              <w:t>TERNA</w:t>
            </w:r>
          </w:p>
        </w:tc>
      </w:tr>
      <w:tr w:rsidR="00D6642A" w14:paraId="2766CB17" w14:textId="77777777" w:rsidTr="00D6642A">
        <w:tc>
          <w:tcPr>
            <w:tcW w:w="4885" w:type="dxa"/>
          </w:tcPr>
          <w:p w14:paraId="17CE5AEA" w14:textId="77777777" w:rsidR="00B06F35" w:rsidRPr="006F4630" w:rsidRDefault="00B06F35" w:rsidP="00D6642A">
            <w:pPr>
              <w:rPr>
                <w:rFonts w:ascii="Arial Narrow" w:hAnsi="Arial Narrow"/>
                <w:b/>
                <w:color w:val="4F81BD" w:themeColor="accent1"/>
                <w:sz w:val="24"/>
                <w:szCs w:val="24"/>
              </w:rPr>
            </w:pPr>
          </w:p>
          <w:p w14:paraId="42B1DD17" w14:textId="77777777" w:rsidR="00B06F35" w:rsidRPr="006F4630" w:rsidRDefault="00B06F35" w:rsidP="00D6642A">
            <w:pPr>
              <w:rPr>
                <w:rFonts w:ascii="Arial Narrow" w:hAnsi="Arial Narrow"/>
                <w:b/>
                <w:color w:val="4F81BD" w:themeColor="accent1"/>
                <w:sz w:val="24"/>
                <w:szCs w:val="24"/>
              </w:rPr>
            </w:pPr>
          </w:p>
          <w:p w14:paraId="10D71B8D" w14:textId="62827AE7" w:rsidR="00D6642A" w:rsidRPr="00F04F50" w:rsidRDefault="00F04F50" w:rsidP="00D6642A">
            <w:pPr>
              <w:rPr>
                <w:rFonts w:ascii="Arial Narrow" w:hAnsi="Arial Narrow"/>
                <w:b/>
                <w:color w:val="4F81BD" w:themeColor="accent1"/>
                <w:sz w:val="24"/>
                <w:szCs w:val="24"/>
                <w:lang w:val="en-US"/>
              </w:rPr>
            </w:pPr>
            <w:r>
              <w:rPr>
                <w:rFonts w:ascii="Arial Narrow" w:hAnsi="Arial Narrow"/>
                <w:b/>
                <w:color w:val="4F81BD" w:themeColor="accent1"/>
                <w:sz w:val="24"/>
                <w:szCs w:val="24"/>
                <w:lang w:val="en-US"/>
              </w:rPr>
              <w:t>2025</w:t>
            </w:r>
          </w:p>
        </w:tc>
        <w:tc>
          <w:tcPr>
            <w:tcW w:w="4886" w:type="dxa"/>
          </w:tcPr>
          <w:p w14:paraId="27489AC9" w14:textId="4824EF17" w:rsidR="00D6642A" w:rsidRPr="00B06F35" w:rsidRDefault="009D456D" w:rsidP="00D6642A">
            <w:pPr>
              <w:rPr>
                <w:rFonts w:ascii="Arial Narrow" w:hAnsi="Arial Narrow"/>
                <w:b/>
                <w:color w:val="4F81BD" w:themeColor="accent1"/>
                <w:sz w:val="24"/>
                <w:szCs w:val="24"/>
              </w:rPr>
            </w:pPr>
            <w:r>
              <w:rPr>
                <w:rFonts w:ascii="Arial Narrow" w:hAnsi="Arial Narrow"/>
                <w:b/>
                <w:color w:val="4F81BD" w:themeColor="accent1"/>
                <w:sz w:val="24"/>
                <w:szCs w:val="24"/>
              </w:rPr>
              <w:t xml:space="preserve">Διατήρηση υψηλού επιπέδου λόγω ολοκλήρωσης της συναλλαγής και νέων ενεργειακών </w:t>
            </w:r>
            <w:r w:rsidR="00B06F35">
              <w:rPr>
                <w:rFonts w:ascii="Arial Narrow" w:hAnsi="Arial Narrow"/>
                <w:b/>
                <w:color w:val="4F81BD" w:themeColor="accent1"/>
                <w:sz w:val="24"/>
                <w:szCs w:val="24"/>
                <w:lang w:val="en-US"/>
              </w:rPr>
              <w:t>projects</w:t>
            </w:r>
          </w:p>
        </w:tc>
      </w:tr>
    </w:tbl>
    <w:p w14:paraId="7330D0CB" w14:textId="09DE800D" w:rsidR="00BD4739" w:rsidRDefault="00BD4739" w:rsidP="00D6642A">
      <w:pPr>
        <w:rPr>
          <w:rFonts w:ascii="Arial Narrow" w:hAnsi="Arial Narrow"/>
          <w:sz w:val="24"/>
          <w:szCs w:val="24"/>
        </w:rPr>
      </w:pPr>
    </w:p>
    <w:p w14:paraId="37E33BEE" w14:textId="0410052D" w:rsidR="00964B82" w:rsidRDefault="002A5419" w:rsidP="00964B82">
      <w:pPr>
        <w:jc w:val="center"/>
        <w:rPr>
          <w:rFonts w:ascii="Arial Narrow" w:hAnsi="Arial Narrow"/>
          <w:b/>
          <w:color w:val="4F81BD" w:themeColor="accent1"/>
          <w:sz w:val="28"/>
          <w:szCs w:val="28"/>
        </w:rPr>
      </w:pPr>
      <w:r>
        <w:rPr>
          <w:rFonts w:ascii="Arial Narrow" w:hAnsi="Arial Narrow"/>
          <w:b/>
          <w:color w:val="4F81BD" w:themeColor="accent1"/>
          <w:sz w:val="28"/>
          <w:szCs w:val="28"/>
        </w:rPr>
        <w:t>ΠΙΝΑΚΑΣ 3</w:t>
      </w:r>
      <w:r w:rsidR="008E0187">
        <w:rPr>
          <w:rFonts w:ascii="Arial Narrow" w:hAnsi="Arial Narrow"/>
          <w:b/>
          <w:color w:val="4F81BD" w:themeColor="accent1"/>
          <w:sz w:val="28"/>
          <w:szCs w:val="28"/>
        </w:rPr>
        <w:t>2</w:t>
      </w:r>
      <w:bookmarkStart w:id="48" w:name="_GoBack"/>
      <w:bookmarkEnd w:id="48"/>
      <w:r w:rsidR="002320F0">
        <w:rPr>
          <w:rFonts w:ascii="Arial Narrow" w:hAnsi="Arial Narrow"/>
          <w:b/>
          <w:color w:val="4F81BD" w:themeColor="accent1"/>
          <w:sz w:val="28"/>
          <w:szCs w:val="28"/>
          <w:lang w:val="en-US"/>
        </w:rPr>
        <w:t xml:space="preserve"> </w:t>
      </w:r>
      <w:r>
        <w:rPr>
          <w:rFonts w:ascii="Arial Narrow" w:hAnsi="Arial Narrow"/>
          <w:b/>
          <w:color w:val="4F81BD" w:themeColor="accent1"/>
          <w:sz w:val="28"/>
          <w:szCs w:val="28"/>
        </w:rPr>
        <w:t xml:space="preserve">- </w:t>
      </w:r>
      <w:r w:rsidR="00964B82">
        <w:rPr>
          <w:rFonts w:ascii="Arial Narrow" w:hAnsi="Arial Narrow"/>
          <w:b/>
          <w:color w:val="4F81BD" w:themeColor="accent1"/>
          <w:sz w:val="28"/>
          <w:szCs w:val="28"/>
        </w:rPr>
        <w:t>10. ΤΟΜΕΙΣ ΕΝΔΙΑΦΕΡΟΝΤΟΣ ΤΩΝ ΕΜΙΡΑΤΙΝΩΝ ΕΠΕΝΔΥΤΏΝ ΣΤΗΝ ΕΛΛΑΔΑ 2025-2030</w:t>
      </w:r>
    </w:p>
    <w:tbl>
      <w:tblPr>
        <w:tblStyle w:val="TableGrid"/>
        <w:tblW w:w="0" w:type="auto"/>
        <w:tblLook w:val="04A0" w:firstRow="1" w:lastRow="0" w:firstColumn="1" w:lastColumn="0" w:noHBand="0" w:noVBand="1"/>
      </w:tblPr>
      <w:tblGrid>
        <w:gridCol w:w="4885"/>
        <w:gridCol w:w="4886"/>
      </w:tblGrid>
      <w:tr w:rsidR="00D77E42" w:rsidRPr="00D77E42" w14:paraId="21823E8E" w14:textId="77777777" w:rsidTr="00D77E42">
        <w:tc>
          <w:tcPr>
            <w:tcW w:w="4885" w:type="dxa"/>
          </w:tcPr>
          <w:p w14:paraId="7A1340F3" w14:textId="3D9BDABA" w:rsidR="00D77E42" w:rsidRPr="00D77E42" w:rsidRDefault="00D77E42" w:rsidP="00D77E42">
            <w:pPr>
              <w:rPr>
                <w:rFonts w:ascii="Arial Narrow" w:hAnsi="Arial Narrow"/>
                <w:b/>
                <w:color w:val="4F81BD" w:themeColor="accent1"/>
                <w:sz w:val="24"/>
                <w:szCs w:val="24"/>
              </w:rPr>
            </w:pPr>
            <w:r>
              <w:rPr>
                <w:rFonts w:ascii="Arial Narrow" w:hAnsi="Arial Narrow"/>
                <w:b/>
                <w:color w:val="4F81BD" w:themeColor="accent1"/>
                <w:sz w:val="24"/>
                <w:szCs w:val="24"/>
              </w:rPr>
              <w:t>Τομέας</w:t>
            </w:r>
          </w:p>
        </w:tc>
        <w:tc>
          <w:tcPr>
            <w:tcW w:w="4886" w:type="dxa"/>
          </w:tcPr>
          <w:p w14:paraId="4FAFACBA" w14:textId="09769416" w:rsidR="00D77E42" w:rsidRPr="00D77E42" w:rsidRDefault="00D77E42" w:rsidP="00D77E42">
            <w:pPr>
              <w:rPr>
                <w:rFonts w:ascii="Arial Narrow" w:hAnsi="Arial Narrow"/>
                <w:b/>
                <w:color w:val="4F81BD" w:themeColor="accent1"/>
                <w:sz w:val="24"/>
                <w:szCs w:val="24"/>
              </w:rPr>
            </w:pPr>
            <w:r>
              <w:rPr>
                <w:rFonts w:ascii="Arial Narrow" w:hAnsi="Arial Narrow"/>
                <w:b/>
                <w:color w:val="4F81BD" w:themeColor="accent1"/>
                <w:sz w:val="24"/>
                <w:szCs w:val="24"/>
              </w:rPr>
              <w:t>Επενδυτικό Ενδιαφέρον</w:t>
            </w:r>
          </w:p>
        </w:tc>
      </w:tr>
      <w:tr w:rsidR="00D77E42" w:rsidRPr="00D77E42" w14:paraId="3B5B8764" w14:textId="77777777" w:rsidTr="00D77E42">
        <w:tc>
          <w:tcPr>
            <w:tcW w:w="4885" w:type="dxa"/>
          </w:tcPr>
          <w:p w14:paraId="1CA67F0B" w14:textId="6045F4A0" w:rsidR="00D77E42" w:rsidRPr="00D77E42" w:rsidRDefault="008B2201" w:rsidP="00D77E42">
            <w:pPr>
              <w:rPr>
                <w:rFonts w:ascii="Arial Narrow" w:hAnsi="Arial Narrow"/>
                <w:b/>
                <w:color w:val="4F81BD" w:themeColor="accent1"/>
                <w:sz w:val="24"/>
                <w:szCs w:val="24"/>
              </w:rPr>
            </w:pPr>
            <w:r>
              <w:rPr>
                <w:rFonts w:ascii="Arial Narrow" w:hAnsi="Arial Narrow"/>
                <w:b/>
                <w:color w:val="4F81BD" w:themeColor="accent1"/>
                <w:sz w:val="24"/>
                <w:szCs w:val="24"/>
              </w:rPr>
              <w:t xml:space="preserve">Ανανεώσιμες Πηγές Ενέργειας </w:t>
            </w:r>
          </w:p>
        </w:tc>
        <w:tc>
          <w:tcPr>
            <w:tcW w:w="4886" w:type="dxa"/>
          </w:tcPr>
          <w:p w14:paraId="3A6477FA" w14:textId="4080270C" w:rsidR="00D77E42" w:rsidRPr="00D77E42" w:rsidRDefault="008B2201" w:rsidP="00D77E42">
            <w:pPr>
              <w:rPr>
                <w:rFonts w:ascii="Arial Narrow" w:hAnsi="Arial Narrow"/>
                <w:b/>
                <w:color w:val="4F81BD" w:themeColor="accent1"/>
                <w:sz w:val="24"/>
                <w:szCs w:val="24"/>
              </w:rPr>
            </w:pPr>
            <w:r>
              <w:rPr>
                <w:rFonts w:ascii="Arial Narrow" w:hAnsi="Arial Narrow"/>
                <w:b/>
                <w:color w:val="4F81BD" w:themeColor="accent1"/>
                <w:sz w:val="24"/>
                <w:szCs w:val="24"/>
              </w:rPr>
              <w:t xml:space="preserve">Πολύ υψηλό </w:t>
            </w:r>
          </w:p>
        </w:tc>
      </w:tr>
      <w:tr w:rsidR="00D77E42" w:rsidRPr="00D77E42" w14:paraId="50602258" w14:textId="77777777" w:rsidTr="00D77E42">
        <w:tc>
          <w:tcPr>
            <w:tcW w:w="4885" w:type="dxa"/>
          </w:tcPr>
          <w:p w14:paraId="4165CB70" w14:textId="73C1C60D" w:rsidR="00D77E42" w:rsidRPr="00D77E42" w:rsidRDefault="008B2201" w:rsidP="00D77E42">
            <w:pPr>
              <w:rPr>
                <w:rFonts w:ascii="Arial Narrow" w:hAnsi="Arial Narrow"/>
                <w:b/>
                <w:color w:val="4F81BD" w:themeColor="accent1"/>
                <w:sz w:val="24"/>
                <w:szCs w:val="24"/>
              </w:rPr>
            </w:pPr>
            <w:r>
              <w:rPr>
                <w:rFonts w:ascii="Arial Narrow" w:hAnsi="Arial Narrow"/>
                <w:b/>
                <w:color w:val="4F81BD" w:themeColor="accent1"/>
                <w:sz w:val="24"/>
                <w:szCs w:val="24"/>
              </w:rPr>
              <w:t>Πράσινο Υδρογόνο</w:t>
            </w:r>
          </w:p>
        </w:tc>
        <w:tc>
          <w:tcPr>
            <w:tcW w:w="4886" w:type="dxa"/>
          </w:tcPr>
          <w:p w14:paraId="793A65CB" w14:textId="485E744E" w:rsidR="00D77E42" w:rsidRPr="00D77E42" w:rsidRDefault="008B2201" w:rsidP="00D77E42">
            <w:pPr>
              <w:rPr>
                <w:rFonts w:ascii="Arial Narrow" w:hAnsi="Arial Narrow"/>
                <w:b/>
                <w:color w:val="4F81BD" w:themeColor="accent1"/>
                <w:sz w:val="24"/>
                <w:szCs w:val="24"/>
              </w:rPr>
            </w:pPr>
            <w:r>
              <w:rPr>
                <w:rFonts w:ascii="Arial Narrow" w:hAnsi="Arial Narrow"/>
                <w:b/>
                <w:color w:val="4F81BD" w:themeColor="accent1"/>
                <w:sz w:val="24"/>
                <w:szCs w:val="24"/>
              </w:rPr>
              <w:t xml:space="preserve">Πολύ υψηλό </w:t>
            </w:r>
          </w:p>
        </w:tc>
      </w:tr>
      <w:tr w:rsidR="00D77E42" w:rsidRPr="00D77E42" w14:paraId="1AB19CD7" w14:textId="77777777" w:rsidTr="00D77E42">
        <w:tc>
          <w:tcPr>
            <w:tcW w:w="4885" w:type="dxa"/>
          </w:tcPr>
          <w:p w14:paraId="13125EB7" w14:textId="77706BCA" w:rsidR="00D77E42" w:rsidRPr="00D77E42" w:rsidRDefault="008B2201" w:rsidP="00D77E42">
            <w:pPr>
              <w:rPr>
                <w:rFonts w:ascii="Arial Narrow" w:hAnsi="Arial Narrow"/>
                <w:b/>
                <w:color w:val="4F81BD" w:themeColor="accent1"/>
                <w:sz w:val="24"/>
                <w:szCs w:val="24"/>
              </w:rPr>
            </w:pPr>
            <w:r>
              <w:rPr>
                <w:rFonts w:ascii="Arial Narrow" w:hAnsi="Arial Narrow"/>
                <w:b/>
                <w:color w:val="4F81BD" w:themeColor="accent1"/>
                <w:sz w:val="24"/>
                <w:szCs w:val="24"/>
              </w:rPr>
              <w:t xml:space="preserve">Ηλεκτρικές Διασυνδέσεις </w:t>
            </w:r>
          </w:p>
        </w:tc>
        <w:tc>
          <w:tcPr>
            <w:tcW w:w="4886" w:type="dxa"/>
          </w:tcPr>
          <w:p w14:paraId="42C856AA" w14:textId="4688E543" w:rsidR="00D77E42" w:rsidRPr="00D77E42" w:rsidRDefault="008B2201" w:rsidP="00D77E42">
            <w:pPr>
              <w:rPr>
                <w:rFonts w:ascii="Arial Narrow" w:hAnsi="Arial Narrow"/>
                <w:b/>
                <w:color w:val="4F81BD" w:themeColor="accent1"/>
                <w:sz w:val="24"/>
                <w:szCs w:val="24"/>
              </w:rPr>
            </w:pPr>
            <w:r>
              <w:rPr>
                <w:rFonts w:ascii="Arial Narrow" w:hAnsi="Arial Narrow"/>
                <w:b/>
                <w:color w:val="4F81BD" w:themeColor="accent1"/>
                <w:sz w:val="24"/>
                <w:szCs w:val="24"/>
              </w:rPr>
              <w:t xml:space="preserve">Υψηλό </w:t>
            </w:r>
          </w:p>
        </w:tc>
      </w:tr>
      <w:tr w:rsidR="00D77E42" w:rsidRPr="00D77E42" w14:paraId="31369A01" w14:textId="77777777" w:rsidTr="00D77E42">
        <w:tc>
          <w:tcPr>
            <w:tcW w:w="4885" w:type="dxa"/>
          </w:tcPr>
          <w:p w14:paraId="2ADA98DB" w14:textId="4626F253" w:rsidR="00D77E42" w:rsidRPr="00D77E42" w:rsidRDefault="008B2201" w:rsidP="00D77E42">
            <w:pPr>
              <w:rPr>
                <w:rFonts w:ascii="Arial Narrow" w:hAnsi="Arial Narrow"/>
                <w:b/>
                <w:color w:val="4F81BD" w:themeColor="accent1"/>
                <w:sz w:val="24"/>
                <w:szCs w:val="24"/>
              </w:rPr>
            </w:pPr>
            <w:r>
              <w:rPr>
                <w:rFonts w:ascii="Arial Narrow" w:hAnsi="Arial Narrow"/>
                <w:b/>
                <w:color w:val="4F81BD" w:themeColor="accent1"/>
                <w:sz w:val="24"/>
                <w:szCs w:val="24"/>
              </w:rPr>
              <w:t xml:space="preserve">Τουριστικές Υποδομές </w:t>
            </w:r>
          </w:p>
        </w:tc>
        <w:tc>
          <w:tcPr>
            <w:tcW w:w="4886" w:type="dxa"/>
          </w:tcPr>
          <w:p w14:paraId="1F26DE9B" w14:textId="2A6ACDE4" w:rsidR="00D77E42" w:rsidRPr="00D77E42" w:rsidRDefault="008B2201" w:rsidP="00D77E42">
            <w:pPr>
              <w:rPr>
                <w:rFonts w:ascii="Arial Narrow" w:hAnsi="Arial Narrow"/>
                <w:b/>
                <w:color w:val="4F81BD" w:themeColor="accent1"/>
                <w:sz w:val="24"/>
                <w:szCs w:val="24"/>
              </w:rPr>
            </w:pPr>
            <w:r>
              <w:rPr>
                <w:rFonts w:ascii="Arial Narrow" w:hAnsi="Arial Narrow"/>
                <w:b/>
                <w:color w:val="4F81BD" w:themeColor="accent1"/>
                <w:sz w:val="24"/>
                <w:szCs w:val="24"/>
              </w:rPr>
              <w:t xml:space="preserve">Υψηλό </w:t>
            </w:r>
          </w:p>
        </w:tc>
      </w:tr>
      <w:tr w:rsidR="00D77E42" w:rsidRPr="00D77E42" w14:paraId="3C1C275B" w14:textId="77777777" w:rsidTr="00D77E42">
        <w:tc>
          <w:tcPr>
            <w:tcW w:w="4885" w:type="dxa"/>
          </w:tcPr>
          <w:p w14:paraId="16BEECF6" w14:textId="0D80E6AC" w:rsidR="00D77E42" w:rsidRPr="00DA3B29" w:rsidRDefault="008B2201" w:rsidP="00D77E42">
            <w:pPr>
              <w:rPr>
                <w:rFonts w:ascii="Arial Narrow" w:hAnsi="Arial Narrow"/>
                <w:b/>
                <w:color w:val="4F81BD" w:themeColor="accent1"/>
                <w:sz w:val="24"/>
                <w:szCs w:val="24"/>
              </w:rPr>
            </w:pPr>
            <w:r>
              <w:rPr>
                <w:rFonts w:ascii="Arial Narrow" w:hAnsi="Arial Narrow"/>
                <w:b/>
                <w:color w:val="4F81BD" w:themeColor="accent1"/>
                <w:sz w:val="24"/>
                <w:szCs w:val="24"/>
                <w:lang w:val="en-US"/>
              </w:rPr>
              <w:t xml:space="preserve">Logistics </w:t>
            </w:r>
            <w:r w:rsidR="00DA3B29">
              <w:rPr>
                <w:rFonts w:ascii="Arial Narrow" w:hAnsi="Arial Narrow"/>
                <w:b/>
                <w:color w:val="4F81BD" w:themeColor="accent1"/>
                <w:sz w:val="24"/>
                <w:szCs w:val="24"/>
              </w:rPr>
              <w:t>&amp; Λιμένες</w:t>
            </w:r>
          </w:p>
        </w:tc>
        <w:tc>
          <w:tcPr>
            <w:tcW w:w="4886" w:type="dxa"/>
          </w:tcPr>
          <w:p w14:paraId="35954F9E" w14:textId="524E9FF8" w:rsidR="00D77E42" w:rsidRPr="00D77E42" w:rsidRDefault="00DA3B29" w:rsidP="00D77E42">
            <w:pPr>
              <w:rPr>
                <w:rFonts w:ascii="Arial Narrow" w:hAnsi="Arial Narrow"/>
                <w:b/>
                <w:color w:val="4F81BD" w:themeColor="accent1"/>
                <w:sz w:val="24"/>
                <w:szCs w:val="24"/>
              </w:rPr>
            </w:pPr>
            <w:r>
              <w:rPr>
                <w:rFonts w:ascii="Arial Narrow" w:hAnsi="Arial Narrow"/>
                <w:b/>
                <w:color w:val="4F81BD" w:themeColor="accent1"/>
                <w:sz w:val="24"/>
                <w:szCs w:val="24"/>
              </w:rPr>
              <w:t xml:space="preserve">Υψηλό </w:t>
            </w:r>
          </w:p>
        </w:tc>
      </w:tr>
      <w:tr w:rsidR="00D77E42" w:rsidRPr="00D77E42" w14:paraId="2D6213B2" w14:textId="77777777" w:rsidTr="00D77E42">
        <w:tc>
          <w:tcPr>
            <w:tcW w:w="4885" w:type="dxa"/>
          </w:tcPr>
          <w:p w14:paraId="1F1EA86D" w14:textId="0534BF17" w:rsidR="00D77E42" w:rsidRPr="00DA3B29" w:rsidRDefault="00DA3B29" w:rsidP="00D77E42">
            <w:pPr>
              <w:rPr>
                <w:rFonts w:ascii="Arial Narrow" w:hAnsi="Arial Narrow"/>
                <w:b/>
                <w:color w:val="4F81BD" w:themeColor="accent1"/>
                <w:sz w:val="24"/>
                <w:szCs w:val="24"/>
                <w:lang w:val="en-US"/>
              </w:rPr>
            </w:pPr>
            <w:r>
              <w:rPr>
                <w:rFonts w:ascii="Arial Narrow" w:hAnsi="Arial Narrow"/>
                <w:b/>
                <w:color w:val="4F81BD" w:themeColor="accent1"/>
                <w:sz w:val="24"/>
                <w:szCs w:val="24"/>
                <w:lang w:val="en-US"/>
              </w:rPr>
              <w:t>Data Centers &amp; AI infrastructure</w:t>
            </w:r>
          </w:p>
        </w:tc>
        <w:tc>
          <w:tcPr>
            <w:tcW w:w="4886" w:type="dxa"/>
          </w:tcPr>
          <w:p w14:paraId="76301351" w14:textId="7DA0E86B" w:rsidR="00D77E42" w:rsidRPr="00D77E42" w:rsidRDefault="00DA3B29" w:rsidP="00D77E42">
            <w:pPr>
              <w:rPr>
                <w:rFonts w:ascii="Arial Narrow" w:hAnsi="Arial Narrow"/>
                <w:b/>
                <w:color w:val="4F81BD" w:themeColor="accent1"/>
                <w:sz w:val="24"/>
                <w:szCs w:val="24"/>
              </w:rPr>
            </w:pPr>
            <w:r>
              <w:rPr>
                <w:rFonts w:ascii="Arial Narrow" w:hAnsi="Arial Narrow"/>
                <w:b/>
                <w:color w:val="4F81BD" w:themeColor="accent1"/>
                <w:sz w:val="24"/>
                <w:szCs w:val="24"/>
              </w:rPr>
              <w:t xml:space="preserve">Αυξανόμενο </w:t>
            </w:r>
          </w:p>
        </w:tc>
      </w:tr>
      <w:tr w:rsidR="00D77E42" w:rsidRPr="00D77E42" w14:paraId="2F2A2148" w14:textId="77777777" w:rsidTr="00D77E42">
        <w:tc>
          <w:tcPr>
            <w:tcW w:w="4885" w:type="dxa"/>
          </w:tcPr>
          <w:p w14:paraId="269A6483" w14:textId="7018CC67" w:rsidR="00D77E42" w:rsidRPr="00D77E42" w:rsidRDefault="00DA3B29" w:rsidP="00D77E42">
            <w:pPr>
              <w:rPr>
                <w:rFonts w:ascii="Arial Narrow" w:hAnsi="Arial Narrow"/>
                <w:b/>
                <w:color w:val="4F81BD" w:themeColor="accent1"/>
                <w:sz w:val="24"/>
                <w:szCs w:val="24"/>
              </w:rPr>
            </w:pPr>
            <w:r>
              <w:rPr>
                <w:rFonts w:ascii="Arial Narrow" w:hAnsi="Arial Narrow"/>
                <w:b/>
                <w:color w:val="4F81BD" w:themeColor="accent1"/>
                <w:sz w:val="24"/>
                <w:szCs w:val="24"/>
              </w:rPr>
              <w:t xml:space="preserve">Αγροδιατροφή </w:t>
            </w:r>
          </w:p>
        </w:tc>
        <w:tc>
          <w:tcPr>
            <w:tcW w:w="4886" w:type="dxa"/>
          </w:tcPr>
          <w:p w14:paraId="0C0ECF0F" w14:textId="2C08EA23" w:rsidR="00D77E42" w:rsidRPr="00D77E42" w:rsidRDefault="009A0705" w:rsidP="00D77E42">
            <w:pPr>
              <w:rPr>
                <w:rFonts w:ascii="Arial Narrow" w:hAnsi="Arial Narrow"/>
                <w:b/>
                <w:color w:val="4F81BD" w:themeColor="accent1"/>
                <w:sz w:val="24"/>
                <w:szCs w:val="24"/>
              </w:rPr>
            </w:pPr>
            <w:r>
              <w:rPr>
                <w:rFonts w:ascii="Arial Narrow" w:hAnsi="Arial Narrow"/>
                <w:b/>
                <w:color w:val="4F81BD" w:themeColor="accent1"/>
                <w:sz w:val="24"/>
                <w:szCs w:val="24"/>
              </w:rPr>
              <w:t>Μεσαίο</w:t>
            </w:r>
          </w:p>
        </w:tc>
      </w:tr>
      <w:tr w:rsidR="00D77E42" w:rsidRPr="00D77E42" w14:paraId="417CB4BC" w14:textId="77777777" w:rsidTr="00D77E42">
        <w:tc>
          <w:tcPr>
            <w:tcW w:w="4885" w:type="dxa"/>
          </w:tcPr>
          <w:p w14:paraId="7E4B8EC9" w14:textId="01D1F50C" w:rsidR="00D77E42" w:rsidRPr="00D77E42" w:rsidRDefault="009A0705" w:rsidP="00D77E42">
            <w:pPr>
              <w:rPr>
                <w:rFonts w:ascii="Arial Narrow" w:hAnsi="Arial Narrow"/>
                <w:b/>
                <w:color w:val="4F81BD" w:themeColor="accent1"/>
                <w:sz w:val="24"/>
                <w:szCs w:val="24"/>
              </w:rPr>
            </w:pPr>
            <w:r>
              <w:rPr>
                <w:rFonts w:ascii="Arial Narrow" w:hAnsi="Arial Narrow"/>
                <w:b/>
                <w:color w:val="4F81BD" w:themeColor="accent1"/>
                <w:sz w:val="24"/>
                <w:szCs w:val="24"/>
              </w:rPr>
              <w:t xml:space="preserve">Υγεία &amp; Βιοτεχνολογία </w:t>
            </w:r>
          </w:p>
        </w:tc>
        <w:tc>
          <w:tcPr>
            <w:tcW w:w="4886" w:type="dxa"/>
          </w:tcPr>
          <w:p w14:paraId="33B1A7BC" w14:textId="44257E9D" w:rsidR="00D77E42" w:rsidRPr="00D77E42" w:rsidRDefault="009A0705" w:rsidP="00D77E42">
            <w:pPr>
              <w:rPr>
                <w:rFonts w:ascii="Arial Narrow" w:hAnsi="Arial Narrow"/>
                <w:b/>
                <w:color w:val="4F81BD" w:themeColor="accent1"/>
                <w:sz w:val="24"/>
                <w:szCs w:val="24"/>
              </w:rPr>
            </w:pPr>
            <w:r>
              <w:rPr>
                <w:rFonts w:ascii="Arial Narrow" w:hAnsi="Arial Narrow"/>
                <w:b/>
                <w:color w:val="4F81BD" w:themeColor="accent1"/>
                <w:sz w:val="24"/>
                <w:szCs w:val="24"/>
              </w:rPr>
              <w:t>Μεσαίο</w:t>
            </w:r>
          </w:p>
        </w:tc>
      </w:tr>
      <w:tr w:rsidR="00D77E42" w:rsidRPr="00D77E42" w14:paraId="4A281304" w14:textId="77777777" w:rsidTr="00D77E42">
        <w:tc>
          <w:tcPr>
            <w:tcW w:w="4885" w:type="dxa"/>
          </w:tcPr>
          <w:p w14:paraId="682E572D" w14:textId="7133D6AB" w:rsidR="00D77E42" w:rsidRPr="009A0705" w:rsidRDefault="009A0705" w:rsidP="00D77E42">
            <w:pPr>
              <w:rPr>
                <w:rFonts w:ascii="Arial Narrow" w:hAnsi="Arial Narrow"/>
                <w:b/>
                <w:color w:val="4F81BD" w:themeColor="accent1"/>
                <w:sz w:val="24"/>
                <w:szCs w:val="24"/>
                <w:lang w:val="en-US"/>
              </w:rPr>
            </w:pPr>
            <w:r>
              <w:rPr>
                <w:rFonts w:ascii="Arial Narrow" w:hAnsi="Arial Narrow"/>
                <w:b/>
                <w:color w:val="4F81BD" w:themeColor="accent1"/>
                <w:sz w:val="24"/>
                <w:szCs w:val="24"/>
              </w:rPr>
              <w:t xml:space="preserve">Ακίνητα &amp; </w:t>
            </w:r>
            <w:r>
              <w:rPr>
                <w:rFonts w:ascii="Arial Narrow" w:hAnsi="Arial Narrow"/>
                <w:b/>
                <w:color w:val="4F81BD" w:themeColor="accent1"/>
                <w:sz w:val="24"/>
                <w:szCs w:val="24"/>
                <w:lang w:val="en-US"/>
              </w:rPr>
              <w:t xml:space="preserve">Hospitality </w:t>
            </w:r>
          </w:p>
        </w:tc>
        <w:tc>
          <w:tcPr>
            <w:tcW w:w="4886" w:type="dxa"/>
          </w:tcPr>
          <w:p w14:paraId="54D3531B" w14:textId="7550A47C" w:rsidR="00D77E42" w:rsidRPr="00D77E42" w:rsidRDefault="009C660C" w:rsidP="00D77E42">
            <w:pPr>
              <w:rPr>
                <w:rFonts w:ascii="Arial Narrow" w:hAnsi="Arial Narrow"/>
                <w:b/>
                <w:color w:val="4F81BD" w:themeColor="accent1"/>
                <w:sz w:val="24"/>
                <w:szCs w:val="24"/>
              </w:rPr>
            </w:pPr>
            <w:r>
              <w:rPr>
                <w:rFonts w:ascii="Arial Narrow" w:hAnsi="Arial Narrow"/>
                <w:b/>
                <w:color w:val="4F81BD" w:themeColor="accent1"/>
                <w:sz w:val="24"/>
                <w:szCs w:val="24"/>
              </w:rPr>
              <w:t xml:space="preserve">Υψηλό </w:t>
            </w:r>
          </w:p>
        </w:tc>
      </w:tr>
    </w:tbl>
    <w:p w14:paraId="00745473" w14:textId="0C866ED8" w:rsidR="00964B82" w:rsidRDefault="00964B82" w:rsidP="00EE3962">
      <w:pPr>
        <w:rPr>
          <w:rFonts w:ascii="Arial Narrow" w:hAnsi="Arial Narrow"/>
          <w:b/>
          <w:color w:val="4F81BD" w:themeColor="accent1"/>
          <w:sz w:val="28"/>
          <w:szCs w:val="28"/>
        </w:rPr>
      </w:pPr>
    </w:p>
    <w:p w14:paraId="1C56FF08" w14:textId="5DBD577D" w:rsidR="00EE3962" w:rsidRDefault="00EE3962" w:rsidP="00293500">
      <w:pPr>
        <w:jc w:val="center"/>
        <w:rPr>
          <w:rFonts w:ascii="Arial Narrow" w:hAnsi="Arial Narrow"/>
          <w:b/>
          <w:color w:val="4F81BD" w:themeColor="accent1"/>
          <w:sz w:val="28"/>
          <w:szCs w:val="28"/>
        </w:rPr>
      </w:pPr>
      <w:r>
        <w:rPr>
          <w:rFonts w:ascii="Arial Narrow" w:hAnsi="Arial Narrow"/>
          <w:b/>
          <w:color w:val="4F81BD" w:themeColor="accent1"/>
          <w:sz w:val="28"/>
          <w:szCs w:val="28"/>
        </w:rPr>
        <w:t xml:space="preserve">10. </w:t>
      </w:r>
      <w:r w:rsidR="00293500">
        <w:rPr>
          <w:rFonts w:ascii="Arial Narrow" w:hAnsi="Arial Narrow"/>
          <w:b/>
          <w:color w:val="4F81BD" w:themeColor="accent1"/>
          <w:sz w:val="28"/>
          <w:szCs w:val="28"/>
        </w:rPr>
        <w:t>ΘΕΣΜΙΚΟ ΠΛΑΙΣΙΟ ΣΥΝΕΡΓΑΣΙΑΣ ΕΛΛΑΔΟΣ – ΗΝΩΜΕΝΩΝ ΑΡΑΒΙΚΩΝ ΕΜΙΡΑΤΩΝ</w:t>
      </w:r>
    </w:p>
    <w:p w14:paraId="65F57068" w14:textId="1086992B" w:rsidR="00293500" w:rsidRDefault="00293500" w:rsidP="00EE3962">
      <w:pPr>
        <w:rPr>
          <w:rFonts w:ascii="Arial Narrow" w:hAnsi="Arial Narrow"/>
          <w:b/>
          <w:color w:val="4F81BD" w:themeColor="accent1"/>
          <w:sz w:val="24"/>
          <w:szCs w:val="24"/>
        </w:rPr>
      </w:pPr>
      <w:r>
        <w:rPr>
          <w:rFonts w:ascii="Arial Narrow" w:hAnsi="Arial Narrow"/>
          <w:b/>
          <w:color w:val="4F81BD" w:themeColor="accent1"/>
          <w:sz w:val="24"/>
          <w:szCs w:val="24"/>
        </w:rPr>
        <w:t>1. Εισαγωγή</w:t>
      </w:r>
    </w:p>
    <w:p w14:paraId="16AECB2F" w14:textId="427FDC77" w:rsidR="00293500" w:rsidRDefault="00293500" w:rsidP="00F04D4A">
      <w:pPr>
        <w:jc w:val="both"/>
        <w:rPr>
          <w:rFonts w:ascii="Arial Narrow" w:hAnsi="Arial Narrow"/>
          <w:sz w:val="24"/>
          <w:szCs w:val="24"/>
        </w:rPr>
      </w:pPr>
      <w:r w:rsidRPr="00F04D4A">
        <w:rPr>
          <w:rFonts w:ascii="Arial Narrow" w:hAnsi="Arial Narrow"/>
          <w:sz w:val="24"/>
          <w:szCs w:val="24"/>
        </w:rPr>
        <w:t xml:space="preserve">Οι σχέσεις </w:t>
      </w:r>
      <w:r w:rsidR="00F04D4A">
        <w:rPr>
          <w:rFonts w:ascii="Arial Narrow" w:hAnsi="Arial Narrow"/>
          <w:sz w:val="24"/>
          <w:szCs w:val="24"/>
        </w:rPr>
        <w:t xml:space="preserve">μεταξύ της Ελλάδας και των Ηνωμένων Αραβικών Εμιράτων (ΗΑΕ) έχουν εξελιχθεί τα τελευταία χρόνια </w:t>
      </w:r>
      <w:r w:rsidR="00F04D4A" w:rsidRPr="00F04D4A">
        <w:rPr>
          <w:rFonts w:ascii="Arial Narrow" w:hAnsi="Arial Narrow"/>
          <w:sz w:val="24"/>
          <w:szCs w:val="24"/>
        </w:rPr>
        <w:t>σε μία</w:t>
      </w:r>
      <w:r w:rsidR="00F04D4A" w:rsidRPr="00F04D4A">
        <w:rPr>
          <w:rFonts w:ascii="Arial Narrow" w:hAnsi="Arial Narrow"/>
          <w:b/>
          <w:sz w:val="24"/>
          <w:szCs w:val="24"/>
        </w:rPr>
        <w:t xml:space="preserve"> Ολοκληρωμένη Στρατηγική Εταιρική Σχέση (</w:t>
      </w:r>
      <w:r w:rsidR="00F04D4A" w:rsidRPr="00F04D4A">
        <w:rPr>
          <w:rFonts w:ascii="Arial Narrow" w:hAnsi="Arial Narrow"/>
          <w:b/>
          <w:sz w:val="24"/>
          <w:szCs w:val="24"/>
          <w:lang w:val="en-US"/>
        </w:rPr>
        <w:t>Comprehensive</w:t>
      </w:r>
      <w:r w:rsidR="00F04D4A" w:rsidRPr="00F04D4A">
        <w:rPr>
          <w:rFonts w:ascii="Arial Narrow" w:hAnsi="Arial Narrow"/>
          <w:b/>
          <w:sz w:val="24"/>
          <w:szCs w:val="24"/>
        </w:rPr>
        <w:t xml:space="preserve"> </w:t>
      </w:r>
      <w:r w:rsidR="00F04D4A" w:rsidRPr="00F04D4A">
        <w:rPr>
          <w:rFonts w:ascii="Arial Narrow" w:hAnsi="Arial Narrow"/>
          <w:b/>
          <w:sz w:val="24"/>
          <w:szCs w:val="24"/>
          <w:lang w:val="en-US"/>
        </w:rPr>
        <w:t>Strategic</w:t>
      </w:r>
      <w:r w:rsidR="00F04D4A" w:rsidRPr="00F04D4A">
        <w:rPr>
          <w:rFonts w:ascii="Arial Narrow" w:hAnsi="Arial Narrow"/>
          <w:b/>
          <w:sz w:val="24"/>
          <w:szCs w:val="24"/>
        </w:rPr>
        <w:t xml:space="preserve"> </w:t>
      </w:r>
      <w:r w:rsidR="00F04D4A" w:rsidRPr="00F04D4A">
        <w:rPr>
          <w:rFonts w:ascii="Arial Narrow" w:hAnsi="Arial Narrow"/>
          <w:b/>
          <w:sz w:val="24"/>
          <w:szCs w:val="24"/>
          <w:lang w:val="en-US"/>
        </w:rPr>
        <w:t>Partnership</w:t>
      </w:r>
      <w:r w:rsidR="00F04D4A" w:rsidRPr="00F04D4A">
        <w:rPr>
          <w:rFonts w:ascii="Arial Narrow" w:hAnsi="Arial Narrow"/>
          <w:b/>
          <w:sz w:val="24"/>
          <w:szCs w:val="24"/>
        </w:rPr>
        <w:t xml:space="preserve">), </w:t>
      </w:r>
      <w:r w:rsidR="00BD46F2">
        <w:rPr>
          <w:rFonts w:ascii="Arial Narrow" w:hAnsi="Arial Narrow"/>
          <w:sz w:val="24"/>
          <w:szCs w:val="24"/>
        </w:rPr>
        <w:t xml:space="preserve">η οποία καλύπτει τους τομείς της εξωτερκής πολιτικής, της άμυνας, της οικονομίας, των επενδύσεων, της ενέργειας, της τεχνολογίας, του τουρισμού, της ναυτιλίας, της πολιτικής προστασίας και της καινοτομίας. Το θεσμικό πλαίσιο βασίζεται σε περισσότερες από </w:t>
      </w:r>
      <w:r w:rsidR="00BD46F2" w:rsidRPr="00BD46F2">
        <w:rPr>
          <w:rFonts w:ascii="Arial Narrow" w:hAnsi="Arial Narrow"/>
          <w:b/>
          <w:sz w:val="24"/>
          <w:szCs w:val="24"/>
        </w:rPr>
        <w:t>60 διμερείς Συμφωνίες και Μνημόνια Συνεργασίας</w:t>
      </w:r>
      <w:r w:rsidR="00BD46F2">
        <w:rPr>
          <w:rFonts w:ascii="Arial Narrow" w:hAnsi="Arial Narrow"/>
          <w:b/>
          <w:sz w:val="24"/>
          <w:szCs w:val="24"/>
        </w:rPr>
        <w:t xml:space="preserve"> </w:t>
      </w:r>
      <w:r w:rsidR="00BD46F2">
        <w:rPr>
          <w:rFonts w:ascii="Arial Narrow" w:hAnsi="Arial Narrow"/>
          <w:sz w:val="24"/>
          <w:szCs w:val="24"/>
        </w:rPr>
        <w:t>τα οποία έχουν συναφθεί από την έναρξη των διπλωματικών σχέσεων μεταξύ των δύο χωρών και δημιουργούν ένα από τα πλέον ολοκληρωμένα πλαίσια συνεργασίας της Ελλάδας με χώρα του Κόλπου.</w:t>
      </w:r>
    </w:p>
    <w:p w14:paraId="3E39AAA8" w14:textId="3A7C1DB6" w:rsidR="00BD46F2" w:rsidRDefault="00BD46F2" w:rsidP="00F04D4A">
      <w:pPr>
        <w:jc w:val="both"/>
        <w:rPr>
          <w:rFonts w:ascii="Arial Narrow" w:hAnsi="Arial Narrow"/>
          <w:sz w:val="24"/>
          <w:szCs w:val="24"/>
        </w:rPr>
      </w:pPr>
      <w:r w:rsidRPr="00BD46F2">
        <w:rPr>
          <w:rFonts w:ascii="Arial Narrow" w:hAnsi="Arial Narrow"/>
          <w:b/>
          <w:color w:val="4F81BD" w:themeColor="accent1"/>
          <w:sz w:val="24"/>
          <w:szCs w:val="24"/>
        </w:rPr>
        <w:t>2. Στρατηγική Εταιρική Σχέση (</w:t>
      </w:r>
      <w:r w:rsidRPr="00BD46F2">
        <w:rPr>
          <w:rFonts w:ascii="Arial Narrow" w:hAnsi="Arial Narrow"/>
          <w:b/>
          <w:color w:val="4F81BD" w:themeColor="accent1"/>
          <w:sz w:val="24"/>
          <w:szCs w:val="24"/>
          <w:lang w:val="en-US"/>
        </w:rPr>
        <w:t>Strategic</w:t>
      </w:r>
      <w:r w:rsidRPr="00BD46F2">
        <w:rPr>
          <w:rFonts w:ascii="Arial Narrow" w:hAnsi="Arial Narrow"/>
          <w:b/>
          <w:color w:val="4F81BD" w:themeColor="accent1"/>
          <w:sz w:val="24"/>
          <w:szCs w:val="24"/>
        </w:rPr>
        <w:t xml:space="preserve"> </w:t>
      </w:r>
      <w:r w:rsidRPr="00BD46F2">
        <w:rPr>
          <w:rFonts w:ascii="Arial Narrow" w:hAnsi="Arial Narrow"/>
          <w:b/>
          <w:color w:val="4F81BD" w:themeColor="accent1"/>
          <w:sz w:val="24"/>
          <w:szCs w:val="24"/>
          <w:lang w:val="en-US"/>
        </w:rPr>
        <w:t>Partnership</w:t>
      </w:r>
      <w:r w:rsidRPr="00BD46F2">
        <w:rPr>
          <w:rFonts w:ascii="Arial Narrow" w:hAnsi="Arial Narrow"/>
          <w:sz w:val="24"/>
          <w:szCs w:val="24"/>
        </w:rPr>
        <w:t>)</w:t>
      </w:r>
    </w:p>
    <w:p w14:paraId="468CA8F5" w14:textId="3D3341FB" w:rsidR="00BD46F2" w:rsidRDefault="00DA6244" w:rsidP="00F04D4A">
      <w:pPr>
        <w:jc w:val="both"/>
        <w:rPr>
          <w:rFonts w:ascii="Arial Narrow" w:hAnsi="Arial Narrow"/>
          <w:sz w:val="24"/>
          <w:szCs w:val="24"/>
        </w:rPr>
      </w:pPr>
      <w:r>
        <w:rPr>
          <w:rFonts w:ascii="Arial Narrow" w:hAnsi="Arial Narrow"/>
          <w:sz w:val="24"/>
          <w:szCs w:val="24"/>
        </w:rPr>
        <w:t xml:space="preserve">Η σημαντικότερη εξέλιξη στις διμερείς σχέσεις υπήρξε η υπογραφή, το 2020 </w:t>
      </w:r>
      <w:r w:rsidRPr="00DA6244">
        <w:rPr>
          <w:rFonts w:ascii="Arial Narrow" w:hAnsi="Arial Narrow"/>
          <w:b/>
          <w:sz w:val="24"/>
          <w:szCs w:val="24"/>
        </w:rPr>
        <w:t xml:space="preserve">της Κοινής Δήλωσης για τη Στρατηγική Εταιρική Σχέση, καθώς και του Μνημονίου Συνεργασίας για την Εξωτερική Πολιτική και την Άμυνα. </w:t>
      </w:r>
      <w:r w:rsidR="005F55C0">
        <w:rPr>
          <w:rFonts w:ascii="Arial Narrow" w:hAnsi="Arial Narrow"/>
          <w:sz w:val="24"/>
          <w:szCs w:val="24"/>
        </w:rPr>
        <w:t xml:space="preserve">Η Συμφωνία περιλαμβάνει </w:t>
      </w:r>
      <w:r w:rsidR="00617DDA">
        <w:rPr>
          <w:rFonts w:ascii="Arial Narrow" w:hAnsi="Arial Narrow"/>
          <w:sz w:val="24"/>
          <w:szCs w:val="24"/>
        </w:rPr>
        <w:t xml:space="preserve">τακτικό στρατηγικό διάλογο, συντονισμό σε ζητήματα εξωτερικής πολιτικής, συνεργασία σε θέματα ασφάλειας και άμυνας, ενίσχυση της περιφερειακής σταθερότητας, της συνεργασίας σε διεθνείς οργανισμούς και την προώθηση κοινών οικονομικών πρωτοβουλιών. </w:t>
      </w:r>
    </w:p>
    <w:p w14:paraId="727717D7" w14:textId="61D3B3D1" w:rsidR="00617DDA" w:rsidRDefault="00617DDA" w:rsidP="00F04D4A">
      <w:pPr>
        <w:jc w:val="both"/>
        <w:rPr>
          <w:rFonts w:ascii="Arial Narrow" w:hAnsi="Arial Narrow"/>
          <w:b/>
          <w:color w:val="4F81BD" w:themeColor="accent1"/>
          <w:sz w:val="24"/>
          <w:szCs w:val="24"/>
        </w:rPr>
      </w:pPr>
      <w:r w:rsidRPr="00617DDA">
        <w:rPr>
          <w:rFonts w:ascii="Arial Narrow" w:hAnsi="Arial Narrow"/>
          <w:b/>
          <w:color w:val="4F81BD" w:themeColor="accent1"/>
          <w:sz w:val="24"/>
          <w:szCs w:val="24"/>
        </w:rPr>
        <w:t xml:space="preserve">3. Βασικές διμερείς συμφωνίες </w:t>
      </w:r>
    </w:p>
    <w:p w14:paraId="11A64DBE" w14:textId="6A89577D" w:rsidR="00617DDA" w:rsidRDefault="00617DDA" w:rsidP="00F04D4A">
      <w:pPr>
        <w:jc w:val="both"/>
        <w:rPr>
          <w:rFonts w:ascii="Arial Narrow" w:hAnsi="Arial Narrow"/>
          <w:sz w:val="24"/>
          <w:szCs w:val="24"/>
        </w:rPr>
      </w:pPr>
      <w:r>
        <w:rPr>
          <w:rFonts w:ascii="Arial Narrow" w:hAnsi="Arial Narrow"/>
          <w:sz w:val="24"/>
          <w:szCs w:val="24"/>
        </w:rPr>
        <w:t xml:space="preserve">Το θεσμικό πλαίσιο περιλαμβάνει, μεταξύ άλλων, Οικονομία &amp; Επενδύσεις (Συμφωνία Οικονομικής, Πολιτιστικής &amp; Τεχνικής Συνεργασίας, Συμφωνία Προώθησης και Αμοιβαίας Προστασίας Επενδύσεων, Συμφωνίες οικονομικής και τεχνολογικής συνεργασίας και Μηχανισμούς διευκόλυνσης επενδύσεων) – Φορολογία (Σύμβαση Αποφυγής Διπλής Φορολογίας) – Αερομεταφορές (Συμφωνία Αεροπορικών Μεταφορών, Μνημόνιο Συνεργασίας στις αεροπορικές υπηρεσίες) – Τουρισμός (Μνημόνιο Συνεργασίας στον τουρισμό, Συνεργασία σε τουριστική προβολή και επενδύσεις) – Παιδεία (Μνημόνιο Συνεργασίας στην ανώτατη εκπαίδευση, Συνεργασία στην επιστημονική έρευνα), Πολιτισμός (Μνημόνιο Πολιτιστικής Συνεργασίας), Αθλητισμός (Μνημόνιο Συνεργασίας στον Αθλητισμό), Καταπολέμηση </w:t>
      </w:r>
      <w:r w:rsidR="000807C7">
        <w:rPr>
          <w:rFonts w:ascii="Arial Narrow" w:hAnsi="Arial Narrow"/>
          <w:sz w:val="24"/>
          <w:szCs w:val="24"/>
        </w:rPr>
        <w:t>Οικονομικού Εγκλήματος (συνεργασία για την ανταλλαγή πληροφοριών σχετικά με τη νομιμοποίηση εσόδων από παράνομες δραστηριότητες και χρηματοδότηση της τρομοκρατίας – Θεωρήσεις Εισόδου (Συμφωνίες αμοιβαίας απαλλαγής από την υποχρέωση θεώρησης για συγκεκριμένες κατηγορίες διαβατηρίων).</w:t>
      </w:r>
    </w:p>
    <w:p w14:paraId="31EE4156" w14:textId="4CAE10DF" w:rsidR="000807C7" w:rsidRDefault="000807C7" w:rsidP="00F04D4A">
      <w:pPr>
        <w:jc w:val="both"/>
        <w:rPr>
          <w:rFonts w:ascii="Arial Narrow" w:hAnsi="Arial Narrow"/>
          <w:b/>
          <w:color w:val="4F81BD" w:themeColor="accent1"/>
          <w:sz w:val="24"/>
          <w:szCs w:val="24"/>
        </w:rPr>
      </w:pPr>
      <w:r w:rsidRPr="000807C7">
        <w:rPr>
          <w:rFonts w:ascii="Arial Narrow" w:hAnsi="Arial Narrow"/>
          <w:b/>
          <w:color w:val="4F81BD" w:themeColor="accent1"/>
          <w:sz w:val="24"/>
          <w:szCs w:val="24"/>
        </w:rPr>
        <w:t xml:space="preserve">4. Θεσμική Συνεργασία στον Οικονομικό – Εμπορικό Τομέα </w:t>
      </w:r>
    </w:p>
    <w:p w14:paraId="4CCA179F" w14:textId="035DA053" w:rsidR="000807C7" w:rsidRDefault="00413A5A" w:rsidP="00F04D4A">
      <w:pPr>
        <w:jc w:val="both"/>
        <w:rPr>
          <w:rFonts w:ascii="Arial Narrow" w:hAnsi="Arial Narrow"/>
          <w:sz w:val="24"/>
          <w:szCs w:val="24"/>
        </w:rPr>
      </w:pPr>
      <w:r>
        <w:rPr>
          <w:rFonts w:ascii="Arial Narrow" w:hAnsi="Arial Narrow"/>
          <w:sz w:val="24"/>
          <w:szCs w:val="24"/>
        </w:rPr>
        <w:t xml:space="preserve">Η οικονομική </w:t>
      </w:r>
      <w:r w:rsidR="00E86391">
        <w:rPr>
          <w:rFonts w:ascii="Arial Narrow" w:hAnsi="Arial Narrow"/>
          <w:sz w:val="24"/>
          <w:szCs w:val="24"/>
        </w:rPr>
        <w:t xml:space="preserve">– εμπορική συνεργασία καλύπτει μία πληθώρα τομέων, όπως εμπόριο αγαθών, εμπόριο υπηρεσιών, άμεσες επενδύσεις, ανανεώσιμες πηγές ενέργειας, υδρογόνο, </w:t>
      </w:r>
      <w:r w:rsidR="008252F4">
        <w:rPr>
          <w:rFonts w:ascii="Arial Narrow" w:hAnsi="Arial Narrow"/>
          <w:sz w:val="24"/>
          <w:szCs w:val="24"/>
          <w:lang w:val="en-US"/>
        </w:rPr>
        <w:t>lostistics</w:t>
      </w:r>
      <w:r w:rsidR="008252F4" w:rsidRPr="008252F4">
        <w:rPr>
          <w:rFonts w:ascii="Arial Narrow" w:hAnsi="Arial Narrow"/>
          <w:sz w:val="24"/>
          <w:szCs w:val="24"/>
        </w:rPr>
        <w:t xml:space="preserve">, </w:t>
      </w:r>
      <w:r w:rsidR="008252F4">
        <w:rPr>
          <w:rFonts w:ascii="Arial Narrow" w:hAnsi="Arial Narrow"/>
          <w:sz w:val="24"/>
          <w:szCs w:val="24"/>
        </w:rPr>
        <w:t xml:space="preserve">τουρισμό, λιμένες, ναυτιλία, χρηματοπιστωτικές υπηρεσίες, αγροδιατροφή, φαρμακευτκή βιομηχανία, ψηφιακή οικονομία, τεχνητή νοημοσύνη, </w:t>
      </w:r>
      <w:r w:rsidR="008252F4">
        <w:rPr>
          <w:rFonts w:ascii="Arial Narrow" w:hAnsi="Arial Narrow"/>
          <w:sz w:val="24"/>
          <w:szCs w:val="24"/>
          <w:lang w:val="en-US"/>
        </w:rPr>
        <w:t>data</w:t>
      </w:r>
      <w:r w:rsidR="008252F4" w:rsidRPr="008252F4">
        <w:rPr>
          <w:rFonts w:ascii="Arial Narrow" w:hAnsi="Arial Narrow"/>
          <w:sz w:val="24"/>
          <w:szCs w:val="24"/>
        </w:rPr>
        <w:t xml:space="preserve"> </w:t>
      </w:r>
      <w:r w:rsidR="008252F4">
        <w:rPr>
          <w:rFonts w:ascii="Arial Narrow" w:hAnsi="Arial Narrow"/>
          <w:sz w:val="24"/>
          <w:szCs w:val="24"/>
          <w:lang w:val="en-US"/>
        </w:rPr>
        <w:t>centers</w:t>
      </w:r>
      <w:r w:rsidR="008252F4" w:rsidRPr="008252F4">
        <w:rPr>
          <w:rFonts w:ascii="Arial Narrow" w:hAnsi="Arial Narrow"/>
          <w:sz w:val="24"/>
          <w:szCs w:val="24"/>
        </w:rPr>
        <w:t xml:space="preserve">, </w:t>
      </w:r>
      <w:r w:rsidR="008252F4">
        <w:rPr>
          <w:rFonts w:ascii="Arial Narrow" w:hAnsi="Arial Narrow"/>
          <w:sz w:val="24"/>
          <w:szCs w:val="24"/>
          <w:lang w:val="en-US"/>
        </w:rPr>
        <w:t>FinTech</w:t>
      </w:r>
      <w:r w:rsidR="008252F4">
        <w:rPr>
          <w:rFonts w:ascii="Arial Narrow" w:hAnsi="Arial Narrow"/>
          <w:sz w:val="24"/>
          <w:szCs w:val="24"/>
        </w:rPr>
        <w:t xml:space="preserve"> &amp; κυβερνοασφάλεια.</w:t>
      </w:r>
    </w:p>
    <w:p w14:paraId="39DC48CD" w14:textId="6FE5486F" w:rsidR="008252F4" w:rsidRDefault="008252F4" w:rsidP="00F04D4A">
      <w:pPr>
        <w:jc w:val="both"/>
        <w:rPr>
          <w:rFonts w:ascii="Arial Narrow" w:hAnsi="Arial Narrow"/>
          <w:b/>
          <w:color w:val="4F81BD" w:themeColor="accent1"/>
          <w:sz w:val="28"/>
          <w:szCs w:val="28"/>
        </w:rPr>
      </w:pPr>
      <w:r w:rsidRPr="008252F4">
        <w:rPr>
          <w:rFonts w:ascii="Arial Narrow" w:hAnsi="Arial Narrow"/>
          <w:b/>
          <w:color w:val="4F81BD" w:themeColor="accent1"/>
          <w:sz w:val="28"/>
          <w:szCs w:val="28"/>
        </w:rPr>
        <w:t xml:space="preserve">5. Θεσμική Συνεργασία στις Επενδύσεις </w:t>
      </w:r>
    </w:p>
    <w:p w14:paraId="4A18B7B8" w14:textId="42AA64D4" w:rsidR="008252F4" w:rsidRDefault="00A31E76" w:rsidP="00F04D4A">
      <w:pPr>
        <w:jc w:val="both"/>
        <w:rPr>
          <w:rFonts w:ascii="Arial Narrow" w:hAnsi="Arial Narrow"/>
          <w:sz w:val="24"/>
          <w:szCs w:val="24"/>
        </w:rPr>
      </w:pPr>
      <w:r>
        <w:rPr>
          <w:rFonts w:ascii="Arial Narrow" w:hAnsi="Arial Narrow"/>
          <w:sz w:val="24"/>
          <w:szCs w:val="24"/>
        </w:rPr>
        <w:t>Οι διμερεις επενδυτικές σχέσεις στηρίζονται σε τομείς όπως προστασία επενδύσεων, σταθερό φορολογικό πλαίσιο, συνεργασία μεταξύ κρατικών επενδυτικών ταμείων, συμπράξεις δημόσιου και ιδιωτικού τομέα (</w:t>
      </w:r>
      <w:r>
        <w:rPr>
          <w:rFonts w:ascii="Arial Narrow" w:hAnsi="Arial Narrow"/>
          <w:sz w:val="24"/>
          <w:szCs w:val="24"/>
          <w:lang w:val="en-US"/>
        </w:rPr>
        <w:t>PPP</w:t>
      </w:r>
      <w:r w:rsidR="00827CE5" w:rsidRPr="00827CE5">
        <w:rPr>
          <w:rFonts w:ascii="Arial Narrow" w:hAnsi="Arial Narrow"/>
          <w:sz w:val="24"/>
          <w:szCs w:val="24"/>
        </w:rPr>
        <w:t>-</w:t>
      </w:r>
      <w:r w:rsidR="00827CE5">
        <w:rPr>
          <w:rFonts w:ascii="Arial Narrow" w:hAnsi="Arial Narrow"/>
          <w:sz w:val="24"/>
          <w:szCs w:val="24"/>
        </w:rPr>
        <w:t>ΣΔΙΤ), κοινές επενδυτικές πρωτοβουλίες. Ιδιαίτερη σημασία έχει η πρωτοβουλία συνεπενδύσεων ύψους 4 δις €</w:t>
      </w:r>
      <w:r w:rsidR="000534CA">
        <w:rPr>
          <w:rFonts w:ascii="Arial Narrow" w:hAnsi="Arial Narrow"/>
          <w:sz w:val="24"/>
          <w:szCs w:val="24"/>
        </w:rPr>
        <w:t xml:space="preserve">, η οποία ενίσχυσε περαιτέρω το επενδυτικό πλαίσιο μεταξύ των δύο χωρών. </w:t>
      </w:r>
    </w:p>
    <w:p w14:paraId="1DEAE66B" w14:textId="74C8226E" w:rsidR="000534CA" w:rsidRDefault="000534CA" w:rsidP="00F04D4A">
      <w:pPr>
        <w:jc w:val="both"/>
        <w:rPr>
          <w:rFonts w:ascii="Arial Narrow" w:hAnsi="Arial Narrow"/>
          <w:b/>
          <w:color w:val="4F81BD" w:themeColor="accent1"/>
          <w:sz w:val="28"/>
          <w:szCs w:val="28"/>
        </w:rPr>
      </w:pPr>
      <w:r w:rsidRPr="000534CA">
        <w:rPr>
          <w:rFonts w:ascii="Arial Narrow" w:hAnsi="Arial Narrow"/>
          <w:b/>
          <w:color w:val="4F81BD" w:themeColor="accent1"/>
          <w:sz w:val="28"/>
          <w:szCs w:val="28"/>
        </w:rPr>
        <w:t xml:space="preserve">6. Συνεργασία σε νέους στρατηγικούς τομείς </w:t>
      </w:r>
    </w:p>
    <w:p w14:paraId="1988683C" w14:textId="2B413BFC" w:rsidR="000534CA" w:rsidRDefault="000534CA" w:rsidP="00F04D4A">
      <w:pPr>
        <w:jc w:val="both"/>
        <w:rPr>
          <w:rFonts w:ascii="Arial Narrow" w:hAnsi="Arial Narrow"/>
          <w:sz w:val="24"/>
          <w:szCs w:val="24"/>
        </w:rPr>
      </w:pPr>
      <w:r>
        <w:rPr>
          <w:rFonts w:ascii="Arial Narrow" w:hAnsi="Arial Narrow"/>
          <w:sz w:val="24"/>
          <w:szCs w:val="24"/>
        </w:rPr>
        <w:t>Τα τελευταία χρόνια το θεσμικό πλαίσιο έχει επεκταθεί και σε νέους στρατηγικούς τομείς, όπως τεχνητή νοημοσύνη, ψηφιακές υποδομές, υποδομές δεδομένων, έξυπνες πόλεις, κλιματική αλλαγή, πράσινη ανάπτυξη, κυκλική οικονομία, καινοτομία &amp; βιομηχανία υψηλής τεχνολογίας.</w:t>
      </w:r>
    </w:p>
    <w:p w14:paraId="00A6EC65" w14:textId="34D4A687" w:rsidR="000534CA" w:rsidRDefault="000534CA" w:rsidP="00F04D4A">
      <w:pPr>
        <w:jc w:val="both"/>
        <w:rPr>
          <w:rFonts w:ascii="Arial Narrow" w:hAnsi="Arial Narrow"/>
          <w:b/>
          <w:color w:val="4F81BD" w:themeColor="accent1"/>
          <w:sz w:val="28"/>
          <w:szCs w:val="28"/>
        </w:rPr>
      </w:pPr>
      <w:r w:rsidRPr="000534CA">
        <w:rPr>
          <w:rFonts w:ascii="Arial Narrow" w:hAnsi="Arial Narrow"/>
          <w:b/>
          <w:color w:val="4F81BD" w:themeColor="accent1"/>
          <w:sz w:val="28"/>
          <w:szCs w:val="28"/>
        </w:rPr>
        <w:t xml:space="preserve">7. Συνεργασία σε Διεθνείς Οργανισμούς </w:t>
      </w:r>
    </w:p>
    <w:p w14:paraId="5D0545CF" w14:textId="642805F3" w:rsidR="000534CA" w:rsidRDefault="000534CA" w:rsidP="00F04D4A">
      <w:pPr>
        <w:jc w:val="both"/>
        <w:rPr>
          <w:rFonts w:ascii="Arial Narrow" w:hAnsi="Arial Narrow"/>
          <w:sz w:val="24"/>
          <w:szCs w:val="24"/>
        </w:rPr>
      </w:pPr>
      <w:r>
        <w:rPr>
          <w:rFonts w:ascii="Arial Narrow" w:hAnsi="Arial Narrow"/>
          <w:sz w:val="24"/>
          <w:szCs w:val="24"/>
        </w:rPr>
        <w:t xml:space="preserve">Οι δύο χώρες συνεργάζονται στενά στον ΟΕΗ, ΠΟΕ, Παγκόσμιο Οργανισμό Τουρισμού, Διεθνή Φόρα για την ενέργεια και την κλιματική αλλαγή. </w:t>
      </w:r>
    </w:p>
    <w:p w14:paraId="1375F13B" w14:textId="7D70B2CA" w:rsidR="005603A5" w:rsidRDefault="000534CA" w:rsidP="000534CA">
      <w:pPr>
        <w:jc w:val="both"/>
        <w:rPr>
          <w:rFonts w:ascii="Arial Narrow" w:hAnsi="Arial Narrow"/>
          <w:b/>
          <w:color w:val="4F81BD" w:themeColor="accent1"/>
          <w:sz w:val="28"/>
          <w:szCs w:val="28"/>
        </w:rPr>
      </w:pPr>
      <w:r w:rsidRPr="000534CA">
        <w:rPr>
          <w:rFonts w:ascii="Arial Narrow" w:hAnsi="Arial Narrow"/>
          <w:b/>
          <w:color w:val="4F81BD" w:themeColor="accent1"/>
          <w:sz w:val="28"/>
          <w:szCs w:val="28"/>
        </w:rPr>
        <w:t xml:space="preserve">8. Θεσμικό Πλαίσιο Επιχειρηματικής Συνεργασίας </w:t>
      </w:r>
    </w:p>
    <w:p w14:paraId="6787DD00" w14:textId="2D6798F5" w:rsidR="00BD6B5C" w:rsidRDefault="00BD6B5C" w:rsidP="000534CA">
      <w:pPr>
        <w:jc w:val="both"/>
        <w:rPr>
          <w:rFonts w:ascii="Arial Narrow" w:hAnsi="Arial Narrow"/>
          <w:sz w:val="24"/>
          <w:szCs w:val="24"/>
        </w:rPr>
      </w:pPr>
      <w:r>
        <w:rPr>
          <w:rFonts w:ascii="Arial Narrow" w:hAnsi="Arial Narrow"/>
          <w:sz w:val="24"/>
          <w:szCs w:val="24"/>
        </w:rPr>
        <w:t>Στο θεσμικό πλαίσιο επιχειρηματικής συνεργασίας σημαντκό ρόλο διαδραματίζουν τα Υπουργεία Εξωτερικών, Οικονομίας, Ανάπτυξης, Μεικτές Διϋπουργικές Επιτροπές (ΜΔΕ), Επιμελητήρια, Οργανισμοί Προώθησης Επενδύσεων, Εθνικοί Οργανισμοί Εξαγωγών &amp; Κρατκά Επενδυτικά Ταμεία.</w:t>
      </w:r>
    </w:p>
    <w:p w14:paraId="49854594" w14:textId="77777777" w:rsidR="00BD6B5C" w:rsidRDefault="00BD6B5C" w:rsidP="000534CA">
      <w:pPr>
        <w:jc w:val="both"/>
        <w:rPr>
          <w:rFonts w:ascii="Times New Roman" w:hAnsi="Times New Roman" w:cs="Times New Roman"/>
        </w:rPr>
      </w:pPr>
      <w:r w:rsidRPr="00BD6B5C">
        <w:rPr>
          <w:rFonts w:ascii="Arial Narrow" w:hAnsi="Arial Narrow"/>
          <w:b/>
          <w:color w:val="4F81BD" w:themeColor="accent1"/>
          <w:sz w:val="28"/>
          <w:szCs w:val="28"/>
        </w:rPr>
        <w:t>9. Αξιολόγηση του Θεσμικού Πλαισίου</w:t>
      </w:r>
    </w:p>
    <w:p w14:paraId="6A6ED18F" w14:textId="07381101" w:rsidR="006F4630" w:rsidRDefault="00BC595B" w:rsidP="000534CA">
      <w:pPr>
        <w:jc w:val="both"/>
        <w:rPr>
          <w:rFonts w:ascii="Arial Narrow" w:hAnsi="Arial Narrow" w:cs="Times New Roman"/>
          <w:sz w:val="24"/>
          <w:szCs w:val="24"/>
        </w:rPr>
      </w:pPr>
      <w:r>
        <w:rPr>
          <w:rFonts w:ascii="Arial Narrow" w:hAnsi="Arial Narrow" w:cs="Times New Roman"/>
          <w:sz w:val="24"/>
          <w:szCs w:val="24"/>
        </w:rPr>
        <w:t xml:space="preserve">Το ισχύον θεσμικό πλαίσιο χαρακτηρίζεται θετικά με τη πολιτική βούληση υψηλού επιπέδου, με το εκτεταμένο δίκτυο συμφωνιών, με την Στρατηγική εταιρική σχέση με σαφές πολιτικό και οικονομικό περιεχόμενο, με την συμπληρωματικότητα των οικονομιών, με σημαντική επενδυτική συνεργασία  και την επέκταση σε τομείς υψηλής τεχνολογίας. Συγχρόνως το διμερές θεσμικό πλαίσιο βρίσκεται αντιμέτωπο με μία σειρά προκλήσεων, όπως πλήρη ενεργοποίηση όλων των υπογεγραμμένων μνημονίων, ενίσχυση των επιχειρηματικών συνεργειών μεταξύ ΜΜΕ, διεύρυνση της συνεργασίας στην έρευνα και καινοτομία και συστηματική παρακολούθηση </w:t>
      </w:r>
      <w:r w:rsidR="009A051C">
        <w:rPr>
          <w:rFonts w:ascii="Arial Narrow" w:hAnsi="Arial Narrow" w:cs="Times New Roman"/>
          <w:sz w:val="24"/>
          <w:szCs w:val="24"/>
        </w:rPr>
        <w:t xml:space="preserve">της εφαρμογής των συμφωνιών μέσω τακτικών συνεδριάσεων της ΜΔΕ. </w:t>
      </w:r>
    </w:p>
    <w:p w14:paraId="7A63C000" w14:textId="280F34B9" w:rsidR="00BD6B5C" w:rsidRDefault="000A1E01" w:rsidP="000A1E01">
      <w:pPr>
        <w:jc w:val="center"/>
        <w:rPr>
          <w:rFonts w:ascii="Arial Narrow" w:hAnsi="Arial Narrow" w:cs="Times New Roman"/>
          <w:b/>
          <w:color w:val="4F81BD" w:themeColor="accent1"/>
          <w:sz w:val="28"/>
          <w:szCs w:val="28"/>
        </w:rPr>
      </w:pPr>
      <w:r w:rsidRPr="000A1E01">
        <w:rPr>
          <w:rFonts w:ascii="Arial Narrow" w:hAnsi="Arial Narrow" w:cs="Times New Roman"/>
          <w:b/>
          <w:color w:val="4F81BD" w:themeColor="accent1"/>
          <w:sz w:val="28"/>
          <w:szCs w:val="28"/>
        </w:rPr>
        <w:t>10. ΑΠΟΛΟΓΙΣΜΟΣ ΔΡΑΣΕΩΝ</w:t>
      </w:r>
      <w:r>
        <w:rPr>
          <w:rFonts w:ascii="Arial Narrow" w:hAnsi="Arial Narrow" w:cs="Times New Roman"/>
          <w:b/>
          <w:color w:val="4F81BD" w:themeColor="accent1"/>
          <w:sz w:val="28"/>
          <w:szCs w:val="28"/>
        </w:rPr>
        <w:t xml:space="preserve"> ΓΡΑΦΕΙΟΥ ΟΕΥ ΝΤΟΥΜΠΑΪ ΓΙΑ ΤΟ 2025 – ΠΡΟΤΕΡΑΙΟΤΗΤΕΣ ΓΙΑ ΤΟ 2026</w:t>
      </w:r>
    </w:p>
    <w:p w14:paraId="6A66752C" w14:textId="3CF29FDB" w:rsidR="000A1E01" w:rsidRDefault="000A1E01" w:rsidP="000A1E01">
      <w:pPr>
        <w:jc w:val="both"/>
        <w:rPr>
          <w:rFonts w:ascii="Arial Narrow" w:hAnsi="Arial Narrow" w:cs="Times New Roman"/>
          <w:sz w:val="24"/>
          <w:szCs w:val="24"/>
        </w:rPr>
      </w:pPr>
      <w:r w:rsidRPr="000A1E01">
        <w:rPr>
          <w:rFonts w:ascii="Arial Narrow" w:hAnsi="Arial Narrow" w:cs="Times New Roman"/>
          <w:b/>
          <w:sz w:val="24"/>
          <w:szCs w:val="24"/>
        </w:rPr>
        <w:t xml:space="preserve">10.1. </w:t>
      </w:r>
      <w:r>
        <w:rPr>
          <w:rFonts w:ascii="Arial Narrow" w:hAnsi="Arial Narrow" w:cs="Times New Roman"/>
          <w:sz w:val="24"/>
          <w:szCs w:val="24"/>
        </w:rPr>
        <w:t xml:space="preserve">Ο συνολικός απολογισμός δράσεων του Γραφείου ΟΕΥ Ντουμπάϊ για το 2025 αποσκοπούσε στην ενίσχυση της εξωστρέφειας, των διμερών εμπορικών σχέσεων μεταξύ Ελλάδας και Ηνωμένων Αραβικών Εμιράτων (ΗΑΕ), των επενδύσεων και της διεθνούς οικονομικής και επιχειρηματικής παρουσίας της Ελλάδας. Το στρατηγικό πλαίσιο για το 2025 εστιάζεται στις διεθνείς οικονομικές εξελίξεις και τις επιτπώσεις των γεωπολιτικών εντάσεων,της ενεργειακής αβεβαιότητας, της αναδιάρθρωσης των παγκόσμιων εφοδιαστικών αλυσίδων, του αυξανόμενου ανταγωνισμού για επενδύσεις και τεχνολογία. Ως βασικοί στόχοι της ελληνικής οικονομικής διπλωματίας καταγράφονται η προώθηση των ελληνικών εξαγωγών, η προσέλκυση ξένων επενδύσεων, η ενίσχυση διεθνών επιχειρηματικών συνεργασιών, η περαιτέρω προβολή της Ελλάδας ως ελκυστικού </w:t>
      </w:r>
      <w:r w:rsidR="007E5B73">
        <w:rPr>
          <w:rFonts w:ascii="Arial Narrow" w:hAnsi="Arial Narrow" w:cs="Times New Roman"/>
          <w:sz w:val="24"/>
          <w:szCs w:val="24"/>
        </w:rPr>
        <w:t xml:space="preserve">επενδυτικού &amp; εμπορικού προορισμού και η υποστήριξη και συνδρομή ελληνικών επιχειρήσεων στις διεθνείς αγορές. </w:t>
      </w:r>
    </w:p>
    <w:p w14:paraId="42EB693A" w14:textId="10580E3C" w:rsidR="007E5B73" w:rsidRDefault="007E5B73" w:rsidP="000A1E01">
      <w:pPr>
        <w:jc w:val="both"/>
        <w:rPr>
          <w:rFonts w:ascii="Arial Narrow" w:hAnsi="Arial Narrow" w:cs="Times New Roman"/>
          <w:b/>
          <w:sz w:val="24"/>
          <w:szCs w:val="24"/>
        </w:rPr>
      </w:pPr>
      <w:r w:rsidRPr="003F3911">
        <w:rPr>
          <w:rFonts w:ascii="Arial Narrow" w:hAnsi="Arial Narrow" w:cs="Times New Roman"/>
          <w:b/>
          <w:sz w:val="24"/>
          <w:szCs w:val="24"/>
        </w:rPr>
        <w:t>10.2.</w:t>
      </w:r>
      <w:r>
        <w:rPr>
          <w:rFonts w:ascii="Arial Narrow" w:hAnsi="Arial Narrow" w:cs="Times New Roman"/>
          <w:sz w:val="24"/>
          <w:szCs w:val="24"/>
        </w:rPr>
        <w:t xml:space="preserve"> Κύριοι άξονες δράσης Οικονομικής Διπλωματίας για το 2025 ήταν η ενίσχυση παρουσίας ελληνικών επιχειρήσεων σε διεθνείς αγορές, η υποστήριξη εξαγωγικών επιχειρήσεων μέσω επιχειρηματικών αποστολών, Β2Β συναντήσεων, Διεθνών Κλαδικών και Επαγγελματικών Εκθέσεων, των ενημερωτικών δράσεων και της παροχής επιχειρηματικής πληροφόρησης. Ως τομείς προτεραιότητας χαρακτηρίζονται </w:t>
      </w:r>
      <w:r>
        <w:rPr>
          <w:rFonts w:ascii="Arial Narrow" w:hAnsi="Arial Narrow" w:cs="Times New Roman"/>
          <w:b/>
          <w:sz w:val="24"/>
          <w:szCs w:val="24"/>
        </w:rPr>
        <w:t>τα τρόφιμα &amp; αγροτοδιατροφικά προϊόντα</w:t>
      </w:r>
      <w:r w:rsidR="003F3911">
        <w:rPr>
          <w:rFonts w:ascii="Arial Narrow" w:hAnsi="Arial Narrow" w:cs="Times New Roman"/>
          <w:b/>
          <w:sz w:val="24"/>
          <w:szCs w:val="24"/>
        </w:rPr>
        <w:t>, φάρμα και ο τομέας της υγείας, ναυτιλία, ενέργεια, τεχνολογία &amp; τουρισμός.</w:t>
      </w:r>
    </w:p>
    <w:p w14:paraId="1D26C82D" w14:textId="4C8F9002" w:rsidR="003F3911" w:rsidRDefault="003F3911" w:rsidP="000A1E01">
      <w:pPr>
        <w:jc w:val="both"/>
        <w:rPr>
          <w:rFonts w:ascii="Arial Narrow" w:hAnsi="Arial Narrow" w:cs="Times New Roman"/>
          <w:sz w:val="24"/>
          <w:szCs w:val="24"/>
        </w:rPr>
      </w:pPr>
      <w:r>
        <w:rPr>
          <w:rFonts w:ascii="Arial Narrow" w:hAnsi="Arial Narrow" w:cs="Times New Roman"/>
          <w:b/>
          <w:sz w:val="24"/>
          <w:szCs w:val="24"/>
        </w:rPr>
        <w:t xml:space="preserve">10.3 </w:t>
      </w:r>
      <w:r>
        <w:rPr>
          <w:rFonts w:ascii="Arial Narrow" w:hAnsi="Arial Narrow" w:cs="Times New Roman"/>
          <w:sz w:val="24"/>
          <w:szCs w:val="24"/>
        </w:rPr>
        <w:t xml:space="preserve">Προσέλκυση Ξένων Άμεσων Επενδύσεων </w:t>
      </w:r>
      <w:r>
        <w:rPr>
          <w:rFonts w:ascii="Arial Narrow" w:hAnsi="Arial Narrow" w:cs="Times New Roman"/>
          <w:sz w:val="24"/>
          <w:szCs w:val="24"/>
          <w:lang w:val="en-US"/>
        </w:rPr>
        <w:t>FDI</w:t>
      </w:r>
      <w:r w:rsidRPr="003F3911">
        <w:rPr>
          <w:rFonts w:ascii="Arial Narrow" w:hAnsi="Arial Narrow" w:cs="Times New Roman"/>
          <w:sz w:val="24"/>
          <w:szCs w:val="24"/>
        </w:rPr>
        <w:t>)</w:t>
      </w:r>
      <w:r>
        <w:rPr>
          <w:rFonts w:ascii="Arial Narrow" w:hAnsi="Arial Narrow" w:cs="Times New Roman"/>
          <w:sz w:val="24"/>
          <w:szCs w:val="24"/>
        </w:rPr>
        <w:t xml:space="preserve">. Για το 2025 στρατηγικοί στόχοι που κυριάρχησαν ήταν η ανάδειξη της Ελλάδας ως περιφερειακού ενεργειακού κόμβου, ως κέντρου </w:t>
      </w:r>
      <w:r>
        <w:rPr>
          <w:rFonts w:ascii="Arial Narrow" w:hAnsi="Arial Narrow" w:cs="Times New Roman"/>
          <w:sz w:val="24"/>
          <w:szCs w:val="24"/>
          <w:lang w:val="en-US"/>
        </w:rPr>
        <w:t>logistics</w:t>
      </w:r>
      <w:r w:rsidRPr="003F3911">
        <w:rPr>
          <w:rFonts w:ascii="Arial Narrow" w:hAnsi="Arial Narrow" w:cs="Times New Roman"/>
          <w:sz w:val="24"/>
          <w:szCs w:val="24"/>
        </w:rPr>
        <w:t xml:space="preserve">, </w:t>
      </w:r>
      <w:r>
        <w:rPr>
          <w:rFonts w:ascii="Arial Narrow" w:hAnsi="Arial Narrow" w:cs="Times New Roman"/>
          <w:sz w:val="24"/>
          <w:szCs w:val="24"/>
        </w:rPr>
        <w:t>ως ψηφιακού κόμβου της Νοτιονατολικής Ευρώπης &amp; ασφαλούς επενδυτικού προορισμού</w:t>
      </w:r>
      <w:r w:rsidR="00D54BB3">
        <w:rPr>
          <w:rFonts w:ascii="Arial Narrow" w:hAnsi="Arial Narrow" w:cs="Times New Roman"/>
          <w:sz w:val="24"/>
          <w:szCs w:val="24"/>
        </w:rPr>
        <w:t>. Στους κύριους κλάδους επενδυτικού ενδιαφέροντος εντάσσονται η ενέργεια (ΑΠΕ, Υδρογόνο, Διασυνδέσεις ηλεκτρικής ενέργειας &amp; Αποθήκευση ενέργειας). Στο τομέα του τουρισμού ως κλάδου επενδυτικού ενδιαφέροντος κατατάσσονται τα πολυτελή ξενοδοχεία, οι τουριστκές υποδομές, οι Μαρίνες και τ</w:t>
      </w:r>
      <w:r w:rsidR="006C2954">
        <w:rPr>
          <w:rFonts w:ascii="Arial Narrow" w:hAnsi="Arial Narrow" w:cs="Times New Roman"/>
          <w:sz w:val="24"/>
          <w:szCs w:val="24"/>
          <w:lang w:val="en-US"/>
        </w:rPr>
        <w:t>o</w:t>
      </w:r>
      <w:r w:rsidR="00391D9D" w:rsidRPr="00391D9D">
        <w:rPr>
          <w:rFonts w:ascii="Arial Narrow" w:hAnsi="Arial Narrow" w:cs="Times New Roman"/>
          <w:sz w:val="24"/>
          <w:szCs w:val="24"/>
        </w:rPr>
        <w:t xml:space="preserve"> </w:t>
      </w:r>
      <w:r w:rsidR="00391D9D">
        <w:rPr>
          <w:rFonts w:ascii="Arial Narrow" w:hAnsi="Arial Narrow" w:cs="Times New Roman"/>
          <w:sz w:val="24"/>
          <w:szCs w:val="24"/>
          <w:lang w:val="en-US"/>
        </w:rPr>
        <w:t>yachting</w:t>
      </w:r>
      <w:r w:rsidR="00391D9D" w:rsidRPr="00391D9D">
        <w:rPr>
          <w:rFonts w:ascii="Arial Narrow" w:hAnsi="Arial Narrow" w:cs="Times New Roman"/>
          <w:sz w:val="24"/>
          <w:szCs w:val="24"/>
        </w:rPr>
        <w:t xml:space="preserve"> &amp; </w:t>
      </w:r>
      <w:r w:rsidR="00391D9D">
        <w:rPr>
          <w:rFonts w:ascii="Arial Narrow" w:hAnsi="Arial Narrow" w:cs="Times New Roman"/>
          <w:sz w:val="24"/>
          <w:szCs w:val="24"/>
        </w:rPr>
        <w:t xml:space="preserve">ο ιατρικός και ευεξίας τουρισμός. Στο τομέα της τεχνολογίας ιδιαίτερο βάρος για πραγματοποίηση νέων επενδύσεων είναι τα </w:t>
      </w:r>
      <w:r w:rsidR="00391D9D">
        <w:rPr>
          <w:rFonts w:ascii="Arial Narrow" w:hAnsi="Arial Narrow" w:cs="Times New Roman"/>
          <w:sz w:val="24"/>
          <w:szCs w:val="24"/>
          <w:lang w:val="en-US"/>
        </w:rPr>
        <w:t>Data</w:t>
      </w:r>
      <w:r w:rsidR="00391D9D" w:rsidRPr="00391D9D">
        <w:rPr>
          <w:rFonts w:ascii="Arial Narrow" w:hAnsi="Arial Narrow" w:cs="Times New Roman"/>
          <w:sz w:val="24"/>
          <w:szCs w:val="24"/>
        </w:rPr>
        <w:t xml:space="preserve"> </w:t>
      </w:r>
      <w:r w:rsidR="00391D9D">
        <w:rPr>
          <w:rFonts w:ascii="Arial Narrow" w:hAnsi="Arial Narrow" w:cs="Times New Roman"/>
          <w:sz w:val="24"/>
          <w:szCs w:val="24"/>
          <w:lang w:val="en-US"/>
        </w:rPr>
        <w:t>Centers</w:t>
      </w:r>
      <w:r w:rsidR="00391D9D" w:rsidRPr="00391D9D">
        <w:rPr>
          <w:rFonts w:ascii="Arial Narrow" w:hAnsi="Arial Narrow" w:cs="Times New Roman"/>
          <w:sz w:val="24"/>
          <w:szCs w:val="24"/>
        </w:rPr>
        <w:t xml:space="preserve">, </w:t>
      </w:r>
      <w:r w:rsidR="00391D9D">
        <w:rPr>
          <w:rFonts w:ascii="Arial Narrow" w:hAnsi="Arial Narrow" w:cs="Times New Roman"/>
          <w:sz w:val="24"/>
          <w:szCs w:val="24"/>
          <w:lang w:val="en-US"/>
        </w:rPr>
        <w:t>AI</w:t>
      </w:r>
      <w:r w:rsidR="00391D9D" w:rsidRPr="00391D9D">
        <w:rPr>
          <w:rFonts w:ascii="Arial Narrow" w:hAnsi="Arial Narrow" w:cs="Times New Roman"/>
          <w:sz w:val="24"/>
          <w:szCs w:val="24"/>
        </w:rPr>
        <w:t xml:space="preserve"> (</w:t>
      </w:r>
      <w:r w:rsidR="00391D9D">
        <w:rPr>
          <w:rFonts w:ascii="Arial Narrow" w:hAnsi="Arial Narrow" w:cs="Times New Roman"/>
          <w:sz w:val="24"/>
          <w:szCs w:val="24"/>
        </w:rPr>
        <w:t xml:space="preserve">τεχνητή νοημοσύνη, η κυβερνοασφάλεια και ο τομέας </w:t>
      </w:r>
      <w:r w:rsidR="00391D9D">
        <w:rPr>
          <w:rFonts w:ascii="Arial Narrow" w:hAnsi="Arial Narrow" w:cs="Times New Roman"/>
          <w:sz w:val="24"/>
          <w:szCs w:val="24"/>
          <w:lang w:val="en-US"/>
        </w:rPr>
        <w:t>Fin</w:t>
      </w:r>
      <w:r w:rsidR="00391D9D" w:rsidRPr="00391D9D">
        <w:rPr>
          <w:rFonts w:ascii="Arial Narrow" w:hAnsi="Arial Narrow" w:cs="Times New Roman"/>
          <w:sz w:val="24"/>
          <w:szCs w:val="24"/>
        </w:rPr>
        <w:t>/</w:t>
      </w:r>
      <w:r w:rsidR="00391D9D">
        <w:rPr>
          <w:rFonts w:ascii="Arial Narrow" w:hAnsi="Arial Narrow" w:cs="Times New Roman"/>
          <w:sz w:val="24"/>
          <w:szCs w:val="24"/>
          <w:lang w:val="en-US"/>
        </w:rPr>
        <w:t>Tech</w:t>
      </w:r>
      <w:r w:rsidR="00391D9D" w:rsidRPr="00391D9D">
        <w:rPr>
          <w:rFonts w:ascii="Arial Narrow" w:hAnsi="Arial Narrow" w:cs="Times New Roman"/>
          <w:sz w:val="24"/>
          <w:szCs w:val="24"/>
        </w:rPr>
        <w:t xml:space="preserve"> </w:t>
      </w:r>
      <w:r w:rsidR="00391D9D">
        <w:rPr>
          <w:rFonts w:ascii="Arial Narrow" w:hAnsi="Arial Narrow" w:cs="Times New Roman"/>
          <w:sz w:val="24"/>
          <w:szCs w:val="24"/>
        </w:rPr>
        <w:t xml:space="preserve">και στο τομέα των υποδομών τα λιμάνια και οι λιμενικές εγκαταστάσεις, οι μεταφορές και τα </w:t>
      </w:r>
      <w:r w:rsidR="00391D9D">
        <w:rPr>
          <w:rFonts w:ascii="Arial Narrow" w:hAnsi="Arial Narrow" w:cs="Times New Roman"/>
          <w:sz w:val="24"/>
          <w:szCs w:val="24"/>
          <w:lang w:val="en-US"/>
        </w:rPr>
        <w:t>logistics</w:t>
      </w:r>
      <w:r w:rsidR="00391D9D" w:rsidRPr="00391D9D">
        <w:rPr>
          <w:rFonts w:ascii="Arial Narrow" w:hAnsi="Arial Narrow" w:cs="Times New Roman"/>
          <w:sz w:val="24"/>
          <w:szCs w:val="24"/>
        </w:rPr>
        <w:t xml:space="preserve">. </w:t>
      </w:r>
    </w:p>
    <w:p w14:paraId="3A947FA2" w14:textId="13E55CF2" w:rsidR="00391D9D" w:rsidRDefault="00391D9D" w:rsidP="00645C12">
      <w:pPr>
        <w:jc w:val="center"/>
        <w:rPr>
          <w:rFonts w:ascii="Arial Narrow" w:hAnsi="Arial Narrow" w:cs="Times New Roman"/>
          <w:b/>
          <w:color w:val="4F81BD" w:themeColor="accent1"/>
          <w:sz w:val="28"/>
          <w:szCs w:val="28"/>
        </w:rPr>
      </w:pPr>
      <w:r w:rsidRPr="00645C12">
        <w:rPr>
          <w:rFonts w:ascii="Arial Narrow" w:hAnsi="Arial Narrow" w:cs="Times New Roman"/>
          <w:b/>
          <w:color w:val="4F81BD" w:themeColor="accent1"/>
          <w:sz w:val="28"/>
          <w:szCs w:val="28"/>
        </w:rPr>
        <w:t xml:space="preserve">11. </w:t>
      </w:r>
      <w:r w:rsidR="00645C12" w:rsidRPr="00645C12">
        <w:rPr>
          <w:rFonts w:ascii="Arial Narrow" w:hAnsi="Arial Narrow" w:cs="Times New Roman"/>
          <w:b/>
          <w:color w:val="4F81BD" w:themeColor="accent1"/>
          <w:sz w:val="28"/>
          <w:szCs w:val="28"/>
        </w:rPr>
        <w:t>ΔΙΜΕΡΕΙΣ ΟΙΚΟΝΟΜΙΚΕΣ ΣΧΕΣΕΙΣ ΚΑΙ ΔΙΕΘΝΕΙΣ ΣΥΝΕΡΓΑΣΙΕΣ</w:t>
      </w:r>
    </w:p>
    <w:p w14:paraId="612B58F9" w14:textId="7C39D2C4" w:rsidR="00645C12" w:rsidRPr="00EB5577" w:rsidRDefault="00645C12" w:rsidP="00645C12">
      <w:pPr>
        <w:rPr>
          <w:rFonts w:ascii="Arial Narrow" w:hAnsi="Arial Narrow" w:cs="Times New Roman"/>
          <w:b/>
          <w:color w:val="4F81BD" w:themeColor="accent1"/>
          <w:sz w:val="24"/>
          <w:szCs w:val="24"/>
        </w:rPr>
      </w:pPr>
      <w:r w:rsidRPr="00EB5577">
        <w:rPr>
          <w:rFonts w:ascii="Arial Narrow" w:hAnsi="Arial Narrow" w:cs="Times New Roman"/>
          <w:b/>
          <w:color w:val="4F81BD" w:themeColor="accent1"/>
          <w:sz w:val="24"/>
          <w:szCs w:val="24"/>
        </w:rPr>
        <w:t xml:space="preserve">11.1. Ευρωπαϊκή Ένωση (ΕΕ) </w:t>
      </w:r>
    </w:p>
    <w:p w14:paraId="515799D2" w14:textId="64CEA6BA" w:rsidR="00F22CE5" w:rsidRDefault="00F22CE5" w:rsidP="00EB5577">
      <w:pPr>
        <w:jc w:val="both"/>
        <w:rPr>
          <w:rFonts w:ascii="Arial Narrow" w:hAnsi="Arial Narrow" w:cs="Times New Roman"/>
          <w:sz w:val="24"/>
          <w:szCs w:val="24"/>
        </w:rPr>
      </w:pPr>
      <w:r>
        <w:rPr>
          <w:rFonts w:ascii="Arial Narrow" w:hAnsi="Arial Narrow" w:cs="Times New Roman"/>
          <w:sz w:val="24"/>
          <w:szCs w:val="24"/>
        </w:rPr>
        <w:t>Στις δ</w:t>
      </w:r>
      <w:r w:rsidR="00EB5577">
        <w:rPr>
          <w:rFonts w:ascii="Arial Narrow" w:hAnsi="Arial Narrow" w:cs="Times New Roman"/>
          <w:sz w:val="24"/>
          <w:szCs w:val="24"/>
        </w:rPr>
        <w:t xml:space="preserve">ράσεις από κοινού με την ΕΕ καταγράφονται η περαιτέρω προώθηση των ελληνικών θέσεων στις ευρωπαϊκές οικονομικές πολιτικές, η συμμετοχή σε ευρωπαϊκές πρωτοβουλίες όπως η πράσινη μετάβαση, ο ψηφιακός μετασχηματισμός και η ενεργειακή ασφάλεια. </w:t>
      </w:r>
    </w:p>
    <w:p w14:paraId="66DF1DE3" w14:textId="7F2415EA" w:rsidR="00EB5577" w:rsidRPr="00EB5577" w:rsidRDefault="00EB5577" w:rsidP="00EB5577">
      <w:pPr>
        <w:jc w:val="both"/>
        <w:rPr>
          <w:rFonts w:ascii="Arial Narrow" w:hAnsi="Arial Narrow" w:cs="Times New Roman"/>
          <w:b/>
          <w:color w:val="4F81BD" w:themeColor="accent1"/>
          <w:sz w:val="24"/>
          <w:szCs w:val="24"/>
        </w:rPr>
      </w:pPr>
      <w:r w:rsidRPr="00EB5577">
        <w:rPr>
          <w:rFonts w:ascii="Arial Narrow" w:hAnsi="Arial Narrow" w:cs="Times New Roman"/>
          <w:b/>
          <w:color w:val="4F81BD" w:themeColor="accent1"/>
          <w:sz w:val="24"/>
          <w:szCs w:val="24"/>
        </w:rPr>
        <w:t xml:space="preserve">11.2. Χώρες Κόλπου – Ηνωμένα Αραβικά Εμιράτα </w:t>
      </w:r>
    </w:p>
    <w:p w14:paraId="080E7821" w14:textId="77777777" w:rsidR="00EB5577" w:rsidRDefault="00EB5577" w:rsidP="00EB5577">
      <w:pPr>
        <w:jc w:val="both"/>
        <w:rPr>
          <w:rFonts w:ascii="Arial Narrow" w:hAnsi="Arial Narrow" w:cs="Times New Roman"/>
          <w:sz w:val="24"/>
          <w:szCs w:val="24"/>
        </w:rPr>
      </w:pPr>
      <w:r>
        <w:rPr>
          <w:rFonts w:ascii="Arial Narrow" w:hAnsi="Arial Narrow" w:cs="Times New Roman"/>
          <w:sz w:val="24"/>
          <w:szCs w:val="24"/>
        </w:rPr>
        <w:t>Αποκλειστικός στόχος και οι κύριοι άξονες για την ενίσχυση των διμερών οικονομικών σχέσεων της Ελλάδας  με τις Χώρες του Κόλπου και με τα Ηνωμένα Αραβικά Εμιράτα είναι το εμπόριο, οι επενδύσεις, η ενέργεια, ο τουρισμός, η ναυτιλία, η τεχνολογία και η καινοτομία. Επίσης στις διμερείς δράσεις με τα Ηνωμένα Αραβικά Εμιράτα για το 2025 καταγράφονται στις επιχειρηματικές διμερείς συναντήσεις Ελλάδας και ΗΑΕ η συνεργασία με Επιμελητήρια, Επιχειρηματικούς Συνδέσμους, οι Επενδυτικοί Φορείς και οι Κρατικοί Οργανισμοί, με σκοπό τη προβολή ελληνικών προϊόντων όπως τρόφιμα, ποτά, καλλυντικά, φαρμακευτικά προϊόντα και δομικά υλικά.</w:t>
      </w:r>
    </w:p>
    <w:p w14:paraId="26699F2E" w14:textId="386A5D40" w:rsidR="00EB5577" w:rsidRDefault="00EB5577" w:rsidP="00EB5577">
      <w:pPr>
        <w:jc w:val="both"/>
        <w:rPr>
          <w:rFonts w:ascii="Arial Narrow" w:hAnsi="Arial Narrow" w:cs="Times New Roman"/>
          <w:b/>
          <w:color w:val="4F81BD" w:themeColor="accent1"/>
          <w:sz w:val="24"/>
          <w:szCs w:val="24"/>
        </w:rPr>
      </w:pPr>
      <w:r w:rsidRPr="00EB5577">
        <w:rPr>
          <w:rFonts w:ascii="Arial Narrow" w:hAnsi="Arial Narrow" w:cs="Times New Roman"/>
          <w:b/>
          <w:color w:val="4F81BD" w:themeColor="accent1"/>
          <w:sz w:val="24"/>
          <w:szCs w:val="24"/>
        </w:rPr>
        <w:t xml:space="preserve">11.3 Δράσεις Γραφείου ΟΕΥ Ντουμπάϊ (2025)  </w:t>
      </w:r>
    </w:p>
    <w:p w14:paraId="63883538" w14:textId="6A2FC7A1" w:rsidR="006F4630" w:rsidRDefault="006F4630" w:rsidP="00EB5577">
      <w:pPr>
        <w:jc w:val="both"/>
        <w:rPr>
          <w:rFonts w:ascii="Arial Narrow" w:hAnsi="Arial Narrow" w:cs="Times New Roman"/>
          <w:sz w:val="24"/>
          <w:szCs w:val="24"/>
        </w:rPr>
      </w:pPr>
      <w:r>
        <w:rPr>
          <w:rFonts w:ascii="Arial Narrow" w:hAnsi="Arial Narrow" w:cs="Times New Roman"/>
          <w:sz w:val="24"/>
          <w:szCs w:val="24"/>
        </w:rPr>
        <w:t xml:space="preserve">Οι δράσεις του Γραφείου ΟΕΥ Ντουμπάϊ για το 2025 επικεντρώθηκαν κυρίως στην υποστήριξη ελληνικών επιχειρήσεων που επιθυμούν να δραστηριοποιηθούν στην αγορά των Ηνωμένων Αραβικών Εμιράτων. Συγκεκριμένα παρασχέθηκαν εμπορικές και επιχειρηματικές πληροφορίες, δώθηκαν επίσης αναλυτικές πληροφορίες για στοιχεία της εμιρατινής αγοράς, ενώ ιδιαίτερη ενημέρωση έγινε και για το ισχύον κανονιστικό πλαίσιο, τις τελωνειακές διαδικασίε, τις επιχειρηματικές ευκαιρίες και επαφές με τοπικούς συεργάτες. </w:t>
      </w:r>
    </w:p>
    <w:p w14:paraId="460A6971" w14:textId="75997661" w:rsidR="006F4630" w:rsidRDefault="006F4630" w:rsidP="00EB5577">
      <w:pPr>
        <w:jc w:val="both"/>
        <w:rPr>
          <w:rFonts w:ascii="Arial Narrow" w:hAnsi="Arial Narrow" w:cs="Times New Roman"/>
          <w:sz w:val="24"/>
          <w:szCs w:val="24"/>
        </w:rPr>
      </w:pPr>
      <w:r>
        <w:rPr>
          <w:rFonts w:ascii="Arial Narrow" w:hAnsi="Arial Narrow" w:cs="Times New Roman"/>
          <w:sz w:val="24"/>
          <w:szCs w:val="24"/>
        </w:rPr>
        <w:t xml:space="preserve">Συγχρόνως και με αποκλειστικό στόχο την προώθηση των επιχειρηματικών επαφών πραγματοποιήθηκαν συναντήσεις με τοπικούς επιχειρηματικούς φορείς, </w:t>
      </w:r>
      <w:r w:rsidR="00BC3EBD">
        <w:rPr>
          <w:rFonts w:ascii="Arial Narrow" w:hAnsi="Arial Narrow" w:cs="Times New Roman"/>
          <w:sz w:val="24"/>
          <w:szCs w:val="24"/>
          <w:lang w:val="en-US"/>
        </w:rPr>
        <w:t>networking</w:t>
      </w:r>
      <w:r w:rsidR="00BC3EBD" w:rsidRPr="00BC3EBD">
        <w:rPr>
          <w:rFonts w:ascii="Arial Narrow" w:hAnsi="Arial Narrow" w:cs="Times New Roman"/>
          <w:sz w:val="24"/>
          <w:szCs w:val="24"/>
        </w:rPr>
        <w:t xml:space="preserve"> </w:t>
      </w:r>
      <w:r w:rsidR="00BC3EBD">
        <w:rPr>
          <w:rFonts w:ascii="Arial Narrow" w:hAnsi="Arial Narrow" w:cs="Times New Roman"/>
          <w:sz w:val="24"/>
          <w:szCs w:val="24"/>
          <w:lang w:val="en-US"/>
        </w:rPr>
        <w:t>events</w:t>
      </w:r>
      <w:r w:rsidR="00BC3EBD" w:rsidRPr="00BC3EBD">
        <w:rPr>
          <w:rFonts w:ascii="Arial Narrow" w:hAnsi="Arial Narrow" w:cs="Times New Roman"/>
          <w:sz w:val="24"/>
          <w:szCs w:val="24"/>
        </w:rPr>
        <w:t xml:space="preserve">, </w:t>
      </w:r>
      <w:r w:rsidR="00BC3EBD">
        <w:rPr>
          <w:rFonts w:ascii="Arial Narrow" w:hAnsi="Arial Narrow" w:cs="Times New Roman"/>
          <w:sz w:val="24"/>
          <w:szCs w:val="24"/>
        </w:rPr>
        <w:t>παρουσιάσεις ελληνικών κλάδων και διασύνδεση ελληνικών και αλλοδαπών επιχειρήσεων</w:t>
      </w:r>
    </w:p>
    <w:p w14:paraId="1B5F4FFE" w14:textId="3B9A6725" w:rsidR="00BC3EBD" w:rsidRDefault="00BC3EBD" w:rsidP="00EB5577">
      <w:pPr>
        <w:jc w:val="both"/>
        <w:rPr>
          <w:rFonts w:ascii="Arial Narrow" w:hAnsi="Arial Narrow" w:cs="Times New Roman"/>
          <w:b/>
          <w:color w:val="4F81BD" w:themeColor="accent1"/>
          <w:sz w:val="24"/>
          <w:szCs w:val="24"/>
        </w:rPr>
      </w:pPr>
      <w:r w:rsidRPr="005E7ADA">
        <w:rPr>
          <w:rFonts w:ascii="Arial Narrow" w:hAnsi="Arial Narrow" w:cs="Times New Roman"/>
          <w:b/>
          <w:color w:val="4F81BD" w:themeColor="accent1"/>
          <w:sz w:val="24"/>
          <w:szCs w:val="24"/>
        </w:rPr>
        <w:t xml:space="preserve">11.4. Ψηφιακή Οικονομική Διπλωματία </w:t>
      </w:r>
    </w:p>
    <w:p w14:paraId="2D73CFE8" w14:textId="42B5EFAC" w:rsidR="005E7ADA" w:rsidRDefault="005E7ADA" w:rsidP="00EB5577">
      <w:pPr>
        <w:jc w:val="both"/>
        <w:rPr>
          <w:rFonts w:ascii="Arial Narrow" w:hAnsi="Arial Narrow" w:cs="Times New Roman"/>
          <w:sz w:val="24"/>
          <w:szCs w:val="24"/>
        </w:rPr>
      </w:pPr>
      <w:r>
        <w:rPr>
          <w:rFonts w:ascii="Arial Narrow" w:hAnsi="Arial Narrow" w:cs="Times New Roman"/>
          <w:sz w:val="24"/>
          <w:szCs w:val="24"/>
        </w:rPr>
        <w:t>Κατά το 2025 ιδιαίτερη έμφαση δόθηκε στη ψηφιακή παρουσία της Ελλάδος, στην αξιοποίηση ψηφιακών εργαλείων, στη δημιουργία ηλεκτρονικών δικτύων επιχειρηματικής συνεργασίας</w:t>
      </w:r>
      <w:r w:rsidR="00E22ADA">
        <w:rPr>
          <w:rFonts w:ascii="Arial Narrow" w:hAnsi="Arial Narrow" w:cs="Times New Roman"/>
          <w:sz w:val="24"/>
          <w:szCs w:val="24"/>
        </w:rPr>
        <w:t>, με συντονισμένες δράσεις όπως</w:t>
      </w:r>
      <w:r w:rsidR="00E104FB" w:rsidRPr="00E104FB">
        <w:rPr>
          <w:rFonts w:ascii="Arial Narrow" w:hAnsi="Arial Narrow" w:cs="Times New Roman"/>
          <w:sz w:val="24"/>
          <w:szCs w:val="24"/>
        </w:rPr>
        <w:t xml:space="preserve"> </w:t>
      </w:r>
      <w:r w:rsidR="00E104FB">
        <w:rPr>
          <w:rFonts w:ascii="Arial Narrow" w:hAnsi="Arial Narrow" w:cs="Times New Roman"/>
          <w:sz w:val="24"/>
          <w:szCs w:val="24"/>
        </w:rPr>
        <w:t>διαδι</w:t>
      </w:r>
      <w:r w:rsidR="00CA03BB">
        <w:rPr>
          <w:rFonts w:ascii="Arial Narrow" w:hAnsi="Arial Narrow" w:cs="Times New Roman"/>
          <w:sz w:val="24"/>
          <w:szCs w:val="24"/>
        </w:rPr>
        <w:t>κτυακά σεμινάρια (</w:t>
      </w:r>
      <w:r w:rsidR="00CA03BB">
        <w:rPr>
          <w:rFonts w:ascii="Arial Narrow" w:hAnsi="Arial Narrow" w:cs="Times New Roman"/>
          <w:sz w:val="24"/>
          <w:szCs w:val="24"/>
          <w:lang w:val="en-US"/>
        </w:rPr>
        <w:t>webinars</w:t>
      </w:r>
      <w:r w:rsidR="00CA03BB" w:rsidRPr="00CA03BB">
        <w:rPr>
          <w:rFonts w:ascii="Arial Narrow" w:hAnsi="Arial Narrow" w:cs="Times New Roman"/>
          <w:sz w:val="24"/>
          <w:szCs w:val="24"/>
        </w:rPr>
        <w:t xml:space="preserve">, </w:t>
      </w:r>
      <w:r w:rsidR="00CA03BB">
        <w:rPr>
          <w:rFonts w:ascii="Arial Narrow" w:hAnsi="Arial Narrow" w:cs="Times New Roman"/>
          <w:sz w:val="24"/>
          <w:szCs w:val="24"/>
        </w:rPr>
        <w:t xml:space="preserve">ψηυφιακές επιχειρηματικές αποστολές, </w:t>
      </w:r>
      <w:r w:rsidR="00CA03BB">
        <w:rPr>
          <w:rFonts w:ascii="Arial Narrow" w:hAnsi="Arial Narrow" w:cs="Times New Roman"/>
          <w:sz w:val="24"/>
          <w:szCs w:val="24"/>
          <w:lang w:val="en-US"/>
        </w:rPr>
        <w:t>online</w:t>
      </w:r>
      <w:r w:rsidR="00CA03BB" w:rsidRPr="00CA03BB">
        <w:rPr>
          <w:rFonts w:ascii="Arial Narrow" w:hAnsi="Arial Narrow" w:cs="Times New Roman"/>
          <w:sz w:val="24"/>
          <w:szCs w:val="24"/>
        </w:rPr>
        <w:t xml:space="preserve"> </w:t>
      </w:r>
      <w:r w:rsidR="00AC1576">
        <w:rPr>
          <w:rFonts w:ascii="Arial Narrow" w:hAnsi="Arial Narrow" w:cs="Times New Roman"/>
          <w:sz w:val="24"/>
          <w:szCs w:val="24"/>
        </w:rPr>
        <w:t>παρουσιάσεις αγορών και ενημερωτικά δελτία.</w:t>
      </w:r>
    </w:p>
    <w:p w14:paraId="58B86C94" w14:textId="44E36E8D" w:rsidR="00AC1576" w:rsidRDefault="00AC1576" w:rsidP="00EB5577">
      <w:pPr>
        <w:jc w:val="both"/>
        <w:rPr>
          <w:rFonts w:ascii="Arial Narrow" w:hAnsi="Arial Narrow" w:cs="Times New Roman"/>
          <w:b/>
          <w:color w:val="4F81BD" w:themeColor="accent1"/>
          <w:sz w:val="24"/>
          <w:szCs w:val="24"/>
        </w:rPr>
      </w:pPr>
      <w:r w:rsidRPr="00AC1576">
        <w:rPr>
          <w:rFonts w:ascii="Arial Narrow" w:hAnsi="Arial Narrow" w:cs="Times New Roman"/>
          <w:b/>
          <w:color w:val="4F81BD" w:themeColor="accent1"/>
          <w:sz w:val="24"/>
          <w:szCs w:val="24"/>
        </w:rPr>
        <w:t xml:space="preserve">11.5. Τουριστική Διπλωματία </w:t>
      </w:r>
    </w:p>
    <w:p w14:paraId="6414F46E" w14:textId="1786913A" w:rsidR="00AC1576" w:rsidRDefault="00AC1576" w:rsidP="00EB5577">
      <w:pPr>
        <w:jc w:val="both"/>
        <w:rPr>
          <w:rFonts w:ascii="Arial Narrow" w:hAnsi="Arial Narrow" w:cs="Times New Roman"/>
          <w:sz w:val="24"/>
          <w:szCs w:val="24"/>
        </w:rPr>
      </w:pPr>
      <w:r>
        <w:rPr>
          <w:rFonts w:ascii="Arial Narrow" w:hAnsi="Arial Narrow" w:cs="Times New Roman"/>
          <w:sz w:val="24"/>
          <w:szCs w:val="24"/>
        </w:rPr>
        <w:t xml:space="preserve">Στην τουριστική διπλωματία οι βασικές κατευθύνσεις εστιάζουν στην προσέλκυση επισκεπτών υψηλής αγοραστικής δύναμης, προώθηση διαφόρων κατηγοριών τουρισμού, όπως </w:t>
      </w:r>
      <w:r w:rsidR="00344DD7">
        <w:rPr>
          <w:rFonts w:ascii="Arial Narrow" w:hAnsi="Arial Narrow" w:cs="Times New Roman"/>
          <w:sz w:val="24"/>
          <w:szCs w:val="24"/>
          <w:lang w:val="en-US"/>
        </w:rPr>
        <w:t>luxury</w:t>
      </w:r>
      <w:r w:rsidR="00344DD7" w:rsidRPr="00344DD7">
        <w:rPr>
          <w:rFonts w:ascii="Arial Narrow" w:hAnsi="Arial Narrow" w:cs="Times New Roman"/>
          <w:sz w:val="24"/>
          <w:szCs w:val="24"/>
        </w:rPr>
        <w:t xml:space="preserve"> </w:t>
      </w:r>
      <w:r w:rsidR="00344DD7">
        <w:rPr>
          <w:rFonts w:ascii="Arial Narrow" w:hAnsi="Arial Narrow" w:cs="Times New Roman"/>
          <w:sz w:val="24"/>
          <w:szCs w:val="24"/>
          <w:lang w:val="en-US"/>
        </w:rPr>
        <w:t>tourism</w:t>
      </w:r>
      <w:r w:rsidR="00344DD7" w:rsidRPr="00344DD7">
        <w:rPr>
          <w:rFonts w:ascii="Arial Narrow" w:hAnsi="Arial Narrow" w:cs="Times New Roman"/>
          <w:sz w:val="24"/>
          <w:szCs w:val="24"/>
        </w:rPr>
        <w:t xml:space="preserve">, </w:t>
      </w:r>
      <w:r w:rsidR="00344DD7">
        <w:rPr>
          <w:rFonts w:ascii="Arial Narrow" w:hAnsi="Arial Narrow" w:cs="Times New Roman"/>
          <w:sz w:val="24"/>
          <w:szCs w:val="24"/>
          <w:lang w:val="en-US"/>
        </w:rPr>
        <w:t>island</w:t>
      </w:r>
      <w:r w:rsidR="00344DD7" w:rsidRPr="00344DD7">
        <w:rPr>
          <w:rFonts w:ascii="Arial Narrow" w:hAnsi="Arial Narrow" w:cs="Times New Roman"/>
          <w:sz w:val="24"/>
          <w:szCs w:val="24"/>
        </w:rPr>
        <w:t xml:space="preserve"> </w:t>
      </w:r>
      <w:r w:rsidR="00344DD7">
        <w:rPr>
          <w:rFonts w:ascii="Arial Narrow" w:hAnsi="Arial Narrow" w:cs="Times New Roman"/>
          <w:sz w:val="24"/>
          <w:szCs w:val="24"/>
          <w:lang w:val="en-US"/>
        </w:rPr>
        <w:t>tourism</w:t>
      </w:r>
      <w:r w:rsidR="00344DD7" w:rsidRPr="00344DD7">
        <w:rPr>
          <w:rFonts w:ascii="Arial Narrow" w:hAnsi="Arial Narrow" w:cs="Times New Roman"/>
          <w:sz w:val="24"/>
          <w:szCs w:val="24"/>
        </w:rPr>
        <w:t xml:space="preserve">, </w:t>
      </w:r>
      <w:r w:rsidR="00344DD7">
        <w:rPr>
          <w:rFonts w:ascii="Arial Narrow" w:hAnsi="Arial Narrow" w:cs="Times New Roman"/>
          <w:sz w:val="24"/>
          <w:szCs w:val="24"/>
          <w:lang w:val="en-US"/>
        </w:rPr>
        <w:t>wellness</w:t>
      </w:r>
      <w:r w:rsidR="00344DD7" w:rsidRPr="00344DD7">
        <w:rPr>
          <w:rFonts w:ascii="Arial Narrow" w:hAnsi="Arial Narrow" w:cs="Times New Roman"/>
          <w:sz w:val="24"/>
          <w:szCs w:val="24"/>
        </w:rPr>
        <w:t xml:space="preserve"> </w:t>
      </w:r>
      <w:r w:rsidR="00344DD7">
        <w:rPr>
          <w:rFonts w:ascii="Arial Narrow" w:hAnsi="Arial Narrow" w:cs="Times New Roman"/>
          <w:sz w:val="24"/>
          <w:szCs w:val="24"/>
          <w:lang w:val="en-US"/>
        </w:rPr>
        <w:t>tourism</w:t>
      </w:r>
      <w:r w:rsidR="00344DD7" w:rsidRPr="00344DD7">
        <w:rPr>
          <w:rFonts w:ascii="Arial Narrow" w:hAnsi="Arial Narrow" w:cs="Times New Roman"/>
          <w:sz w:val="24"/>
          <w:szCs w:val="24"/>
        </w:rPr>
        <w:t xml:space="preserve"> &amp; </w:t>
      </w:r>
      <w:r w:rsidR="00344DD7">
        <w:rPr>
          <w:rFonts w:ascii="Arial Narrow" w:hAnsi="Arial Narrow" w:cs="Times New Roman"/>
          <w:sz w:val="24"/>
          <w:szCs w:val="24"/>
        </w:rPr>
        <w:t>γαστρονομικό τουρισμό. Ιδιαίτερη βαρύτητα δίνεται στοις Χώρες του Κόλπου, στα ΗΑΕ, στην Σαουδική Αραβία και το Κατάρ.</w:t>
      </w:r>
    </w:p>
    <w:p w14:paraId="207E234E" w14:textId="27244527" w:rsidR="00344DD7" w:rsidRDefault="00344DD7" w:rsidP="00EB5577">
      <w:pPr>
        <w:jc w:val="both"/>
        <w:rPr>
          <w:rFonts w:ascii="Arial Narrow" w:hAnsi="Arial Narrow" w:cs="Times New Roman"/>
          <w:b/>
          <w:color w:val="4F81BD" w:themeColor="accent1"/>
          <w:sz w:val="24"/>
          <w:szCs w:val="24"/>
        </w:rPr>
      </w:pPr>
      <w:r w:rsidRPr="00344DD7">
        <w:rPr>
          <w:rFonts w:ascii="Arial Narrow" w:hAnsi="Arial Narrow" w:cs="Times New Roman"/>
          <w:b/>
          <w:color w:val="4F81BD" w:themeColor="accent1"/>
          <w:sz w:val="24"/>
          <w:szCs w:val="24"/>
        </w:rPr>
        <w:t xml:space="preserve">11.6. Πολυμερής Οικονομική Διπλωματία </w:t>
      </w:r>
    </w:p>
    <w:p w14:paraId="357DB24D" w14:textId="2CCDC7C1" w:rsidR="00344DD7" w:rsidRDefault="00344DD7" w:rsidP="00EB5577">
      <w:pPr>
        <w:jc w:val="both"/>
        <w:rPr>
          <w:rFonts w:ascii="Arial Narrow" w:hAnsi="Arial Narrow" w:cs="Times New Roman"/>
          <w:sz w:val="24"/>
          <w:szCs w:val="24"/>
        </w:rPr>
      </w:pPr>
      <w:r>
        <w:rPr>
          <w:rFonts w:ascii="Arial Narrow" w:hAnsi="Arial Narrow" w:cs="Times New Roman"/>
          <w:sz w:val="24"/>
          <w:szCs w:val="24"/>
        </w:rPr>
        <w:t xml:space="preserve">Οι δραστηριότητες της πολυμερούς οικονομικής διπλωματίας εστιάζουν σε συμμετοχή σε διάφορους διεθνείς οικονομικούς και εμπορικούς Οργανισμούς, όπως ΟΟΣΑ, ΠΟΕ, Ευρωπαϊκούς Θεσμούς και περιφερειακές οικονομικές πρωτοβουλίε. Ως κύριοι στόχοι άσκησης της πολυμερούς οικονομικής διπλωματίας είναι, μεταξύ των άλλων, η ενίσχυση της διεθνους οικονομικής παρουσίας της Ελλάδας, η προώθηση των ελληνικών συμφερόντων </w:t>
      </w:r>
      <w:r w:rsidR="004D7D66">
        <w:rPr>
          <w:rFonts w:ascii="Arial Narrow" w:hAnsi="Arial Narrow" w:cs="Times New Roman"/>
          <w:sz w:val="24"/>
          <w:szCs w:val="24"/>
        </w:rPr>
        <w:t>και η δημιουργία νέων συνεργειών.</w:t>
      </w:r>
    </w:p>
    <w:p w14:paraId="6D74FFB7" w14:textId="54EA4F9A" w:rsidR="004D7D66" w:rsidRDefault="004D7D66" w:rsidP="00EB5577">
      <w:pPr>
        <w:jc w:val="both"/>
        <w:rPr>
          <w:rFonts w:ascii="Arial Narrow" w:hAnsi="Arial Narrow" w:cs="Times New Roman"/>
          <w:b/>
          <w:color w:val="4F81BD" w:themeColor="accent1"/>
          <w:sz w:val="24"/>
          <w:szCs w:val="24"/>
        </w:rPr>
      </w:pPr>
      <w:r w:rsidRPr="004D7D66">
        <w:rPr>
          <w:rFonts w:ascii="Arial Narrow" w:hAnsi="Arial Narrow" w:cs="Times New Roman"/>
          <w:b/>
          <w:color w:val="4F81BD" w:themeColor="accent1"/>
          <w:sz w:val="24"/>
          <w:szCs w:val="24"/>
        </w:rPr>
        <w:t>11.7. Συμπεράσματα – Προτεραιότητες για το 2026</w:t>
      </w:r>
    </w:p>
    <w:p w14:paraId="3BFCB025" w14:textId="168E8E16" w:rsidR="004D7D66" w:rsidRDefault="007F62B0" w:rsidP="00EB5577">
      <w:pPr>
        <w:jc w:val="both"/>
        <w:rPr>
          <w:rFonts w:ascii="Arial Narrow" w:hAnsi="Arial Narrow" w:cs="Times New Roman"/>
          <w:sz w:val="24"/>
          <w:szCs w:val="24"/>
        </w:rPr>
      </w:pPr>
      <w:r>
        <w:rPr>
          <w:rFonts w:ascii="Arial Narrow" w:hAnsi="Arial Narrow" w:cs="Times New Roman"/>
          <w:sz w:val="24"/>
          <w:szCs w:val="24"/>
        </w:rPr>
        <w:t>Το Γραφείο ΟΕΥ Ντουμπάϊ</w:t>
      </w:r>
      <w:r w:rsidR="00003173">
        <w:rPr>
          <w:rFonts w:ascii="Arial Narrow" w:hAnsi="Arial Narrow" w:cs="Times New Roman"/>
          <w:sz w:val="24"/>
          <w:szCs w:val="24"/>
        </w:rPr>
        <w:t xml:space="preserve"> επιβεβαίωσε  και για το 2025 το ρόλο του ως βασικό εργαλείο σε σημαντικά θέματα οικονομικής ανάπτυξης, διεθνούς προβολής της χώρας μας, ειδικώτερα στα Ηνωμένα Αραβικά Εμιράτα καθώς και στήριξης της ελληνικής επιχειρηματικότητας και των ελληνικών εξαγωγικών επιχειρήσεων που δραστηριοποιούνται ήδη στην αγορά των ΗΑΕ, είτε επιθυμούν να ξεκινήσουν συνεργασίες με αντίστοιχες εμιρατινές επιχειρήσεις.</w:t>
      </w:r>
    </w:p>
    <w:p w14:paraId="75EDA19A" w14:textId="5014D55B" w:rsidR="00003173" w:rsidRPr="00003173" w:rsidRDefault="00003173" w:rsidP="00EB5577">
      <w:pPr>
        <w:jc w:val="both"/>
        <w:rPr>
          <w:rFonts w:ascii="Arial Narrow" w:hAnsi="Arial Narrow" w:cs="Times New Roman"/>
          <w:b/>
          <w:sz w:val="24"/>
          <w:szCs w:val="24"/>
        </w:rPr>
      </w:pPr>
      <w:r w:rsidRPr="00003173">
        <w:rPr>
          <w:rFonts w:ascii="Arial Narrow" w:hAnsi="Arial Narrow" w:cs="Times New Roman"/>
          <w:b/>
          <w:sz w:val="24"/>
          <w:szCs w:val="24"/>
        </w:rPr>
        <w:t xml:space="preserve">Για το 2026 ως βασικές προτεραιότητες θεωρούνται η </w:t>
      </w:r>
      <w:r>
        <w:rPr>
          <w:rFonts w:ascii="Arial Narrow" w:hAnsi="Arial Narrow" w:cs="Times New Roman"/>
          <w:b/>
          <w:sz w:val="24"/>
          <w:szCs w:val="24"/>
        </w:rPr>
        <w:t>περαιτέρω αύξηση των ελληνικών εξαγωγών, η προσέλκυση επενδύσεων υψηλής τεχνολογίας, η ενίσχυση και εμβάθυνση των σχέσεων της Ελλάδας με Χώρες του Κόλπου, η ανάπτυξη πράσινης και ψηφιακής οικονομίας και η δημιουργία διεθνών επιχειρηματικών δικτύων.</w:t>
      </w:r>
    </w:p>
    <w:p w14:paraId="27497F90" w14:textId="77777777" w:rsidR="004D7D66" w:rsidRPr="00003173" w:rsidRDefault="004D7D66" w:rsidP="00EB5577">
      <w:pPr>
        <w:jc w:val="both"/>
        <w:rPr>
          <w:rFonts w:ascii="Arial Narrow" w:hAnsi="Arial Narrow" w:cs="Times New Roman"/>
          <w:b/>
          <w:sz w:val="24"/>
          <w:szCs w:val="24"/>
        </w:rPr>
      </w:pPr>
    </w:p>
    <w:p w14:paraId="27F2E0D9" w14:textId="77777777" w:rsidR="00C808C9" w:rsidRPr="00AB32B6" w:rsidRDefault="00C808C9" w:rsidP="00585C71">
      <w:pPr>
        <w:ind w:left="-567" w:firstLine="851"/>
        <w:rPr>
          <w:rFonts w:ascii="Times New Roman" w:hAnsi="Times New Roman" w:cs="Times New Roman"/>
        </w:rPr>
      </w:pPr>
      <w:r w:rsidRPr="00AB32B6">
        <w:rPr>
          <w:rFonts w:ascii="Times New Roman" w:hAnsi="Times New Roman" w:cs="Times New Roman"/>
        </w:rPr>
        <w:br w:type="page"/>
      </w:r>
    </w:p>
    <w:p w14:paraId="2BA89CCE" w14:textId="1E85EB46" w:rsidR="0050399C" w:rsidRPr="00C63FDE" w:rsidRDefault="002320F0" w:rsidP="002320F0">
      <w:pPr>
        <w:pStyle w:val="Heading1"/>
        <w:numPr>
          <w:ilvl w:val="0"/>
          <w:numId w:val="0"/>
        </w:numPr>
        <w:ind w:left="432" w:hanging="432"/>
      </w:pPr>
      <w:bookmarkStart w:id="49" w:name="_Toc200448544"/>
      <w:r>
        <w:rPr>
          <w:lang w:val="en-US"/>
        </w:rPr>
        <w:t xml:space="preserve">B. </w:t>
      </w:r>
      <w:r w:rsidR="0050399C" w:rsidRPr="00C63FDE">
        <w:t>Π</w:t>
      </w:r>
      <w:r w:rsidR="00275B05" w:rsidRPr="00C63FDE">
        <w:t>ΑΡΑΡΤΗΜΑ</w:t>
      </w:r>
      <w:bookmarkEnd w:id="49"/>
    </w:p>
    <w:p w14:paraId="47E3391B" w14:textId="55230F71" w:rsidR="004E6FC1" w:rsidRPr="00C63FDE" w:rsidRDefault="00082DFA" w:rsidP="00C63FDE">
      <w:pPr>
        <w:pStyle w:val="Heading2"/>
        <w:numPr>
          <w:ilvl w:val="0"/>
          <w:numId w:val="0"/>
        </w:numPr>
        <w:ind w:left="576"/>
      </w:pPr>
      <w:bookmarkStart w:id="50" w:name="_Toc200448545"/>
      <w:r w:rsidRPr="00C63FDE">
        <w:t xml:space="preserve">Χρήσιμες </w:t>
      </w:r>
      <w:r w:rsidR="00677E3B" w:rsidRPr="00C63FDE">
        <w:t>Δ</w:t>
      </w:r>
      <w:r w:rsidRPr="00C63FDE">
        <w:t>ιευθύνσεις</w:t>
      </w:r>
      <w:bookmarkEnd w:id="50"/>
    </w:p>
    <w:tbl>
      <w:tblPr>
        <w:tblW w:w="94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3"/>
      </w:tblGrid>
      <w:tr w:rsidR="004E6FC1" w:rsidRPr="00E25121" w14:paraId="2B05EC83" w14:textId="77777777" w:rsidTr="004E6FC1">
        <w:trPr>
          <w:trHeight w:hRule="exact" w:val="582"/>
        </w:trPr>
        <w:tc>
          <w:tcPr>
            <w:tcW w:w="9433" w:type="dxa"/>
            <w:shd w:val="pct15" w:color="auto" w:fill="FFFFFF"/>
            <w:vAlign w:val="center"/>
          </w:tcPr>
          <w:p w14:paraId="731295B3" w14:textId="65D06FAD" w:rsidR="004E6FC1" w:rsidRPr="00B86CFF" w:rsidRDefault="004E6FC1" w:rsidP="00B86CFF">
            <w:pPr>
              <w:rPr>
                <w:rFonts w:asciiTheme="majorHAnsi" w:hAnsiTheme="majorHAnsi"/>
                <w:b/>
                <w:sz w:val="26"/>
                <w:szCs w:val="26"/>
              </w:rPr>
            </w:pPr>
            <w:r w:rsidRPr="00E25121">
              <w:br w:type="page"/>
            </w:r>
            <w:r w:rsidRPr="00E25121">
              <w:br w:type="page"/>
            </w:r>
            <w:bookmarkStart w:id="51" w:name="_Toc136423633"/>
            <w:r w:rsidR="00B86CFF" w:rsidRPr="00B86CFF">
              <w:rPr>
                <w:rFonts w:asciiTheme="majorHAnsi" w:hAnsiTheme="majorHAnsi"/>
                <w:b/>
                <w:color w:val="548DD4" w:themeColor="text2" w:themeTint="99"/>
                <w:sz w:val="26"/>
                <w:szCs w:val="26"/>
              </w:rPr>
              <w:t xml:space="preserve">5.1 </w:t>
            </w:r>
            <w:r w:rsidRPr="00B86CFF">
              <w:rPr>
                <w:rFonts w:asciiTheme="majorHAnsi" w:hAnsiTheme="majorHAnsi"/>
                <w:b/>
                <w:color w:val="548DD4" w:themeColor="text2" w:themeTint="99"/>
                <w:sz w:val="26"/>
                <w:szCs w:val="26"/>
              </w:rPr>
              <w:t>Ελληνικές Αρχές στα ΗΑΕ</w:t>
            </w:r>
            <w:bookmarkEnd w:id="51"/>
          </w:p>
        </w:tc>
      </w:tr>
    </w:tbl>
    <w:p w14:paraId="1D4F3A6E" w14:textId="363677BF" w:rsidR="004E6FC1" w:rsidRPr="002F18FE" w:rsidRDefault="004E6FC1" w:rsidP="004E6FC1">
      <w:pPr>
        <w:spacing w:after="0"/>
        <w:jc w:val="both"/>
        <w:rPr>
          <w:rFonts w:ascii="Times New Roman" w:hAnsi="Times New Roman" w:cs="Times New Roman"/>
        </w:rPr>
      </w:pPr>
      <w:r w:rsidRPr="002F18FE">
        <w:rPr>
          <w:rFonts w:ascii="Times New Roman" w:hAnsi="Times New Roman" w:cs="Times New Roman"/>
        </w:rPr>
        <w:t xml:space="preserve">Πρεσβεία </w:t>
      </w:r>
      <w:r w:rsidR="00524A5B">
        <w:rPr>
          <w:rFonts w:ascii="Times New Roman" w:hAnsi="Times New Roman" w:cs="Times New Roman"/>
        </w:rPr>
        <w:t>Abu Dhabi</w:t>
      </w:r>
      <w:r w:rsidRPr="002F18FE">
        <w:rPr>
          <w:rFonts w:ascii="Times New Roman" w:hAnsi="Times New Roman" w:cs="Times New Roman"/>
        </w:rPr>
        <w:tab/>
      </w:r>
      <w:r w:rsidRPr="002F18FE">
        <w:rPr>
          <w:rFonts w:ascii="Times New Roman" w:hAnsi="Times New Roman" w:cs="Times New Roman"/>
        </w:rPr>
        <w:tab/>
        <w:t>Τηλ: +971-2-4492550</w:t>
      </w:r>
      <w:r w:rsidRPr="002F18FE">
        <w:rPr>
          <w:rFonts w:ascii="Times New Roman" w:hAnsi="Times New Roman" w:cs="Times New Roman"/>
        </w:rPr>
        <w:tab/>
        <w:t xml:space="preserve">                        </w:t>
      </w:r>
      <w:hyperlink r:id="rId72" w:history="1">
        <w:r w:rsidRPr="002F18FE">
          <w:rPr>
            <w:rStyle w:val="Hyperlink"/>
            <w:rFonts w:ascii="Times New Roman" w:hAnsi="Times New Roman" w:cs="Times New Roman"/>
          </w:rPr>
          <w:t>gremb.abd@mfa.gr</w:t>
        </w:r>
      </w:hyperlink>
    </w:p>
    <w:p w14:paraId="03814377" w14:textId="5B924E19" w:rsidR="004E6FC1" w:rsidRPr="00D074C6" w:rsidRDefault="004E6FC1" w:rsidP="004E6FC1">
      <w:pPr>
        <w:spacing w:after="0"/>
        <w:jc w:val="both"/>
        <w:rPr>
          <w:rFonts w:ascii="Century Gothic" w:hAnsi="Century Gothic"/>
          <w:sz w:val="24"/>
          <w:szCs w:val="24"/>
        </w:rPr>
      </w:pPr>
      <w:r w:rsidRPr="002F18FE">
        <w:rPr>
          <w:rFonts w:ascii="Times New Roman" w:hAnsi="Times New Roman" w:cs="Times New Roman"/>
        </w:rPr>
        <w:t xml:space="preserve">Γραφείο ΟΕΥ </w:t>
      </w:r>
      <w:r w:rsidR="00C14ED1">
        <w:rPr>
          <w:rFonts w:ascii="Times New Roman" w:hAnsi="Times New Roman" w:cs="Times New Roman"/>
        </w:rPr>
        <w:t>Dubai</w:t>
      </w:r>
      <w:r w:rsidRPr="002F18FE">
        <w:rPr>
          <w:rFonts w:ascii="Times New Roman" w:hAnsi="Times New Roman" w:cs="Times New Roman"/>
        </w:rPr>
        <w:tab/>
      </w:r>
      <w:r w:rsidRPr="002F18FE">
        <w:rPr>
          <w:rFonts w:ascii="Times New Roman" w:hAnsi="Times New Roman" w:cs="Times New Roman"/>
        </w:rPr>
        <w:tab/>
        <w:t>Τηλ: +971-4-2272106</w:t>
      </w:r>
      <w:r w:rsidRPr="002F18FE">
        <w:rPr>
          <w:rFonts w:ascii="Times New Roman" w:hAnsi="Times New Roman" w:cs="Times New Roman"/>
        </w:rPr>
        <w:tab/>
      </w:r>
      <w:r w:rsidRPr="002F18FE">
        <w:rPr>
          <w:rFonts w:ascii="Times New Roman" w:hAnsi="Times New Roman" w:cs="Times New Roman"/>
        </w:rPr>
        <w:tab/>
        <w:t xml:space="preserve">      </w:t>
      </w:r>
      <w:hyperlink r:id="rId73" w:history="1">
        <w:r w:rsidRPr="002F18FE">
          <w:rPr>
            <w:rStyle w:val="Hyperlink"/>
            <w:rFonts w:ascii="Times New Roman" w:hAnsi="Times New Roman" w:cs="Times New Roman"/>
          </w:rPr>
          <w:t>ecocom-dubai@mfa.gr</w:t>
        </w:r>
      </w:hyperlink>
    </w:p>
    <w:p w14:paraId="1105D3DF" w14:textId="77777777" w:rsidR="004E6FC1" w:rsidRPr="00E25121" w:rsidRDefault="004E6FC1" w:rsidP="004E6FC1">
      <w:pPr>
        <w:spacing w:after="0"/>
        <w:jc w:val="both"/>
        <w:rPr>
          <w:rFonts w:ascii="Century Gothic" w:hAnsi="Century Gothic"/>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2"/>
        <w:gridCol w:w="4788"/>
      </w:tblGrid>
      <w:tr w:rsidR="004E6FC1" w:rsidRPr="00495778" w14:paraId="6B2F7843" w14:textId="77777777" w:rsidTr="004E6FC1">
        <w:trPr>
          <w:trHeight w:hRule="exact" w:val="600"/>
        </w:trPr>
        <w:tc>
          <w:tcPr>
            <w:tcW w:w="9540" w:type="dxa"/>
            <w:gridSpan w:val="2"/>
            <w:shd w:val="pct15" w:color="auto" w:fill="FFFFFF"/>
            <w:vAlign w:val="center"/>
          </w:tcPr>
          <w:p w14:paraId="279DC8DC" w14:textId="7A1A1095" w:rsidR="004E6FC1" w:rsidRPr="00387380" w:rsidRDefault="004E6FC1" w:rsidP="00B86CFF">
            <w:r w:rsidRPr="00495778">
              <w:br w:type="page"/>
            </w:r>
            <w:r w:rsidRPr="00495778">
              <w:br w:type="page"/>
            </w:r>
            <w:bookmarkStart w:id="52" w:name="_Toc136423634"/>
            <w:r w:rsidR="00B86CFF" w:rsidRPr="00B86CFF">
              <w:rPr>
                <w:rFonts w:asciiTheme="majorHAnsi" w:hAnsiTheme="majorHAnsi"/>
                <w:b/>
                <w:color w:val="548DD4" w:themeColor="text2" w:themeTint="99"/>
                <w:sz w:val="26"/>
                <w:szCs w:val="26"/>
              </w:rPr>
              <w:t>5.2</w:t>
            </w:r>
            <w:r w:rsidR="00B86CFF">
              <w:t xml:space="preserve"> </w:t>
            </w:r>
            <w:r w:rsidRPr="00B86CFF">
              <w:rPr>
                <w:rFonts w:asciiTheme="majorHAnsi" w:hAnsiTheme="majorHAnsi"/>
                <w:b/>
                <w:color w:val="548DD4" w:themeColor="text2" w:themeTint="99"/>
                <w:sz w:val="26"/>
                <w:szCs w:val="26"/>
              </w:rPr>
              <w:t>Αρχές ΗΑΕ</w:t>
            </w:r>
            <w:bookmarkEnd w:id="52"/>
            <w:r w:rsidRPr="00387380">
              <w:t xml:space="preserve"> </w:t>
            </w:r>
          </w:p>
        </w:tc>
      </w:tr>
      <w:tr w:rsidR="004E6FC1" w:rsidRPr="00656CE9" w14:paraId="14FCD852" w14:textId="77777777" w:rsidTr="007722AB">
        <w:trPr>
          <w:trHeight w:hRule="exact" w:val="360"/>
        </w:trPr>
        <w:tc>
          <w:tcPr>
            <w:tcW w:w="9540" w:type="dxa"/>
            <w:gridSpan w:val="2"/>
            <w:shd w:val="pct15" w:color="auto" w:fill="FFFFFF"/>
            <w:vAlign w:val="center"/>
          </w:tcPr>
          <w:p w14:paraId="1725821A" w14:textId="77777777" w:rsidR="004E6FC1" w:rsidRPr="00656CE9" w:rsidRDefault="004E6FC1" w:rsidP="007722AB">
            <w:pPr>
              <w:spacing w:after="0"/>
              <w:jc w:val="both"/>
              <w:rPr>
                <w:rFonts w:ascii="Times New Roman" w:hAnsi="Times New Roman" w:cs="Times New Roman"/>
                <w:b/>
                <w:sz w:val="24"/>
                <w:szCs w:val="24"/>
                <w:u w:val="single"/>
              </w:rPr>
            </w:pPr>
            <w:r w:rsidRPr="00656CE9">
              <w:rPr>
                <w:rFonts w:ascii="Times New Roman" w:hAnsi="Times New Roman" w:cs="Times New Roman"/>
                <w:b/>
                <w:sz w:val="24"/>
                <w:szCs w:val="24"/>
                <w:u w:val="single"/>
              </w:rPr>
              <w:t>Α) Κυβερνητικές ιστοσελίδες</w:t>
            </w:r>
          </w:p>
        </w:tc>
      </w:tr>
      <w:tr w:rsidR="004E6FC1" w:rsidRPr="00EF56CB" w14:paraId="19E048D0"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43037018" w14:textId="77777777" w:rsidR="004E6FC1" w:rsidRPr="00EF56CB" w:rsidRDefault="004E6FC1" w:rsidP="007722AB">
            <w:pPr>
              <w:spacing w:after="0"/>
              <w:jc w:val="both"/>
              <w:rPr>
                <w:rFonts w:ascii="Times New Roman" w:hAnsi="Times New Roman" w:cs="Times New Roman"/>
                <w:bCs/>
              </w:rPr>
            </w:pPr>
            <w:r w:rsidRPr="00EF56CB">
              <w:rPr>
                <w:rFonts w:ascii="Times New Roman" w:hAnsi="Times New Roman" w:cs="Times New Roman"/>
                <w:bCs/>
              </w:rPr>
              <w:t>UAE Federal Government Portal</w:t>
            </w:r>
          </w:p>
        </w:tc>
        <w:tc>
          <w:tcPr>
            <w:tcW w:w="4788" w:type="dxa"/>
            <w:shd w:val="clear" w:color="auto" w:fill="auto"/>
            <w:tcMar>
              <w:top w:w="0" w:type="dxa"/>
              <w:left w:w="108" w:type="dxa"/>
              <w:bottom w:w="0" w:type="dxa"/>
              <w:right w:w="108" w:type="dxa"/>
            </w:tcMar>
          </w:tcPr>
          <w:p w14:paraId="75F02C4C" w14:textId="77777777" w:rsidR="004E6FC1" w:rsidRPr="00EF56CB" w:rsidRDefault="00022BD6" w:rsidP="007722AB">
            <w:pPr>
              <w:spacing w:after="0"/>
              <w:jc w:val="both"/>
              <w:rPr>
                <w:rFonts w:ascii="Times New Roman" w:hAnsi="Times New Roman" w:cs="Times New Roman"/>
                <w:bCs/>
                <w:lang w:val="en-GB"/>
              </w:rPr>
            </w:pPr>
            <w:hyperlink r:id="rId74" w:anchor="/" w:history="1">
              <w:r w:rsidR="004E6FC1" w:rsidRPr="00EF56CB">
                <w:rPr>
                  <w:rStyle w:val="Hyperlink"/>
                  <w:rFonts w:ascii="Times New Roman" w:hAnsi="Times New Roman" w:cs="Times New Roman"/>
                </w:rPr>
                <w:t>https://u.ae/en#/</w:t>
              </w:r>
            </w:hyperlink>
            <w:r w:rsidR="004E6FC1" w:rsidRPr="00EF56CB">
              <w:rPr>
                <w:rFonts w:ascii="Times New Roman" w:hAnsi="Times New Roman" w:cs="Times New Roman"/>
                <w:bCs/>
                <w:lang w:val="en-GB"/>
              </w:rPr>
              <w:t xml:space="preserve"> </w:t>
            </w:r>
          </w:p>
        </w:tc>
      </w:tr>
      <w:tr w:rsidR="004E6FC1" w:rsidRPr="00EF56CB" w14:paraId="66556C69"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4C5607F0" w14:textId="77777777" w:rsidR="004E6FC1" w:rsidRPr="00EF56CB" w:rsidRDefault="004E6FC1" w:rsidP="007722AB">
            <w:pPr>
              <w:spacing w:after="0"/>
              <w:jc w:val="both"/>
              <w:rPr>
                <w:rFonts w:ascii="Times New Roman" w:hAnsi="Times New Roman" w:cs="Times New Roman"/>
                <w:bCs/>
              </w:rPr>
            </w:pPr>
            <w:r w:rsidRPr="00EF56CB">
              <w:rPr>
                <w:rFonts w:ascii="Times New Roman" w:hAnsi="Times New Roman" w:cs="Times New Roman"/>
                <w:bCs/>
                <w:iCs/>
                <w:lang w:val="en-GB"/>
              </w:rPr>
              <w:t>UAE Federal Entities</w:t>
            </w:r>
            <w:r w:rsidRPr="00EF56CB">
              <w:rPr>
                <w:rFonts w:ascii="Times New Roman" w:hAnsi="Times New Roman" w:cs="Times New Roman"/>
                <w:bCs/>
                <w:iCs/>
              </w:rPr>
              <w:t xml:space="preserve"> (Υπουργεία)</w:t>
            </w:r>
          </w:p>
        </w:tc>
        <w:tc>
          <w:tcPr>
            <w:tcW w:w="4788" w:type="dxa"/>
            <w:shd w:val="clear" w:color="auto" w:fill="auto"/>
            <w:tcMar>
              <w:top w:w="0" w:type="dxa"/>
              <w:left w:w="108" w:type="dxa"/>
              <w:bottom w:w="0" w:type="dxa"/>
              <w:right w:w="108" w:type="dxa"/>
            </w:tcMar>
          </w:tcPr>
          <w:p w14:paraId="1B7B5AC1" w14:textId="77777777" w:rsidR="004E6FC1" w:rsidRPr="00EF56CB" w:rsidRDefault="00022BD6" w:rsidP="007722AB">
            <w:pPr>
              <w:spacing w:after="0"/>
              <w:jc w:val="both"/>
              <w:rPr>
                <w:rFonts w:ascii="Times New Roman" w:hAnsi="Times New Roman" w:cs="Times New Roman"/>
                <w:bCs/>
                <w:lang w:val="en-GB"/>
              </w:rPr>
            </w:pPr>
            <w:hyperlink r:id="rId75" w:history="1">
              <w:r w:rsidR="004E6FC1" w:rsidRPr="00EF56CB">
                <w:rPr>
                  <w:rStyle w:val="Hyperlink"/>
                  <w:rFonts w:ascii="Times New Roman" w:hAnsi="Times New Roman" w:cs="Times New Roman"/>
                </w:rPr>
                <w:t>https://uaecabinet.ae/en</w:t>
              </w:r>
            </w:hyperlink>
            <w:r w:rsidR="004E6FC1" w:rsidRPr="00EF56CB">
              <w:rPr>
                <w:rFonts w:ascii="Times New Roman" w:hAnsi="Times New Roman" w:cs="Times New Roman"/>
                <w:bCs/>
                <w:lang w:val="en-GB"/>
              </w:rPr>
              <w:t xml:space="preserve"> </w:t>
            </w:r>
          </w:p>
        </w:tc>
      </w:tr>
      <w:tr w:rsidR="004E6FC1" w:rsidRPr="00022BD6" w14:paraId="6DC2F436"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762CF13A" w14:textId="77777777" w:rsidR="004E6FC1" w:rsidRPr="00F31884" w:rsidRDefault="004E6FC1" w:rsidP="007722AB">
            <w:pPr>
              <w:spacing w:after="0"/>
              <w:jc w:val="both"/>
              <w:rPr>
                <w:rFonts w:ascii="Times New Roman" w:hAnsi="Times New Roman" w:cs="Times New Roman"/>
                <w:bCs/>
                <w:lang w:val="en-AE"/>
              </w:rPr>
            </w:pPr>
            <w:r w:rsidRPr="00EF56CB">
              <w:rPr>
                <w:rFonts w:ascii="Times New Roman" w:hAnsi="Times New Roman" w:cs="Times New Roman"/>
                <w:bCs/>
                <w:iCs/>
                <w:lang w:val="en-GB"/>
              </w:rPr>
              <w:t>UAE</w:t>
            </w:r>
            <w:r w:rsidRPr="00F31884">
              <w:rPr>
                <w:rFonts w:ascii="Times New Roman" w:hAnsi="Times New Roman" w:cs="Times New Roman"/>
                <w:bCs/>
                <w:iCs/>
                <w:lang w:val="en-AE"/>
              </w:rPr>
              <w:t xml:space="preserve"> </w:t>
            </w:r>
            <w:r w:rsidRPr="00EF56CB">
              <w:rPr>
                <w:rFonts w:ascii="Times New Roman" w:hAnsi="Times New Roman" w:cs="Times New Roman"/>
                <w:bCs/>
                <w:iCs/>
                <w:lang w:val="en-GB"/>
              </w:rPr>
              <w:t>Local</w:t>
            </w:r>
            <w:r w:rsidRPr="00F31884">
              <w:rPr>
                <w:rFonts w:ascii="Times New Roman" w:hAnsi="Times New Roman" w:cs="Times New Roman"/>
                <w:bCs/>
                <w:iCs/>
                <w:lang w:val="en-AE"/>
              </w:rPr>
              <w:t xml:space="preserve"> </w:t>
            </w:r>
            <w:r w:rsidRPr="00EF56CB">
              <w:rPr>
                <w:rFonts w:ascii="Times New Roman" w:hAnsi="Times New Roman" w:cs="Times New Roman"/>
                <w:bCs/>
                <w:iCs/>
                <w:lang w:val="en-GB"/>
              </w:rPr>
              <w:t>Entities</w:t>
            </w:r>
            <w:r w:rsidRPr="00F31884">
              <w:rPr>
                <w:rFonts w:ascii="Times New Roman" w:hAnsi="Times New Roman" w:cs="Times New Roman"/>
                <w:bCs/>
                <w:iCs/>
                <w:lang w:val="en-AE"/>
              </w:rPr>
              <w:t xml:space="preserve"> (</w:t>
            </w:r>
            <w:r w:rsidRPr="00EF56CB">
              <w:rPr>
                <w:rFonts w:ascii="Times New Roman" w:hAnsi="Times New Roman" w:cs="Times New Roman"/>
                <w:bCs/>
                <w:iCs/>
              </w:rPr>
              <w:t>Εμιράτα</w:t>
            </w:r>
            <w:r w:rsidRPr="00F31884">
              <w:rPr>
                <w:rFonts w:ascii="Times New Roman" w:hAnsi="Times New Roman" w:cs="Times New Roman"/>
                <w:bCs/>
                <w:iCs/>
                <w:lang w:val="en-AE"/>
              </w:rPr>
              <w:t xml:space="preserve"> - </w:t>
            </w:r>
            <w:r w:rsidRPr="00EF56CB">
              <w:rPr>
                <w:rFonts w:ascii="Times New Roman" w:hAnsi="Times New Roman" w:cs="Times New Roman"/>
                <w:bCs/>
                <w:iCs/>
              </w:rPr>
              <w:t>Περιφέρειες</w:t>
            </w:r>
            <w:r w:rsidRPr="00F31884">
              <w:rPr>
                <w:rFonts w:ascii="Times New Roman" w:hAnsi="Times New Roman" w:cs="Times New Roman"/>
                <w:bCs/>
                <w:iCs/>
                <w:lang w:val="en-AE"/>
              </w:rPr>
              <w:t>)</w:t>
            </w:r>
          </w:p>
        </w:tc>
        <w:tc>
          <w:tcPr>
            <w:tcW w:w="4788" w:type="dxa"/>
            <w:shd w:val="clear" w:color="auto" w:fill="auto"/>
            <w:tcMar>
              <w:top w:w="0" w:type="dxa"/>
              <w:left w:w="108" w:type="dxa"/>
              <w:bottom w:w="0" w:type="dxa"/>
              <w:right w:w="108" w:type="dxa"/>
            </w:tcMar>
          </w:tcPr>
          <w:p w14:paraId="352F2C4A" w14:textId="77777777" w:rsidR="004E6FC1" w:rsidRPr="00F31884" w:rsidRDefault="00022BD6" w:rsidP="007722AB">
            <w:pPr>
              <w:spacing w:after="0"/>
              <w:jc w:val="both"/>
              <w:rPr>
                <w:rFonts w:ascii="Times New Roman" w:hAnsi="Times New Roman" w:cs="Times New Roman"/>
                <w:bCs/>
                <w:lang w:val="en-AE"/>
              </w:rPr>
            </w:pPr>
            <w:hyperlink r:id="rId76" w:history="1">
              <w:r w:rsidR="004E6FC1" w:rsidRPr="00EF56CB">
                <w:rPr>
                  <w:rStyle w:val="Hyperlink"/>
                  <w:rFonts w:ascii="Times New Roman" w:hAnsi="Times New Roman" w:cs="Times New Roman"/>
                  <w:lang w:val="en-US"/>
                </w:rPr>
                <w:t>https</w:t>
              </w:r>
              <w:r w:rsidR="004E6FC1" w:rsidRPr="00F31884">
                <w:rPr>
                  <w:rStyle w:val="Hyperlink"/>
                  <w:rFonts w:ascii="Times New Roman" w:hAnsi="Times New Roman" w:cs="Times New Roman"/>
                  <w:lang w:val="en-AE"/>
                </w:rPr>
                <w:t>://</w:t>
              </w:r>
              <w:r w:rsidR="004E6FC1" w:rsidRPr="00EF56CB">
                <w:rPr>
                  <w:rStyle w:val="Hyperlink"/>
                  <w:rFonts w:ascii="Times New Roman" w:hAnsi="Times New Roman" w:cs="Times New Roman"/>
                  <w:lang w:val="en-US"/>
                </w:rPr>
                <w:t>u</w:t>
              </w:r>
              <w:r w:rsidR="004E6FC1" w:rsidRPr="00F31884">
                <w:rPr>
                  <w:rStyle w:val="Hyperlink"/>
                  <w:rFonts w:ascii="Times New Roman" w:hAnsi="Times New Roman" w:cs="Times New Roman"/>
                  <w:lang w:val="en-AE"/>
                </w:rPr>
                <w:t>.</w:t>
              </w:r>
              <w:r w:rsidR="004E6FC1" w:rsidRPr="00EF56CB">
                <w:rPr>
                  <w:rStyle w:val="Hyperlink"/>
                  <w:rFonts w:ascii="Times New Roman" w:hAnsi="Times New Roman" w:cs="Times New Roman"/>
                  <w:lang w:val="en-US"/>
                </w:rPr>
                <w:t>ae</w:t>
              </w:r>
              <w:r w:rsidR="004E6FC1" w:rsidRPr="00F31884">
                <w:rPr>
                  <w:rStyle w:val="Hyperlink"/>
                  <w:rFonts w:ascii="Times New Roman" w:hAnsi="Times New Roman" w:cs="Times New Roman"/>
                  <w:lang w:val="en-AE"/>
                </w:rPr>
                <w:t>/</w:t>
              </w:r>
              <w:r w:rsidR="004E6FC1" w:rsidRPr="00EF56CB">
                <w:rPr>
                  <w:rStyle w:val="Hyperlink"/>
                  <w:rFonts w:ascii="Times New Roman" w:hAnsi="Times New Roman" w:cs="Times New Roman"/>
                  <w:lang w:val="en-US"/>
                </w:rPr>
                <w:t>en</w:t>
              </w:r>
              <w:r w:rsidR="004E6FC1" w:rsidRPr="00F31884">
                <w:rPr>
                  <w:rStyle w:val="Hyperlink"/>
                  <w:rFonts w:ascii="Times New Roman" w:hAnsi="Times New Roman" w:cs="Times New Roman"/>
                  <w:lang w:val="en-AE"/>
                </w:rPr>
                <w:t>/</w:t>
              </w:r>
              <w:r w:rsidR="004E6FC1" w:rsidRPr="00EF56CB">
                <w:rPr>
                  <w:rStyle w:val="Hyperlink"/>
                  <w:rFonts w:ascii="Times New Roman" w:hAnsi="Times New Roman" w:cs="Times New Roman"/>
                  <w:lang w:val="en-US"/>
                </w:rPr>
                <w:t>about</w:t>
              </w:r>
              <w:r w:rsidR="004E6FC1" w:rsidRPr="00F31884">
                <w:rPr>
                  <w:rStyle w:val="Hyperlink"/>
                  <w:rFonts w:ascii="Times New Roman" w:hAnsi="Times New Roman" w:cs="Times New Roman"/>
                  <w:lang w:val="en-AE"/>
                </w:rPr>
                <w:t>-</w:t>
              </w:r>
              <w:r w:rsidR="004E6FC1" w:rsidRPr="00EF56CB">
                <w:rPr>
                  <w:rStyle w:val="Hyperlink"/>
                  <w:rFonts w:ascii="Times New Roman" w:hAnsi="Times New Roman" w:cs="Times New Roman"/>
                  <w:lang w:val="en-US"/>
                </w:rPr>
                <w:t>the</w:t>
              </w:r>
              <w:r w:rsidR="004E6FC1" w:rsidRPr="00F31884">
                <w:rPr>
                  <w:rStyle w:val="Hyperlink"/>
                  <w:rFonts w:ascii="Times New Roman" w:hAnsi="Times New Roman" w:cs="Times New Roman"/>
                  <w:lang w:val="en-AE"/>
                </w:rPr>
                <w:t>-</w:t>
              </w:r>
              <w:r w:rsidR="004E6FC1" w:rsidRPr="00EF56CB">
                <w:rPr>
                  <w:rStyle w:val="Hyperlink"/>
                  <w:rFonts w:ascii="Times New Roman" w:hAnsi="Times New Roman" w:cs="Times New Roman"/>
                  <w:lang w:val="en-US"/>
                </w:rPr>
                <w:t>uae</w:t>
              </w:r>
              <w:r w:rsidR="004E6FC1" w:rsidRPr="00F31884">
                <w:rPr>
                  <w:rStyle w:val="Hyperlink"/>
                  <w:rFonts w:ascii="Times New Roman" w:hAnsi="Times New Roman" w:cs="Times New Roman"/>
                  <w:lang w:val="en-AE"/>
                </w:rPr>
                <w:t>/</w:t>
              </w:r>
              <w:r w:rsidR="004E6FC1" w:rsidRPr="00EF56CB">
                <w:rPr>
                  <w:rStyle w:val="Hyperlink"/>
                  <w:rFonts w:ascii="Times New Roman" w:hAnsi="Times New Roman" w:cs="Times New Roman"/>
                  <w:lang w:val="en-US"/>
                </w:rPr>
                <w:t>the</w:t>
              </w:r>
              <w:r w:rsidR="004E6FC1" w:rsidRPr="00F31884">
                <w:rPr>
                  <w:rStyle w:val="Hyperlink"/>
                  <w:rFonts w:ascii="Times New Roman" w:hAnsi="Times New Roman" w:cs="Times New Roman"/>
                  <w:lang w:val="en-AE"/>
                </w:rPr>
                <w:t>-</w:t>
              </w:r>
              <w:r w:rsidR="004E6FC1" w:rsidRPr="00EF56CB">
                <w:rPr>
                  <w:rStyle w:val="Hyperlink"/>
                  <w:rFonts w:ascii="Times New Roman" w:hAnsi="Times New Roman" w:cs="Times New Roman"/>
                  <w:lang w:val="en-US"/>
                </w:rPr>
                <w:t>uae</w:t>
              </w:r>
              <w:r w:rsidR="004E6FC1" w:rsidRPr="00F31884">
                <w:rPr>
                  <w:rStyle w:val="Hyperlink"/>
                  <w:rFonts w:ascii="Times New Roman" w:hAnsi="Times New Roman" w:cs="Times New Roman"/>
                  <w:lang w:val="en-AE"/>
                </w:rPr>
                <w:t>-</w:t>
              </w:r>
              <w:r w:rsidR="004E6FC1" w:rsidRPr="00EF56CB">
                <w:rPr>
                  <w:rStyle w:val="Hyperlink"/>
                  <w:rFonts w:ascii="Times New Roman" w:hAnsi="Times New Roman" w:cs="Times New Roman"/>
                  <w:lang w:val="en-US"/>
                </w:rPr>
                <w:t>government</w:t>
              </w:r>
              <w:r w:rsidR="004E6FC1" w:rsidRPr="00F31884">
                <w:rPr>
                  <w:rStyle w:val="Hyperlink"/>
                  <w:rFonts w:ascii="Times New Roman" w:hAnsi="Times New Roman" w:cs="Times New Roman"/>
                  <w:lang w:val="en-AE"/>
                </w:rPr>
                <w:t>/</w:t>
              </w:r>
              <w:r w:rsidR="004E6FC1" w:rsidRPr="00EF56CB">
                <w:rPr>
                  <w:rStyle w:val="Hyperlink"/>
                  <w:rFonts w:ascii="Times New Roman" w:hAnsi="Times New Roman" w:cs="Times New Roman"/>
                  <w:lang w:val="en-US"/>
                </w:rPr>
                <w:t>the</w:t>
              </w:r>
              <w:r w:rsidR="004E6FC1" w:rsidRPr="00F31884">
                <w:rPr>
                  <w:rStyle w:val="Hyperlink"/>
                  <w:rFonts w:ascii="Times New Roman" w:hAnsi="Times New Roman" w:cs="Times New Roman"/>
                  <w:lang w:val="en-AE"/>
                </w:rPr>
                <w:t>-</w:t>
              </w:r>
              <w:r w:rsidR="004E6FC1" w:rsidRPr="00EF56CB">
                <w:rPr>
                  <w:rStyle w:val="Hyperlink"/>
                  <w:rFonts w:ascii="Times New Roman" w:hAnsi="Times New Roman" w:cs="Times New Roman"/>
                  <w:lang w:val="en-US"/>
                </w:rPr>
                <w:t>local</w:t>
              </w:r>
              <w:r w:rsidR="004E6FC1" w:rsidRPr="00F31884">
                <w:rPr>
                  <w:rStyle w:val="Hyperlink"/>
                  <w:rFonts w:ascii="Times New Roman" w:hAnsi="Times New Roman" w:cs="Times New Roman"/>
                  <w:lang w:val="en-AE"/>
                </w:rPr>
                <w:t>-</w:t>
              </w:r>
              <w:r w:rsidR="004E6FC1" w:rsidRPr="00EF56CB">
                <w:rPr>
                  <w:rStyle w:val="Hyperlink"/>
                  <w:rFonts w:ascii="Times New Roman" w:hAnsi="Times New Roman" w:cs="Times New Roman"/>
                  <w:lang w:val="en-US"/>
                </w:rPr>
                <w:t>governments</w:t>
              </w:r>
              <w:r w:rsidR="004E6FC1" w:rsidRPr="00F31884">
                <w:rPr>
                  <w:rStyle w:val="Hyperlink"/>
                  <w:rFonts w:ascii="Times New Roman" w:hAnsi="Times New Roman" w:cs="Times New Roman"/>
                  <w:lang w:val="en-AE"/>
                </w:rPr>
                <w:t>-</w:t>
              </w:r>
              <w:r w:rsidR="004E6FC1" w:rsidRPr="00EF56CB">
                <w:rPr>
                  <w:rStyle w:val="Hyperlink"/>
                  <w:rFonts w:ascii="Times New Roman" w:hAnsi="Times New Roman" w:cs="Times New Roman"/>
                  <w:lang w:val="en-US"/>
                </w:rPr>
                <w:t>of</w:t>
              </w:r>
              <w:r w:rsidR="004E6FC1" w:rsidRPr="00F31884">
                <w:rPr>
                  <w:rStyle w:val="Hyperlink"/>
                  <w:rFonts w:ascii="Times New Roman" w:hAnsi="Times New Roman" w:cs="Times New Roman"/>
                  <w:lang w:val="en-AE"/>
                </w:rPr>
                <w:t>-</w:t>
              </w:r>
              <w:r w:rsidR="004E6FC1" w:rsidRPr="00EF56CB">
                <w:rPr>
                  <w:rStyle w:val="Hyperlink"/>
                  <w:rFonts w:ascii="Times New Roman" w:hAnsi="Times New Roman" w:cs="Times New Roman"/>
                  <w:lang w:val="en-US"/>
                </w:rPr>
                <w:t>the</w:t>
              </w:r>
              <w:r w:rsidR="004E6FC1" w:rsidRPr="00F31884">
                <w:rPr>
                  <w:rStyle w:val="Hyperlink"/>
                  <w:rFonts w:ascii="Times New Roman" w:hAnsi="Times New Roman" w:cs="Times New Roman"/>
                  <w:lang w:val="en-AE"/>
                </w:rPr>
                <w:t>-</w:t>
              </w:r>
              <w:r w:rsidR="004E6FC1" w:rsidRPr="00EF56CB">
                <w:rPr>
                  <w:rStyle w:val="Hyperlink"/>
                  <w:rFonts w:ascii="Times New Roman" w:hAnsi="Times New Roman" w:cs="Times New Roman"/>
                  <w:lang w:val="en-US"/>
                </w:rPr>
                <w:t>seven</w:t>
              </w:r>
              <w:r w:rsidR="004E6FC1" w:rsidRPr="00F31884">
                <w:rPr>
                  <w:rStyle w:val="Hyperlink"/>
                  <w:rFonts w:ascii="Times New Roman" w:hAnsi="Times New Roman" w:cs="Times New Roman"/>
                  <w:lang w:val="en-AE"/>
                </w:rPr>
                <w:t>-</w:t>
              </w:r>
              <w:r w:rsidR="004E6FC1" w:rsidRPr="00EF56CB">
                <w:rPr>
                  <w:rStyle w:val="Hyperlink"/>
                  <w:rFonts w:ascii="Times New Roman" w:hAnsi="Times New Roman" w:cs="Times New Roman"/>
                  <w:lang w:val="en-US"/>
                </w:rPr>
                <w:t>emirates</w:t>
              </w:r>
            </w:hyperlink>
            <w:r w:rsidR="004E6FC1" w:rsidRPr="00F31884">
              <w:rPr>
                <w:rFonts w:ascii="Times New Roman" w:hAnsi="Times New Roman" w:cs="Times New Roman"/>
                <w:bCs/>
                <w:lang w:val="en-AE"/>
              </w:rPr>
              <w:t xml:space="preserve"> </w:t>
            </w:r>
          </w:p>
        </w:tc>
      </w:tr>
      <w:tr w:rsidR="004E6FC1" w:rsidRPr="00EF56CB" w14:paraId="563C774E"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6B1FB9F2" w14:textId="77777777" w:rsidR="004E6FC1" w:rsidRPr="00EF56CB" w:rsidRDefault="004E6FC1" w:rsidP="007722AB">
            <w:pPr>
              <w:spacing w:after="0"/>
              <w:jc w:val="both"/>
              <w:rPr>
                <w:rFonts w:ascii="Times New Roman" w:hAnsi="Times New Roman" w:cs="Times New Roman"/>
                <w:bCs/>
              </w:rPr>
            </w:pPr>
            <w:r w:rsidRPr="00EF56CB">
              <w:rPr>
                <w:rFonts w:ascii="Times New Roman" w:hAnsi="Times New Roman" w:cs="Times New Roman"/>
                <w:bCs/>
              </w:rPr>
              <w:t>Abu Dhabi Government Portal</w:t>
            </w:r>
          </w:p>
        </w:tc>
        <w:tc>
          <w:tcPr>
            <w:tcW w:w="4788" w:type="dxa"/>
            <w:shd w:val="clear" w:color="auto" w:fill="auto"/>
            <w:tcMar>
              <w:top w:w="0" w:type="dxa"/>
              <w:left w:w="108" w:type="dxa"/>
              <w:bottom w:w="0" w:type="dxa"/>
              <w:right w:w="108" w:type="dxa"/>
            </w:tcMar>
          </w:tcPr>
          <w:p w14:paraId="3B2D5C58" w14:textId="77777777" w:rsidR="004E6FC1" w:rsidRPr="00EF56CB" w:rsidRDefault="00022BD6" w:rsidP="007722AB">
            <w:pPr>
              <w:spacing w:after="0"/>
              <w:jc w:val="both"/>
              <w:rPr>
                <w:rFonts w:ascii="Times New Roman" w:hAnsi="Times New Roman" w:cs="Times New Roman"/>
                <w:bCs/>
              </w:rPr>
            </w:pPr>
            <w:hyperlink r:id="rId77" w:history="1">
              <w:r w:rsidR="004E6FC1" w:rsidRPr="00EF56CB">
                <w:rPr>
                  <w:rStyle w:val="Hyperlink"/>
                  <w:rFonts w:ascii="Times New Roman" w:hAnsi="Times New Roman" w:cs="Times New Roman"/>
                </w:rPr>
                <w:t>https://www.tamm.abudhabi/</w:t>
              </w:r>
            </w:hyperlink>
            <w:r w:rsidR="004E6FC1" w:rsidRPr="00EF56CB">
              <w:rPr>
                <w:rFonts w:ascii="Times New Roman" w:hAnsi="Times New Roman" w:cs="Times New Roman"/>
                <w:bCs/>
              </w:rPr>
              <w:t xml:space="preserve"> </w:t>
            </w:r>
          </w:p>
        </w:tc>
      </w:tr>
      <w:tr w:rsidR="004E6FC1" w:rsidRPr="00EF56CB" w14:paraId="50F884B3"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68B9D548" w14:textId="77777777" w:rsidR="004E6FC1" w:rsidRPr="00EF56CB" w:rsidRDefault="004E6FC1" w:rsidP="007722AB">
            <w:pPr>
              <w:spacing w:after="0"/>
              <w:jc w:val="both"/>
              <w:rPr>
                <w:rFonts w:ascii="Times New Roman" w:hAnsi="Times New Roman" w:cs="Times New Roman"/>
                <w:bCs/>
              </w:rPr>
            </w:pPr>
            <w:r w:rsidRPr="00EF56CB">
              <w:rPr>
                <w:rFonts w:ascii="Times New Roman" w:hAnsi="Times New Roman" w:cs="Times New Roman"/>
                <w:bCs/>
              </w:rPr>
              <w:t>Dubai e-Government</w:t>
            </w:r>
          </w:p>
        </w:tc>
        <w:tc>
          <w:tcPr>
            <w:tcW w:w="4788" w:type="dxa"/>
            <w:shd w:val="clear" w:color="auto" w:fill="auto"/>
            <w:tcMar>
              <w:top w:w="0" w:type="dxa"/>
              <w:left w:w="108" w:type="dxa"/>
              <w:bottom w:w="0" w:type="dxa"/>
              <w:right w:w="108" w:type="dxa"/>
            </w:tcMar>
          </w:tcPr>
          <w:p w14:paraId="3C382537" w14:textId="77777777" w:rsidR="004E6FC1" w:rsidRPr="00EF56CB" w:rsidRDefault="00022BD6" w:rsidP="007722AB">
            <w:pPr>
              <w:spacing w:after="0"/>
              <w:jc w:val="both"/>
              <w:rPr>
                <w:rFonts w:ascii="Times New Roman" w:hAnsi="Times New Roman" w:cs="Times New Roman"/>
                <w:bCs/>
              </w:rPr>
            </w:pPr>
            <w:hyperlink r:id="rId78" w:history="1">
              <w:r w:rsidR="004E6FC1" w:rsidRPr="00EF56CB">
                <w:rPr>
                  <w:rStyle w:val="Hyperlink"/>
                  <w:rFonts w:ascii="Times New Roman" w:hAnsi="Times New Roman" w:cs="Times New Roman"/>
                </w:rPr>
                <w:t>https://www.digitaldubai.ae/</w:t>
              </w:r>
            </w:hyperlink>
            <w:r w:rsidR="004E6FC1" w:rsidRPr="00EF56CB">
              <w:rPr>
                <w:rFonts w:ascii="Times New Roman" w:hAnsi="Times New Roman" w:cs="Times New Roman"/>
                <w:bCs/>
              </w:rPr>
              <w:t xml:space="preserve"> </w:t>
            </w:r>
          </w:p>
        </w:tc>
      </w:tr>
      <w:tr w:rsidR="004E6FC1" w:rsidRPr="00EF56CB" w14:paraId="7D9CBC8C"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69079912" w14:textId="77777777" w:rsidR="004E6FC1" w:rsidRPr="00EF56CB" w:rsidRDefault="004E6FC1" w:rsidP="007722AB">
            <w:pPr>
              <w:spacing w:after="0"/>
              <w:jc w:val="both"/>
              <w:rPr>
                <w:rFonts w:ascii="Times New Roman" w:hAnsi="Times New Roman" w:cs="Times New Roman"/>
                <w:bCs/>
                <w:lang w:val="en-US"/>
              </w:rPr>
            </w:pPr>
            <w:r w:rsidRPr="00EF56CB">
              <w:rPr>
                <w:rFonts w:ascii="Times New Roman" w:hAnsi="Times New Roman" w:cs="Times New Roman"/>
                <w:bCs/>
                <w:lang w:val="en-US"/>
              </w:rPr>
              <w:t>Government of Sharjah</w:t>
            </w:r>
          </w:p>
        </w:tc>
        <w:tc>
          <w:tcPr>
            <w:tcW w:w="4788" w:type="dxa"/>
            <w:shd w:val="clear" w:color="auto" w:fill="auto"/>
            <w:tcMar>
              <w:top w:w="0" w:type="dxa"/>
              <w:left w:w="108" w:type="dxa"/>
              <w:bottom w:w="0" w:type="dxa"/>
              <w:right w:w="108" w:type="dxa"/>
            </w:tcMar>
          </w:tcPr>
          <w:p w14:paraId="638843C5" w14:textId="77777777" w:rsidR="004E6FC1" w:rsidRPr="00EF56CB" w:rsidRDefault="00022BD6" w:rsidP="007722AB">
            <w:pPr>
              <w:spacing w:after="0"/>
              <w:jc w:val="both"/>
              <w:rPr>
                <w:rFonts w:ascii="Times New Roman" w:hAnsi="Times New Roman" w:cs="Times New Roman"/>
                <w:bCs/>
                <w:lang w:val="en-US"/>
              </w:rPr>
            </w:pPr>
            <w:hyperlink r:id="rId79" w:history="1">
              <w:r w:rsidR="004E6FC1" w:rsidRPr="00EF56CB">
                <w:rPr>
                  <w:rStyle w:val="Hyperlink"/>
                  <w:rFonts w:ascii="Times New Roman" w:hAnsi="Times New Roman" w:cs="Times New Roman"/>
                </w:rPr>
                <w:t>www.sharjah.ae</w:t>
              </w:r>
            </w:hyperlink>
            <w:r w:rsidR="004E6FC1" w:rsidRPr="00EF56CB">
              <w:rPr>
                <w:rFonts w:ascii="Times New Roman" w:hAnsi="Times New Roman" w:cs="Times New Roman"/>
                <w:bCs/>
                <w:lang w:val="en-US"/>
              </w:rPr>
              <w:t xml:space="preserve"> </w:t>
            </w:r>
          </w:p>
        </w:tc>
      </w:tr>
      <w:tr w:rsidR="004E6FC1" w:rsidRPr="00EF56CB" w14:paraId="7EE7BC42"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00FA3ADA" w14:textId="77777777" w:rsidR="004E6FC1" w:rsidRPr="00EF56CB" w:rsidRDefault="004E6FC1" w:rsidP="007722AB">
            <w:pPr>
              <w:spacing w:after="0"/>
              <w:jc w:val="both"/>
              <w:rPr>
                <w:rFonts w:ascii="Times New Roman" w:hAnsi="Times New Roman" w:cs="Times New Roman"/>
                <w:bCs/>
              </w:rPr>
            </w:pPr>
            <w:r w:rsidRPr="00EF56CB">
              <w:rPr>
                <w:rFonts w:ascii="Times New Roman" w:hAnsi="Times New Roman" w:cs="Times New Roman"/>
                <w:bCs/>
              </w:rPr>
              <w:t>Ajman Portal</w:t>
            </w:r>
          </w:p>
        </w:tc>
        <w:tc>
          <w:tcPr>
            <w:tcW w:w="4788" w:type="dxa"/>
            <w:shd w:val="clear" w:color="auto" w:fill="auto"/>
            <w:tcMar>
              <w:top w:w="0" w:type="dxa"/>
              <w:left w:w="108" w:type="dxa"/>
              <w:bottom w:w="0" w:type="dxa"/>
              <w:right w:w="108" w:type="dxa"/>
            </w:tcMar>
          </w:tcPr>
          <w:p w14:paraId="1AB07791" w14:textId="77777777" w:rsidR="004E6FC1" w:rsidRPr="00EF56CB" w:rsidRDefault="00022BD6" w:rsidP="007722AB">
            <w:pPr>
              <w:spacing w:after="0"/>
              <w:jc w:val="both"/>
              <w:rPr>
                <w:rFonts w:ascii="Times New Roman" w:hAnsi="Times New Roman" w:cs="Times New Roman"/>
                <w:bCs/>
              </w:rPr>
            </w:pPr>
            <w:hyperlink r:id="rId80" w:history="1">
              <w:r w:rsidR="004E6FC1" w:rsidRPr="00EF56CB">
                <w:rPr>
                  <w:rStyle w:val="Hyperlink"/>
                  <w:rFonts w:ascii="Times New Roman" w:hAnsi="Times New Roman" w:cs="Times New Roman"/>
                </w:rPr>
                <w:t>www.ajman.ae</w:t>
              </w:r>
            </w:hyperlink>
            <w:r w:rsidR="004E6FC1" w:rsidRPr="00EF56CB">
              <w:rPr>
                <w:rFonts w:ascii="Times New Roman" w:hAnsi="Times New Roman" w:cs="Times New Roman"/>
                <w:bCs/>
                <w:lang w:val="en-GB"/>
              </w:rPr>
              <w:t xml:space="preserve"> </w:t>
            </w:r>
          </w:p>
        </w:tc>
      </w:tr>
      <w:tr w:rsidR="004E6FC1" w:rsidRPr="00EF56CB" w14:paraId="743FB316"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1B2E195E" w14:textId="77777777" w:rsidR="004E6FC1" w:rsidRPr="00EF56CB" w:rsidRDefault="004E6FC1" w:rsidP="007722AB">
            <w:pPr>
              <w:spacing w:after="0"/>
              <w:jc w:val="both"/>
              <w:rPr>
                <w:rFonts w:ascii="Times New Roman" w:hAnsi="Times New Roman" w:cs="Times New Roman"/>
                <w:bCs/>
                <w:lang w:val="en-US"/>
              </w:rPr>
            </w:pPr>
            <w:r w:rsidRPr="00EF56CB">
              <w:rPr>
                <w:rFonts w:ascii="Times New Roman" w:hAnsi="Times New Roman" w:cs="Times New Roman"/>
                <w:bCs/>
                <w:lang w:val="en-US"/>
              </w:rPr>
              <w:t>Government of Umm Al Quwain</w:t>
            </w:r>
          </w:p>
        </w:tc>
        <w:tc>
          <w:tcPr>
            <w:tcW w:w="4788" w:type="dxa"/>
            <w:shd w:val="clear" w:color="auto" w:fill="auto"/>
            <w:tcMar>
              <w:top w:w="0" w:type="dxa"/>
              <w:left w:w="108" w:type="dxa"/>
              <w:bottom w:w="0" w:type="dxa"/>
              <w:right w:w="108" w:type="dxa"/>
            </w:tcMar>
          </w:tcPr>
          <w:p w14:paraId="528FDDE0" w14:textId="77777777" w:rsidR="004E6FC1" w:rsidRPr="00EF56CB" w:rsidRDefault="00022BD6" w:rsidP="007722AB">
            <w:pPr>
              <w:spacing w:after="0"/>
              <w:jc w:val="both"/>
              <w:rPr>
                <w:rFonts w:ascii="Times New Roman" w:hAnsi="Times New Roman" w:cs="Times New Roman"/>
                <w:bCs/>
                <w:lang w:val="en-US"/>
              </w:rPr>
            </w:pPr>
            <w:hyperlink r:id="rId81" w:history="1">
              <w:r w:rsidR="004E6FC1" w:rsidRPr="00EF56CB">
                <w:rPr>
                  <w:rStyle w:val="Hyperlink"/>
                  <w:rFonts w:ascii="Times New Roman" w:hAnsi="Times New Roman" w:cs="Times New Roman"/>
                  <w:lang w:val="en-US"/>
                </w:rPr>
                <w:t>www.uaq.ae</w:t>
              </w:r>
            </w:hyperlink>
          </w:p>
        </w:tc>
      </w:tr>
      <w:tr w:rsidR="004E6FC1" w:rsidRPr="00EF56CB" w14:paraId="4C15E581"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4AC65598" w14:textId="77777777" w:rsidR="004E6FC1" w:rsidRPr="00EF56CB" w:rsidRDefault="004E6FC1" w:rsidP="007722AB">
            <w:pPr>
              <w:spacing w:after="0"/>
              <w:jc w:val="both"/>
              <w:rPr>
                <w:rFonts w:ascii="Times New Roman" w:hAnsi="Times New Roman" w:cs="Times New Roman"/>
                <w:bCs/>
                <w:lang w:val="en-US"/>
              </w:rPr>
            </w:pPr>
            <w:r w:rsidRPr="00EF56CB">
              <w:rPr>
                <w:rFonts w:ascii="Times New Roman" w:hAnsi="Times New Roman" w:cs="Times New Roman"/>
                <w:bCs/>
                <w:lang w:val="en-US"/>
              </w:rPr>
              <w:t>Ras Al Khaimah e-Government</w:t>
            </w:r>
          </w:p>
        </w:tc>
        <w:tc>
          <w:tcPr>
            <w:tcW w:w="4788" w:type="dxa"/>
            <w:shd w:val="clear" w:color="auto" w:fill="auto"/>
            <w:tcMar>
              <w:top w:w="0" w:type="dxa"/>
              <w:left w:w="108" w:type="dxa"/>
              <w:bottom w:w="0" w:type="dxa"/>
              <w:right w:w="108" w:type="dxa"/>
            </w:tcMar>
          </w:tcPr>
          <w:p w14:paraId="35CE72C6" w14:textId="77777777" w:rsidR="004E6FC1" w:rsidRPr="00EF56CB" w:rsidRDefault="00022BD6" w:rsidP="007722AB">
            <w:pPr>
              <w:spacing w:after="0"/>
              <w:jc w:val="both"/>
              <w:rPr>
                <w:rFonts w:ascii="Times New Roman" w:hAnsi="Times New Roman" w:cs="Times New Roman"/>
                <w:bCs/>
              </w:rPr>
            </w:pPr>
            <w:hyperlink r:id="rId82" w:history="1">
              <w:r w:rsidR="004E6FC1" w:rsidRPr="00EF56CB">
                <w:rPr>
                  <w:rStyle w:val="Hyperlink"/>
                  <w:rFonts w:ascii="Times New Roman" w:hAnsi="Times New Roman" w:cs="Times New Roman"/>
                </w:rPr>
                <w:t>www.rak.ae</w:t>
              </w:r>
            </w:hyperlink>
            <w:r w:rsidR="004E6FC1" w:rsidRPr="00EF56CB">
              <w:rPr>
                <w:rFonts w:ascii="Times New Roman" w:hAnsi="Times New Roman" w:cs="Times New Roman"/>
                <w:bCs/>
                <w:lang w:val="en-GB"/>
              </w:rPr>
              <w:t xml:space="preserve"> </w:t>
            </w:r>
          </w:p>
        </w:tc>
      </w:tr>
      <w:tr w:rsidR="004E6FC1" w:rsidRPr="00EF56CB" w14:paraId="0D74E6AC"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7F125BF4" w14:textId="77777777" w:rsidR="004E6FC1" w:rsidRPr="00EF56CB" w:rsidRDefault="004E6FC1" w:rsidP="007722AB">
            <w:pPr>
              <w:spacing w:after="0"/>
              <w:jc w:val="both"/>
              <w:rPr>
                <w:rFonts w:ascii="Times New Roman" w:hAnsi="Times New Roman" w:cs="Times New Roman"/>
                <w:bCs/>
              </w:rPr>
            </w:pPr>
            <w:r w:rsidRPr="00EF56CB">
              <w:rPr>
                <w:rFonts w:ascii="Times New Roman" w:hAnsi="Times New Roman" w:cs="Times New Roman"/>
                <w:bCs/>
              </w:rPr>
              <w:t>Fujairah e-Government</w:t>
            </w:r>
          </w:p>
        </w:tc>
        <w:tc>
          <w:tcPr>
            <w:tcW w:w="4788" w:type="dxa"/>
            <w:shd w:val="clear" w:color="auto" w:fill="auto"/>
            <w:tcMar>
              <w:top w:w="0" w:type="dxa"/>
              <w:left w:w="108" w:type="dxa"/>
              <w:bottom w:w="0" w:type="dxa"/>
              <w:right w:w="108" w:type="dxa"/>
            </w:tcMar>
          </w:tcPr>
          <w:p w14:paraId="7E5E9486" w14:textId="77777777" w:rsidR="004E6FC1" w:rsidRPr="00EF56CB" w:rsidRDefault="00022BD6" w:rsidP="007722AB">
            <w:pPr>
              <w:spacing w:after="0"/>
              <w:jc w:val="both"/>
              <w:rPr>
                <w:rFonts w:ascii="Times New Roman" w:hAnsi="Times New Roman" w:cs="Times New Roman"/>
                <w:bCs/>
              </w:rPr>
            </w:pPr>
            <w:hyperlink r:id="rId83" w:history="1">
              <w:r w:rsidR="004E6FC1" w:rsidRPr="00EF56CB">
                <w:rPr>
                  <w:rStyle w:val="Hyperlink"/>
                  <w:rFonts w:ascii="Times New Roman" w:hAnsi="Times New Roman" w:cs="Times New Roman"/>
                </w:rPr>
                <w:t>https://fujairah.ae/en/Pages/default.aspx</w:t>
              </w:r>
            </w:hyperlink>
            <w:r w:rsidR="004E6FC1" w:rsidRPr="00EF56CB">
              <w:rPr>
                <w:rFonts w:ascii="Times New Roman" w:hAnsi="Times New Roman" w:cs="Times New Roman"/>
                <w:bCs/>
              </w:rPr>
              <w:t xml:space="preserve"> </w:t>
            </w:r>
          </w:p>
        </w:tc>
      </w:tr>
      <w:tr w:rsidR="004E6FC1" w:rsidRPr="00EF56CB" w14:paraId="0A4C1738"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58C2100D" w14:textId="77777777" w:rsidR="004E6FC1" w:rsidRPr="00EF56CB" w:rsidRDefault="004E6FC1" w:rsidP="007722AB">
            <w:pPr>
              <w:spacing w:after="0"/>
              <w:jc w:val="both"/>
              <w:rPr>
                <w:rFonts w:ascii="Times New Roman" w:hAnsi="Times New Roman" w:cs="Times New Roman"/>
                <w:bCs/>
              </w:rPr>
            </w:pPr>
            <w:r w:rsidRPr="00EF56CB">
              <w:rPr>
                <w:rFonts w:ascii="Times New Roman" w:hAnsi="Times New Roman" w:cs="Times New Roman"/>
                <w:bCs/>
              </w:rPr>
              <w:t>UAE Free Zones</w:t>
            </w:r>
          </w:p>
        </w:tc>
        <w:tc>
          <w:tcPr>
            <w:tcW w:w="4788" w:type="dxa"/>
            <w:shd w:val="clear" w:color="auto" w:fill="auto"/>
            <w:tcMar>
              <w:top w:w="0" w:type="dxa"/>
              <w:left w:w="108" w:type="dxa"/>
              <w:bottom w:w="0" w:type="dxa"/>
              <w:right w:w="108" w:type="dxa"/>
            </w:tcMar>
          </w:tcPr>
          <w:p w14:paraId="27EEAC13" w14:textId="77777777" w:rsidR="004E6FC1" w:rsidRPr="00EF56CB" w:rsidRDefault="00022BD6" w:rsidP="007722AB">
            <w:pPr>
              <w:spacing w:after="0"/>
              <w:jc w:val="both"/>
              <w:rPr>
                <w:rFonts w:ascii="Times New Roman" w:hAnsi="Times New Roman" w:cs="Times New Roman"/>
                <w:bCs/>
              </w:rPr>
            </w:pPr>
            <w:hyperlink r:id="rId84" w:history="1">
              <w:r w:rsidR="004E6FC1" w:rsidRPr="00EF56CB">
                <w:rPr>
                  <w:rStyle w:val="Hyperlink"/>
                  <w:rFonts w:ascii="Times New Roman" w:hAnsi="Times New Roman" w:cs="Times New Roman"/>
                </w:rPr>
                <w:t>https://www.moec.gov.ae/en/free-zones</w:t>
              </w:r>
            </w:hyperlink>
            <w:r w:rsidR="004E6FC1" w:rsidRPr="00EF56CB">
              <w:rPr>
                <w:rFonts w:ascii="Times New Roman" w:hAnsi="Times New Roman" w:cs="Times New Roman"/>
                <w:bCs/>
              </w:rPr>
              <w:t xml:space="preserve"> </w:t>
            </w:r>
          </w:p>
        </w:tc>
      </w:tr>
      <w:tr w:rsidR="004E6FC1" w:rsidRPr="00022BD6" w14:paraId="712E35A4"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2423694E" w14:textId="2DB1DEC6" w:rsidR="004E6FC1" w:rsidRPr="00EF56CB" w:rsidRDefault="004E6FC1" w:rsidP="007722AB">
            <w:pPr>
              <w:spacing w:after="0"/>
              <w:jc w:val="both"/>
              <w:rPr>
                <w:rFonts w:ascii="Times New Roman" w:hAnsi="Times New Roman" w:cs="Times New Roman"/>
                <w:bCs/>
                <w:lang w:val="en-US"/>
              </w:rPr>
            </w:pPr>
            <w:r w:rsidRPr="00EF56CB">
              <w:rPr>
                <w:rFonts w:ascii="Times New Roman" w:hAnsi="Times New Roman" w:cs="Times New Roman"/>
                <w:bCs/>
                <w:lang w:val="en-US"/>
              </w:rPr>
              <w:t xml:space="preserve">Fe​deral C​​ompetitiveness and Statistics </w:t>
            </w:r>
            <w:r w:rsidR="00683AFB">
              <w:rPr>
                <w:rFonts w:ascii="Times New Roman" w:hAnsi="Times New Roman" w:cs="Times New Roman"/>
                <w:bCs/>
                <w:lang w:val="en-US"/>
              </w:rPr>
              <w:t>Centre</w:t>
            </w:r>
            <w:r w:rsidRPr="00EF56CB">
              <w:rPr>
                <w:rFonts w:ascii="Times New Roman" w:hAnsi="Times New Roman" w:cs="Times New Roman"/>
                <w:bCs/>
                <w:lang w:val="en-US"/>
              </w:rPr>
              <w:t xml:space="preserve"> (FCS</w:t>
            </w:r>
            <w:r w:rsidR="00683AFB">
              <w:rPr>
                <w:rFonts w:ascii="Times New Roman" w:hAnsi="Times New Roman" w:cs="Times New Roman"/>
                <w:bCs/>
                <w:lang w:val="en-US"/>
              </w:rPr>
              <w:t>C</w:t>
            </w:r>
            <w:r w:rsidRPr="00EF56CB">
              <w:rPr>
                <w:rFonts w:ascii="Times New Roman" w:hAnsi="Times New Roman" w:cs="Times New Roman"/>
                <w:bCs/>
                <w:lang w:val="en-US"/>
              </w:rPr>
              <w:t>)</w:t>
            </w:r>
          </w:p>
        </w:tc>
        <w:tc>
          <w:tcPr>
            <w:tcW w:w="4788" w:type="dxa"/>
            <w:shd w:val="clear" w:color="auto" w:fill="auto"/>
            <w:tcMar>
              <w:top w:w="0" w:type="dxa"/>
              <w:left w:w="108" w:type="dxa"/>
              <w:bottom w:w="0" w:type="dxa"/>
              <w:right w:w="108" w:type="dxa"/>
            </w:tcMar>
          </w:tcPr>
          <w:p w14:paraId="7D8BA462" w14:textId="77777777" w:rsidR="004E6FC1" w:rsidRPr="00EF56CB" w:rsidRDefault="00022BD6" w:rsidP="007722AB">
            <w:pPr>
              <w:spacing w:after="0"/>
              <w:jc w:val="both"/>
              <w:rPr>
                <w:rFonts w:ascii="Times New Roman" w:hAnsi="Times New Roman" w:cs="Times New Roman"/>
                <w:bCs/>
                <w:lang w:val="en-US"/>
              </w:rPr>
            </w:pPr>
            <w:hyperlink r:id="rId85" w:history="1">
              <w:r w:rsidR="004E6FC1" w:rsidRPr="00EF56CB">
                <w:rPr>
                  <w:rStyle w:val="Hyperlink"/>
                  <w:rFonts w:ascii="Times New Roman" w:hAnsi="Times New Roman" w:cs="Times New Roman"/>
                  <w:lang w:val="en-US"/>
                </w:rPr>
                <w:t>https://fcsc.gov.ae/en-us</w:t>
              </w:r>
            </w:hyperlink>
            <w:r w:rsidR="004E6FC1" w:rsidRPr="00EF56CB">
              <w:rPr>
                <w:rFonts w:ascii="Times New Roman" w:hAnsi="Times New Roman" w:cs="Times New Roman"/>
                <w:bCs/>
                <w:lang w:val="en-US"/>
              </w:rPr>
              <w:t xml:space="preserve"> </w:t>
            </w:r>
          </w:p>
        </w:tc>
      </w:tr>
      <w:tr w:rsidR="004E6FC1" w:rsidRPr="00EF56CB" w14:paraId="290FFBF4"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14CCC01A" w14:textId="77777777" w:rsidR="004E6FC1" w:rsidRPr="00EF56CB" w:rsidRDefault="004E6FC1" w:rsidP="007722AB">
            <w:pPr>
              <w:spacing w:after="0"/>
              <w:jc w:val="both"/>
              <w:rPr>
                <w:rFonts w:ascii="Times New Roman" w:hAnsi="Times New Roman" w:cs="Times New Roman"/>
                <w:bCs/>
              </w:rPr>
            </w:pPr>
            <w:r w:rsidRPr="00EF56CB">
              <w:rPr>
                <w:rFonts w:ascii="Times New Roman" w:hAnsi="Times New Roman" w:cs="Times New Roman"/>
                <w:bCs/>
              </w:rPr>
              <w:t>Statistics Centre Abu Dhabi</w:t>
            </w:r>
          </w:p>
        </w:tc>
        <w:tc>
          <w:tcPr>
            <w:tcW w:w="4788" w:type="dxa"/>
            <w:shd w:val="clear" w:color="auto" w:fill="auto"/>
            <w:tcMar>
              <w:top w:w="0" w:type="dxa"/>
              <w:left w:w="108" w:type="dxa"/>
              <w:bottom w:w="0" w:type="dxa"/>
              <w:right w:w="108" w:type="dxa"/>
            </w:tcMar>
          </w:tcPr>
          <w:p w14:paraId="0DF2721A" w14:textId="77777777" w:rsidR="004E6FC1" w:rsidRPr="00EF56CB" w:rsidRDefault="00022BD6" w:rsidP="007722AB">
            <w:pPr>
              <w:spacing w:after="0"/>
              <w:jc w:val="both"/>
              <w:rPr>
                <w:rFonts w:ascii="Times New Roman" w:hAnsi="Times New Roman" w:cs="Times New Roman"/>
                <w:bCs/>
                <w:lang w:val="en-US"/>
              </w:rPr>
            </w:pPr>
            <w:hyperlink r:id="rId86" w:history="1">
              <w:r w:rsidR="004E6FC1" w:rsidRPr="00EF56CB">
                <w:rPr>
                  <w:rStyle w:val="Hyperlink"/>
                  <w:rFonts w:ascii="Times New Roman" w:hAnsi="Times New Roman" w:cs="Times New Roman"/>
                </w:rPr>
                <w:t>https://scad.ae</w:t>
              </w:r>
            </w:hyperlink>
            <w:r w:rsidR="004E6FC1" w:rsidRPr="00EF56CB">
              <w:rPr>
                <w:rFonts w:ascii="Times New Roman" w:hAnsi="Times New Roman" w:cs="Times New Roman"/>
                <w:bCs/>
                <w:lang w:val="en-US"/>
              </w:rPr>
              <w:t xml:space="preserve"> </w:t>
            </w:r>
          </w:p>
        </w:tc>
      </w:tr>
      <w:tr w:rsidR="004E6FC1" w:rsidRPr="00EF56CB" w14:paraId="6B90875A"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6541956E" w14:textId="77777777" w:rsidR="004E6FC1" w:rsidRPr="00EF56CB" w:rsidRDefault="004E6FC1" w:rsidP="007722AB">
            <w:pPr>
              <w:spacing w:after="0"/>
              <w:jc w:val="both"/>
              <w:rPr>
                <w:rFonts w:ascii="Times New Roman" w:hAnsi="Times New Roman" w:cs="Times New Roman"/>
                <w:bCs/>
              </w:rPr>
            </w:pPr>
            <w:r w:rsidRPr="00EF56CB">
              <w:rPr>
                <w:rFonts w:ascii="Times New Roman" w:hAnsi="Times New Roman" w:cs="Times New Roman"/>
                <w:bCs/>
              </w:rPr>
              <w:t>Dubai Statistics Centre</w:t>
            </w:r>
          </w:p>
        </w:tc>
        <w:tc>
          <w:tcPr>
            <w:tcW w:w="4788" w:type="dxa"/>
            <w:shd w:val="clear" w:color="auto" w:fill="auto"/>
            <w:tcMar>
              <w:top w:w="0" w:type="dxa"/>
              <w:left w:w="108" w:type="dxa"/>
              <w:bottom w:w="0" w:type="dxa"/>
              <w:right w:w="108" w:type="dxa"/>
            </w:tcMar>
          </w:tcPr>
          <w:p w14:paraId="200E9C57" w14:textId="77777777" w:rsidR="004E6FC1" w:rsidRPr="00EF56CB" w:rsidRDefault="00022BD6" w:rsidP="007722AB">
            <w:pPr>
              <w:spacing w:after="0"/>
              <w:jc w:val="both"/>
              <w:rPr>
                <w:rFonts w:ascii="Times New Roman" w:hAnsi="Times New Roman" w:cs="Times New Roman"/>
                <w:bCs/>
                <w:lang w:val="en-US"/>
              </w:rPr>
            </w:pPr>
            <w:hyperlink r:id="rId87" w:history="1">
              <w:r w:rsidR="004E6FC1" w:rsidRPr="00EF56CB">
                <w:rPr>
                  <w:rStyle w:val="Hyperlink"/>
                  <w:rFonts w:ascii="Times New Roman" w:hAnsi="Times New Roman" w:cs="Times New Roman"/>
                </w:rPr>
                <w:t>www.dsc.gov.ae</w:t>
              </w:r>
            </w:hyperlink>
            <w:r w:rsidR="004E6FC1" w:rsidRPr="00EF56CB">
              <w:rPr>
                <w:rFonts w:ascii="Times New Roman" w:hAnsi="Times New Roman" w:cs="Times New Roman"/>
                <w:bCs/>
                <w:lang w:val="en-US"/>
              </w:rPr>
              <w:t xml:space="preserve"> </w:t>
            </w:r>
          </w:p>
        </w:tc>
      </w:tr>
      <w:tr w:rsidR="004E6FC1" w:rsidRPr="00EF56CB" w14:paraId="0EDB02AC"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22A5680E" w14:textId="77777777" w:rsidR="004E6FC1" w:rsidRPr="00EF56CB" w:rsidRDefault="004E6FC1" w:rsidP="007722AB">
            <w:pPr>
              <w:spacing w:after="0"/>
              <w:jc w:val="both"/>
              <w:rPr>
                <w:rFonts w:ascii="Times New Roman" w:hAnsi="Times New Roman" w:cs="Times New Roman"/>
                <w:bCs/>
              </w:rPr>
            </w:pPr>
            <w:r w:rsidRPr="00EF56CB">
              <w:rPr>
                <w:rFonts w:ascii="Times New Roman" w:hAnsi="Times New Roman" w:cs="Times New Roman"/>
                <w:bCs/>
              </w:rPr>
              <w:t>Tasheel - eServices Portal</w:t>
            </w:r>
          </w:p>
        </w:tc>
        <w:tc>
          <w:tcPr>
            <w:tcW w:w="4788" w:type="dxa"/>
            <w:shd w:val="clear" w:color="auto" w:fill="auto"/>
            <w:tcMar>
              <w:top w:w="0" w:type="dxa"/>
              <w:left w:w="108" w:type="dxa"/>
              <w:bottom w:w="0" w:type="dxa"/>
              <w:right w:w="108" w:type="dxa"/>
            </w:tcMar>
          </w:tcPr>
          <w:p w14:paraId="3E95AB57" w14:textId="77777777" w:rsidR="004E6FC1" w:rsidRPr="00EF56CB" w:rsidRDefault="00022BD6" w:rsidP="007722AB">
            <w:pPr>
              <w:spacing w:after="0"/>
              <w:jc w:val="both"/>
              <w:rPr>
                <w:rFonts w:ascii="Times New Roman" w:hAnsi="Times New Roman" w:cs="Times New Roman"/>
                <w:bCs/>
              </w:rPr>
            </w:pPr>
            <w:hyperlink r:id="rId88" w:history="1">
              <w:r w:rsidR="004E6FC1" w:rsidRPr="00EF56CB">
                <w:rPr>
                  <w:rStyle w:val="Hyperlink"/>
                  <w:rFonts w:ascii="Times New Roman" w:hAnsi="Times New Roman" w:cs="Times New Roman"/>
                </w:rPr>
                <w:t>www.tasheel.ae</w:t>
              </w:r>
            </w:hyperlink>
            <w:r w:rsidR="004E6FC1" w:rsidRPr="00EF56CB">
              <w:rPr>
                <w:rFonts w:ascii="Times New Roman" w:hAnsi="Times New Roman" w:cs="Times New Roman"/>
                <w:bCs/>
                <w:lang w:val="en-GB"/>
              </w:rPr>
              <w:t xml:space="preserve"> </w:t>
            </w:r>
          </w:p>
        </w:tc>
      </w:tr>
      <w:tr w:rsidR="004E6FC1" w:rsidRPr="00EF56CB" w14:paraId="20384871"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030240B4" w14:textId="77777777" w:rsidR="004E6FC1" w:rsidRPr="00EF56CB" w:rsidRDefault="004E6FC1" w:rsidP="007722AB">
            <w:pPr>
              <w:spacing w:after="0"/>
              <w:jc w:val="both"/>
              <w:rPr>
                <w:rFonts w:ascii="Times New Roman" w:hAnsi="Times New Roman" w:cs="Times New Roman"/>
                <w:bCs/>
              </w:rPr>
            </w:pPr>
            <w:r w:rsidRPr="00EF56CB">
              <w:rPr>
                <w:rFonts w:ascii="Times New Roman" w:hAnsi="Times New Roman" w:cs="Times New Roman"/>
                <w:bCs/>
              </w:rPr>
              <w:t>Dubai Trade</w:t>
            </w:r>
          </w:p>
        </w:tc>
        <w:tc>
          <w:tcPr>
            <w:tcW w:w="4788" w:type="dxa"/>
            <w:shd w:val="clear" w:color="auto" w:fill="auto"/>
            <w:tcMar>
              <w:top w:w="0" w:type="dxa"/>
              <w:left w:w="108" w:type="dxa"/>
              <w:bottom w:w="0" w:type="dxa"/>
              <w:right w:w="108" w:type="dxa"/>
            </w:tcMar>
          </w:tcPr>
          <w:p w14:paraId="0878E00F" w14:textId="77777777" w:rsidR="004E6FC1" w:rsidRPr="00EF56CB" w:rsidRDefault="00022BD6" w:rsidP="007722AB">
            <w:pPr>
              <w:spacing w:after="0"/>
              <w:jc w:val="both"/>
              <w:rPr>
                <w:rFonts w:ascii="Times New Roman" w:hAnsi="Times New Roman" w:cs="Times New Roman"/>
                <w:bCs/>
              </w:rPr>
            </w:pPr>
            <w:hyperlink r:id="rId89" w:history="1">
              <w:r w:rsidR="004E6FC1" w:rsidRPr="00EF56CB">
                <w:rPr>
                  <w:rStyle w:val="Hyperlink"/>
                  <w:rFonts w:ascii="Times New Roman" w:hAnsi="Times New Roman" w:cs="Times New Roman"/>
                </w:rPr>
                <w:t>www.dubaitrade.ae</w:t>
              </w:r>
            </w:hyperlink>
            <w:r w:rsidR="004E6FC1" w:rsidRPr="00EF56CB">
              <w:rPr>
                <w:rFonts w:ascii="Times New Roman" w:hAnsi="Times New Roman" w:cs="Times New Roman"/>
                <w:bCs/>
                <w:lang w:val="en-GB"/>
              </w:rPr>
              <w:t xml:space="preserve"> </w:t>
            </w:r>
          </w:p>
        </w:tc>
      </w:tr>
    </w:tbl>
    <w:p w14:paraId="2A3FC8DF" w14:textId="77777777" w:rsidR="004E6FC1" w:rsidRDefault="004E6FC1" w:rsidP="004E6FC1"/>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2"/>
        <w:gridCol w:w="4788"/>
      </w:tblGrid>
      <w:tr w:rsidR="004E6FC1" w:rsidRPr="00656CE9" w14:paraId="5053B106" w14:textId="77777777" w:rsidTr="007722AB">
        <w:trPr>
          <w:trHeight w:hRule="exact" w:val="360"/>
        </w:trPr>
        <w:tc>
          <w:tcPr>
            <w:tcW w:w="9540" w:type="dxa"/>
            <w:gridSpan w:val="2"/>
            <w:shd w:val="pct15" w:color="auto" w:fill="FFFFFF"/>
            <w:vAlign w:val="center"/>
          </w:tcPr>
          <w:p w14:paraId="6C09D595" w14:textId="77777777" w:rsidR="004E6FC1" w:rsidRPr="00656CE9" w:rsidRDefault="004E6FC1" w:rsidP="007722AB">
            <w:pPr>
              <w:spacing w:after="0"/>
              <w:jc w:val="both"/>
              <w:rPr>
                <w:rFonts w:ascii="Times New Roman" w:hAnsi="Times New Roman" w:cs="Times New Roman"/>
                <w:b/>
                <w:sz w:val="24"/>
                <w:szCs w:val="24"/>
                <w:u w:val="single"/>
              </w:rPr>
            </w:pPr>
            <w:r w:rsidRPr="00656CE9">
              <w:rPr>
                <w:rFonts w:ascii="Times New Roman" w:hAnsi="Times New Roman" w:cs="Times New Roman"/>
                <w:b/>
                <w:sz w:val="24"/>
                <w:szCs w:val="24"/>
                <w:u w:val="single"/>
              </w:rPr>
              <w:t>Β) Τελωνειακές Αρχές</w:t>
            </w:r>
          </w:p>
        </w:tc>
      </w:tr>
      <w:tr w:rsidR="004E6FC1" w:rsidRPr="00D074C6" w14:paraId="78085F8B"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35BB0707" w14:textId="77777777" w:rsidR="004E6FC1" w:rsidRPr="00727AE9" w:rsidRDefault="004E6FC1" w:rsidP="007722AB">
            <w:pPr>
              <w:spacing w:after="0"/>
              <w:jc w:val="both"/>
              <w:rPr>
                <w:rFonts w:ascii="Times New Roman" w:hAnsi="Times New Roman" w:cs="Times New Roman"/>
                <w:bCs/>
              </w:rPr>
            </w:pPr>
            <w:r w:rsidRPr="00727AE9">
              <w:rPr>
                <w:rFonts w:ascii="Times New Roman" w:hAnsi="Times New Roman" w:cs="Times New Roman"/>
                <w:bCs/>
                <w:iCs/>
                <w:lang w:val="en-US"/>
              </w:rPr>
              <w:t>UAE Federal Customs Authority</w:t>
            </w:r>
          </w:p>
        </w:tc>
        <w:tc>
          <w:tcPr>
            <w:tcW w:w="4788" w:type="dxa"/>
            <w:shd w:val="clear" w:color="auto" w:fill="auto"/>
            <w:tcMar>
              <w:top w:w="0" w:type="dxa"/>
              <w:left w:w="108" w:type="dxa"/>
              <w:bottom w:w="0" w:type="dxa"/>
              <w:right w:w="108" w:type="dxa"/>
            </w:tcMar>
          </w:tcPr>
          <w:p w14:paraId="630954D5" w14:textId="77777777" w:rsidR="004E6FC1" w:rsidRPr="00727AE9" w:rsidRDefault="00022BD6" w:rsidP="007722AB">
            <w:pPr>
              <w:spacing w:after="0"/>
              <w:jc w:val="both"/>
              <w:rPr>
                <w:rFonts w:ascii="Times New Roman" w:hAnsi="Times New Roman" w:cs="Times New Roman"/>
                <w:bCs/>
              </w:rPr>
            </w:pPr>
            <w:hyperlink r:id="rId90" w:history="1">
              <w:r w:rsidR="004E6FC1" w:rsidRPr="00727AE9">
                <w:rPr>
                  <w:rStyle w:val="Hyperlink"/>
                  <w:rFonts w:ascii="Times New Roman" w:hAnsi="Times New Roman" w:cs="Times New Roman"/>
                  <w:lang w:val="en-GB"/>
                </w:rPr>
                <w:t>www.cu</w:t>
              </w:r>
              <w:bookmarkStart w:id="53" w:name="_Hlt357705553"/>
              <w:r w:rsidR="004E6FC1" w:rsidRPr="00727AE9">
                <w:rPr>
                  <w:rStyle w:val="Hyperlink"/>
                  <w:rFonts w:ascii="Times New Roman" w:hAnsi="Times New Roman" w:cs="Times New Roman"/>
                  <w:lang w:val="en-GB"/>
                </w:rPr>
                <w:t>s</w:t>
              </w:r>
              <w:bookmarkEnd w:id="53"/>
              <w:r w:rsidR="004E6FC1" w:rsidRPr="00727AE9">
                <w:rPr>
                  <w:rStyle w:val="Hyperlink"/>
                  <w:rFonts w:ascii="Times New Roman" w:hAnsi="Times New Roman" w:cs="Times New Roman"/>
                  <w:lang w:val="en-GB"/>
                </w:rPr>
                <w:t>tom</w:t>
              </w:r>
              <w:bookmarkStart w:id="54" w:name="_Hlt357705528"/>
              <w:r w:rsidR="004E6FC1" w:rsidRPr="00727AE9">
                <w:rPr>
                  <w:rStyle w:val="Hyperlink"/>
                  <w:rFonts w:ascii="Times New Roman" w:hAnsi="Times New Roman" w:cs="Times New Roman"/>
                  <w:lang w:val="en-GB"/>
                </w:rPr>
                <w:t>s</w:t>
              </w:r>
              <w:bookmarkEnd w:id="54"/>
              <w:r w:rsidR="004E6FC1" w:rsidRPr="00727AE9">
                <w:rPr>
                  <w:rStyle w:val="Hyperlink"/>
                  <w:rFonts w:ascii="Times New Roman" w:hAnsi="Times New Roman" w:cs="Times New Roman"/>
                  <w:lang w:val="en-GB"/>
                </w:rPr>
                <w:t>.ae</w:t>
              </w:r>
            </w:hyperlink>
            <w:r w:rsidR="004E6FC1" w:rsidRPr="00727AE9">
              <w:rPr>
                <w:rFonts w:ascii="Times New Roman" w:hAnsi="Times New Roman" w:cs="Times New Roman"/>
                <w:bCs/>
                <w:lang w:val="en-GB"/>
              </w:rPr>
              <w:t xml:space="preserve"> </w:t>
            </w:r>
          </w:p>
        </w:tc>
      </w:tr>
      <w:tr w:rsidR="004E6FC1" w:rsidRPr="00022BD6" w14:paraId="7787C631"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74465479" w14:textId="77777777" w:rsidR="004E6FC1" w:rsidRPr="00727AE9" w:rsidRDefault="004E6FC1" w:rsidP="007722AB">
            <w:pPr>
              <w:spacing w:after="0"/>
              <w:jc w:val="both"/>
              <w:rPr>
                <w:rFonts w:ascii="Times New Roman" w:hAnsi="Times New Roman" w:cs="Times New Roman"/>
                <w:bCs/>
                <w:lang w:val="en-US"/>
              </w:rPr>
            </w:pPr>
            <w:r w:rsidRPr="00727AE9">
              <w:rPr>
                <w:rFonts w:ascii="Times New Roman" w:hAnsi="Times New Roman" w:cs="Times New Roman"/>
                <w:bCs/>
                <w:iCs/>
                <w:lang w:val="en-US"/>
              </w:rPr>
              <w:t>Abu Dhabi Customs</w:t>
            </w:r>
          </w:p>
        </w:tc>
        <w:tc>
          <w:tcPr>
            <w:tcW w:w="4788" w:type="dxa"/>
            <w:shd w:val="clear" w:color="auto" w:fill="auto"/>
            <w:tcMar>
              <w:top w:w="0" w:type="dxa"/>
              <w:left w:w="108" w:type="dxa"/>
              <w:bottom w:w="0" w:type="dxa"/>
              <w:right w:w="108" w:type="dxa"/>
            </w:tcMar>
          </w:tcPr>
          <w:p w14:paraId="4923A543" w14:textId="77777777" w:rsidR="004E6FC1" w:rsidRPr="00727AE9" w:rsidRDefault="00022BD6" w:rsidP="007722AB">
            <w:pPr>
              <w:spacing w:after="0"/>
              <w:jc w:val="both"/>
              <w:rPr>
                <w:rFonts w:ascii="Times New Roman" w:hAnsi="Times New Roman" w:cs="Times New Roman"/>
                <w:bCs/>
                <w:lang w:val="en-US"/>
              </w:rPr>
            </w:pPr>
            <w:hyperlink r:id="rId91" w:history="1">
              <w:r w:rsidR="004E6FC1" w:rsidRPr="00727AE9">
                <w:rPr>
                  <w:rStyle w:val="Hyperlink"/>
                  <w:rFonts w:ascii="Times New Roman" w:hAnsi="Times New Roman" w:cs="Times New Roman"/>
                  <w:lang w:val="en-US"/>
                </w:rPr>
                <w:t>http://www.adcustoms.gov.ae</w:t>
              </w:r>
            </w:hyperlink>
          </w:p>
        </w:tc>
      </w:tr>
      <w:tr w:rsidR="004E6FC1" w:rsidRPr="00D074C6" w14:paraId="13B16CB1"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2ECB3140" w14:textId="77777777" w:rsidR="004E6FC1" w:rsidRPr="00727AE9" w:rsidRDefault="004E6FC1" w:rsidP="007722AB">
            <w:pPr>
              <w:spacing w:after="0"/>
              <w:jc w:val="both"/>
              <w:rPr>
                <w:rFonts w:ascii="Times New Roman" w:hAnsi="Times New Roman" w:cs="Times New Roman"/>
                <w:bCs/>
              </w:rPr>
            </w:pPr>
            <w:r w:rsidRPr="00727AE9">
              <w:rPr>
                <w:rFonts w:ascii="Times New Roman" w:hAnsi="Times New Roman" w:cs="Times New Roman"/>
                <w:bCs/>
                <w:iCs/>
                <w:lang w:val="en-US"/>
              </w:rPr>
              <w:t>Dubai Customs Authority</w:t>
            </w:r>
          </w:p>
        </w:tc>
        <w:tc>
          <w:tcPr>
            <w:tcW w:w="4788" w:type="dxa"/>
            <w:shd w:val="clear" w:color="auto" w:fill="auto"/>
            <w:tcMar>
              <w:top w:w="0" w:type="dxa"/>
              <w:left w:w="108" w:type="dxa"/>
              <w:bottom w:w="0" w:type="dxa"/>
              <w:right w:w="108" w:type="dxa"/>
            </w:tcMar>
          </w:tcPr>
          <w:p w14:paraId="442D2A02" w14:textId="77777777" w:rsidR="004E6FC1" w:rsidRPr="00727AE9" w:rsidRDefault="00022BD6" w:rsidP="007722AB">
            <w:pPr>
              <w:spacing w:after="0"/>
              <w:jc w:val="both"/>
              <w:rPr>
                <w:rFonts w:ascii="Times New Roman" w:hAnsi="Times New Roman" w:cs="Times New Roman"/>
                <w:bCs/>
                <w:lang w:val="en-US"/>
              </w:rPr>
            </w:pPr>
            <w:hyperlink r:id="rId92" w:history="1">
              <w:r w:rsidR="004E6FC1" w:rsidRPr="00727AE9">
                <w:rPr>
                  <w:rStyle w:val="Hyperlink"/>
                  <w:rFonts w:ascii="Times New Roman" w:hAnsi="Times New Roman" w:cs="Times New Roman"/>
                </w:rPr>
                <w:t>www.dubaicustoms.gov.ae</w:t>
              </w:r>
            </w:hyperlink>
            <w:r w:rsidR="004E6FC1" w:rsidRPr="00727AE9">
              <w:rPr>
                <w:rFonts w:ascii="Times New Roman" w:hAnsi="Times New Roman" w:cs="Times New Roman"/>
                <w:bCs/>
                <w:lang w:val="en-US"/>
              </w:rPr>
              <w:t xml:space="preserve"> </w:t>
            </w:r>
          </w:p>
        </w:tc>
      </w:tr>
      <w:tr w:rsidR="004E6FC1" w:rsidRPr="00D074C6" w14:paraId="033DC997"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18A36D3D" w14:textId="77777777" w:rsidR="004E6FC1" w:rsidRPr="00727AE9" w:rsidRDefault="004E6FC1" w:rsidP="007722AB">
            <w:pPr>
              <w:spacing w:after="0"/>
              <w:jc w:val="both"/>
              <w:rPr>
                <w:rFonts w:ascii="Times New Roman" w:hAnsi="Times New Roman" w:cs="Times New Roman"/>
                <w:bCs/>
                <w:lang w:val="en-US"/>
              </w:rPr>
            </w:pPr>
            <w:r w:rsidRPr="00727AE9">
              <w:rPr>
                <w:rFonts w:ascii="Times New Roman" w:hAnsi="Times New Roman" w:cs="Times New Roman"/>
                <w:bCs/>
                <w:iCs/>
                <w:lang w:val="en-GB"/>
              </w:rPr>
              <w:t>Sharjah Department of Seaports &amp; Customs</w:t>
            </w:r>
          </w:p>
        </w:tc>
        <w:tc>
          <w:tcPr>
            <w:tcW w:w="4788" w:type="dxa"/>
            <w:shd w:val="clear" w:color="auto" w:fill="auto"/>
            <w:tcMar>
              <w:top w:w="0" w:type="dxa"/>
              <w:left w:w="108" w:type="dxa"/>
              <w:bottom w:w="0" w:type="dxa"/>
              <w:right w:w="108" w:type="dxa"/>
            </w:tcMar>
          </w:tcPr>
          <w:p w14:paraId="50A273B5" w14:textId="77777777" w:rsidR="004E6FC1" w:rsidRPr="00727AE9" w:rsidRDefault="00022BD6" w:rsidP="007722AB">
            <w:pPr>
              <w:spacing w:after="0"/>
              <w:jc w:val="both"/>
              <w:rPr>
                <w:rFonts w:ascii="Times New Roman" w:hAnsi="Times New Roman" w:cs="Times New Roman"/>
                <w:bCs/>
              </w:rPr>
            </w:pPr>
            <w:hyperlink r:id="rId93" w:history="1">
              <w:r w:rsidR="004E6FC1" w:rsidRPr="00727AE9">
                <w:rPr>
                  <w:rStyle w:val="Hyperlink"/>
                  <w:rFonts w:ascii="Times New Roman" w:hAnsi="Times New Roman" w:cs="Times New Roman"/>
                  <w:lang w:val="en-GB"/>
                </w:rPr>
                <w:t>www.sharjah</w:t>
              </w:r>
              <w:bookmarkStart w:id="55" w:name="_Hlt357705560"/>
              <w:r w:rsidR="004E6FC1" w:rsidRPr="00727AE9">
                <w:rPr>
                  <w:rStyle w:val="Hyperlink"/>
                  <w:rFonts w:ascii="Times New Roman" w:hAnsi="Times New Roman" w:cs="Times New Roman"/>
                  <w:lang w:val="en-GB"/>
                </w:rPr>
                <w:t>c</w:t>
              </w:r>
              <w:bookmarkEnd w:id="55"/>
              <w:r w:rsidR="004E6FC1" w:rsidRPr="00727AE9">
                <w:rPr>
                  <w:rStyle w:val="Hyperlink"/>
                  <w:rFonts w:ascii="Times New Roman" w:hAnsi="Times New Roman" w:cs="Times New Roman"/>
                  <w:lang w:val="en-GB"/>
                </w:rPr>
                <w:t>ustoms.gov.ae</w:t>
              </w:r>
            </w:hyperlink>
            <w:r w:rsidR="004E6FC1" w:rsidRPr="00727AE9">
              <w:rPr>
                <w:rFonts w:ascii="Times New Roman" w:hAnsi="Times New Roman" w:cs="Times New Roman"/>
                <w:bCs/>
                <w:lang w:val="en-GB"/>
              </w:rPr>
              <w:t xml:space="preserve"> </w:t>
            </w:r>
          </w:p>
        </w:tc>
      </w:tr>
      <w:tr w:rsidR="004E6FC1" w:rsidRPr="00D074C6" w14:paraId="0DE66DE8"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746B495E" w14:textId="77777777" w:rsidR="004E6FC1" w:rsidRPr="00727AE9" w:rsidRDefault="004E6FC1" w:rsidP="007722AB">
            <w:pPr>
              <w:spacing w:after="0"/>
              <w:jc w:val="both"/>
              <w:rPr>
                <w:rFonts w:ascii="Times New Roman" w:hAnsi="Times New Roman" w:cs="Times New Roman"/>
                <w:bCs/>
              </w:rPr>
            </w:pPr>
            <w:r w:rsidRPr="00727AE9">
              <w:rPr>
                <w:rFonts w:ascii="Times New Roman" w:hAnsi="Times New Roman" w:cs="Times New Roman"/>
                <w:bCs/>
                <w:iCs/>
                <w:lang w:val="fr-FR"/>
              </w:rPr>
              <w:t>Khalifa Port</w:t>
            </w:r>
          </w:p>
        </w:tc>
        <w:tc>
          <w:tcPr>
            <w:tcW w:w="4788" w:type="dxa"/>
            <w:shd w:val="clear" w:color="auto" w:fill="auto"/>
            <w:tcMar>
              <w:top w:w="0" w:type="dxa"/>
              <w:left w:w="108" w:type="dxa"/>
              <w:bottom w:w="0" w:type="dxa"/>
              <w:right w:w="108" w:type="dxa"/>
            </w:tcMar>
          </w:tcPr>
          <w:p w14:paraId="52EA9F19" w14:textId="77777777" w:rsidR="004E6FC1" w:rsidRPr="00727AE9" w:rsidRDefault="00022BD6" w:rsidP="007722AB">
            <w:pPr>
              <w:spacing w:after="0"/>
              <w:jc w:val="both"/>
              <w:rPr>
                <w:rFonts w:ascii="Times New Roman" w:hAnsi="Times New Roman" w:cs="Times New Roman"/>
                <w:bCs/>
              </w:rPr>
            </w:pPr>
            <w:hyperlink r:id="rId94" w:history="1">
              <w:r w:rsidR="004E6FC1" w:rsidRPr="00727AE9">
                <w:rPr>
                  <w:rStyle w:val="Hyperlink"/>
                  <w:rFonts w:ascii="Times New Roman" w:hAnsi="Times New Roman" w:cs="Times New Roman"/>
                </w:rPr>
                <w:t>https://www.adports.ae/core-business/ports-terminals/ports/khalifa-port/</w:t>
              </w:r>
            </w:hyperlink>
          </w:p>
        </w:tc>
      </w:tr>
      <w:tr w:rsidR="004E6FC1" w:rsidRPr="00D074C6" w14:paraId="7E8C97DF"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5C131F5E" w14:textId="77777777" w:rsidR="004E6FC1" w:rsidRPr="00727AE9" w:rsidRDefault="004E6FC1" w:rsidP="007722AB">
            <w:pPr>
              <w:spacing w:after="0"/>
              <w:jc w:val="both"/>
              <w:rPr>
                <w:rFonts w:ascii="Times New Roman" w:hAnsi="Times New Roman" w:cs="Times New Roman"/>
                <w:bCs/>
              </w:rPr>
            </w:pPr>
            <w:r w:rsidRPr="00727AE9">
              <w:rPr>
                <w:rFonts w:ascii="Times New Roman" w:hAnsi="Times New Roman" w:cs="Times New Roman"/>
                <w:bCs/>
                <w:iCs/>
                <w:lang w:val="fr-FR"/>
              </w:rPr>
              <w:t>Port Zayed</w:t>
            </w:r>
          </w:p>
        </w:tc>
        <w:tc>
          <w:tcPr>
            <w:tcW w:w="4788" w:type="dxa"/>
            <w:shd w:val="clear" w:color="auto" w:fill="auto"/>
            <w:tcMar>
              <w:top w:w="0" w:type="dxa"/>
              <w:left w:w="108" w:type="dxa"/>
              <w:bottom w:w="0" w:type="dxa"/>
              <w:right w:w="108" w:type="dxa"/>
            </w:tcMar>
          </w:tcPr>
          <w:p w14:paraId="64A73AEE" w14:textId="77777777" w:rsidR="004E6FC1" w:rsidRPr="00727AE9" w:rsidRDefault="00022BD6" w:rsidP="007722AB">
            <w:pPr>
              <w:spacing w:after="0"/>
              <w:jc w:val="both"/>
              <w:rPr>
                <w:rFonts w:ascii="Times New Roman" w:hAnsi="Times New Roman" w:cs="Times New Roman"/>
                <w:bCs/>
              </w:rPr>
            </w:pPr>
            <w:hyperlink r:id="rId95" w:history="1">
              <w:r w:rsidR="004E6FC1" w:rsidRPr="00727AE9">
                <w:rPr>
                  <w:rStyle w:val="Hyperlink"/>
                  <w:rFonts w:ascii="Times New Roman" w:hAnsi="Times New Roman" w:cs="Times New Roman"/>
                </w:rPr>
                <w:t>https://www.adports.ae/core-business/ports-terminals/ports/zayed-port/</w:t>
              </w:r>
            </w:hyperlink>
          </w:p>
        </w:tc>
      </w:tr>
      <w:tr w:rsidR="004E6FC1" w:rsidRPr="00022BD6" w14:paraId="6714C74E"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72AB36ED" w14:textId="77777777" w:rsidR="004E6FC1" w:rsidRPr="00727AE9" w:rsidRDefault="004E6FC1" w:rsidP="007722AB">
            <w:pPr>
              <w:spacing w:after="0"/>
              <w:jc w:val="both"/>
              <w:rPr>
                <w:rFonts w:ascii="Times New Roman" w:hAnsi="Times New Roman" w:cs="Times New Roman"/>
                <w:bCs/>
                <w:lang w:val="en-US"/>
              </w:rPr>
            </w:pPr>
            <w:r w:rsidRPr="00727AE9">
              <w:rPr>
                <w:rFonts w:ascii="Times New Roman" w:hAnsi="Times New Roman" w:cs="Times New Roman"/>
                <w:bCs/>
                <w:iCs/>
                <w:lang w:val="en-US"/>
              </w:rPr>
              <w:t>Jebel Ali Port Authority (DP WORLD)</w:t>
            </w:r>
          </w:p>
        </w:tc>
        <w:tc>
          <w:tcPr>
            <w:tcW w:w="4788" w:type="dxa"/>
            <w:shd w:val="clear" w:color="auto" w:fill="auto"/>
            <w:tcMar>
              <w:top w:w="0" w:type="dxa"/>
              <w:left w:w="108" w:type="dxa"/>
              <w:bottom w:w="0" w:type="dxa"/>
              <w:right w:w="108" w:type="dxa"/>
            </w:tcMar>
          </w:tcPr>
          <w:p w14:paraId="2D67181C" w14:textId="77777777" w:rsidR="004E6FC1" w:rsidRPr="00727AE9" w:rsidRDefault="00022BD6" w:rsidP="007722AB">
            <w:pPr>
              <w:spacing w:after="0"/>
              <w:jc w:val="both"/>
              <w:rPr>
                <w:rFonts w:ascii="Times New Roman" w:hAnsi="Times New Roman" w:cs="Times New Roman"/>
                <w:bCs/>
                <w:lang w:val="en-US"/>
              </w:rPr>
            </w:pPr>
            <w:hyperlink r:id="rId96" w:history="1">
              <w:r w:rsidR="004E6FC1" w:rsidRPr="00727AE9">
                <w:rPr>
                  <w:rStyle w:val="Hyperlink"/>
                  <w:rFonts w:ascii="Times New Roman" w:hAnsi="Times New Roman" w:cs="Times New Roman"/>
                  <w:lang w:val="en-US"/>
                </w:rPr>
                <w:t>https://www.dpworld.com/en/uae/ports-and-terminals/jebel-ali-port</w:t>
              </w:r>
            </w:hyperlink>
            <w:r w:rsidR="004E6FC1" w:rsidRPr="00727AE9">
              <w:rPr>
                <w:rFonts w:ascii="Times New Roman" w:hAnsi="Times New Roman" w:cs="Times New Roman"/>
                <w:bCs/>
                <w:lang w:val="en-US"/>
              </w:rPr>
              <w:t xml:space="preserve"> </w:t>
            </w:r>
          </w:p>
        </w:tc>
      </w:tr>
      <w:tr w:rsidR="004E6FC1" w:rsidRPr="00727AE9" w14:paraId="564E3094"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232EF313" w14:textId="77777777" w:rsidR="004E6FC1" w:rsidRPr="00727AE9" w:rsidRDefault="004E6FC1" w:rsidP="007722AB">
            <w:pPr>
              <w:spacing w:after="0"/>
              <w:jc w:val="both"/>
              <w:rPr>
                <w:rFonts w:ascii="Times New Roman" w:hAnsi="Times New Roman" w:cs="Times New Roman"/>
                <w:bCs/>
                <w:lang w:val="en-GB"/>
              </w:rPr>
            </w:pPr>
            <w:r w:rsidRPr="00727AE9">
              <w:rPr>
                <w:rFonts w:ascii="Times New Roman" w:hAnsi="Times New Roman" w:cs="Times New Roman"/>
                <w:bCs/>
                <w:lang w:val="en-GB"/>
              </w:rPr>
              <w:t>Abu Dhabi International Airport</w:t>
            </w:r>
          </w:p>
        </w:tc>
        <w:tc>
          <w:tcPr>
            <w:tcW w:w="4788" w:type="dxa"/>
            <w:shd w:val="clear" w:color="auto" w:fill="auto"/>
            <w:tcMar>
              <w:top w:w="0" w:type="dxa"/>
              <w:left w:w="108" w:type="dxa"/>
              <w:bottom w:w="0" w:type="dxa"/>
              <w:right w:w="108" w:type="dxa"/>
            </w:tcMar>
          </w:tcPr>
          <w:p w14:paraId="5B2FDD6B" w14:textId="77777777" w:rsidR="004E6FC1" w:rsidRPr="00727AE9" w:rsidRDefault="00022BD6" w:rsidP="007722AB">
            <w:pPr>
              <w:spacing w:after="0"/>
              <w:jc w:val="both"/>
              <w:rPr>
                <w:rFonts w:ascii="Times New Roman" w:hAnsi="Times New Roman" w:cs="Times New Roman"/>
                <w:bCs/>
              </w:rPr>
            </w:pPr>
            <w:hyperlink r:id="rId97" w:history="1">
              <w:r w:rsidR="004E6FC1" w:rsidRPr="00727AE9">
                <w:rPr>
                  <w:rStyle w:val="Hyperlink"/>
                  <w:rFonts w:ascii="Times New Roman" w:hAnsi="Times New Roman" w:cs="Times New Roman"/>
                  <w:lang w:val="en-GB"/>
                </w:rPr>
                <w:t>www.abudhabiairport.ae</w:t>
              </w:r>
            </w:hyperlink>
            <w:r w:rsidR="004E6FC1" w:rsidRPr="00727AE9">
              <w:rPr>
                <w:rFonts w:ascii="Times New Roman" w:hAnsi="Times New Roman" w:cs="Times New Roman"/>
                <w:bCs/>
                <w:lang w:val="en-GB"/>
              </w:rPr>
              <w:t xml:space="preserve"> </w:t>
            </w:r>
          </w:p>
        </w:tc>
      </w:tr>
      <w:tr w:rsidR="004E6FC1" w:rsidRPr="00727AE9" w14:paraId="7D3CA355" w14:textId="77777777" w:rsidTr="007722AB">
        <w:tblPrEx>
          <w:tblCellMar>
            <w:left w:w="10" w:type="dxa"/>
            <w:right w:w="10" w:type="dxa"/>
          </w:tblCellMar>
          <w:tblLook w:val="04A0" w:firstRow="1" w:lastRow="0" w:firstColumn="1" w:lastColumn="0" w:noHBand="0" w:noVBand="1"/>
        </w:tblPrEx>
        <w:trPr>
          <w:trHeight w:val="397"/>
        </w:trPr>
        <w:tc>
          <w:tcPr>
            <w:tcW w:w="4752" w:type="dxa"/>
            <w:shd w:val="clear" w:color="auto" w:fill="auto"/>
            <w:tcMar>
              <w:top w:w="0" w:type="dxa"/>
              <w:left w:w="108" w:type="dxa"/>
              <w:bottom w:w="0" w:type="dxa"/>
              <w:right w:w="108" w:type="dxa"/>
            </w:tcMar>
          </w:tcPr>
          <w:p w14:paraId="10AA8E63" w14:textId="77777777" w:rsidR="004E6FC1" w:rsidRPr="00727AE9" w:rsidRDefault="004E6FC1" w:rsidP="007722AB">
            <w:pPr>
              <w:spacing w:after="0"/>
              <w:jc w:val="both"/>
              <w:rPr>
                <w:rFonts w:ascii="Times New Roman" w:hAnsi="Times New Roman" w:cs="Times New Roman"/>
                <w:bCs/>
              </w:rPr>
            </w:pPr>
            <w:r w:rsidRPr="00727AE9">
              <w:rPr>
                <w:rFonts w:ascii="Times New Roman" w:hAnsi="Times New Roman" w:cs="Times New Roman"/>
                <w:bCs/>
                <w:iCs/>
                <w:lang w:val="en-US"/>
              </w:rPr>
              <w:t>Dubai Airports</w:t>
            </w:r>
          </w:p>
        </w:tc>
        <w:tc>
          <w:tcPr>
            <w:tcW w:w="4788" w:type="dxa"/>
            <w:shd w:val="clear" w:color="auto" w:fill="auto"/>
            <w:tcMar>
              <w:top w:w="0" w:type="dxa"/>
              <w:left w:w="108" w:type="dxa"/>
              <w:bottom w:w="0" w:type="dxa"/>
              <w:right w:w="108" w:type="dxa"/>
            </w:tcMar>
          </w:tcPr>
          <w:p w14:paraId="7A251FAA" w14:textId="77777777" w:rsidR="004E6FC1" w:rsidRPr="00727AE9" w:rsidRDefault="00022BD6" w:rsidP="007722AB">
            <w:pPr>
              <w:spacing w:after="0"/>
              <w:jc w:val="both"/>
              <w:rPr>
                <w:rFonts w:ascii="Times New Roman" w:hAnsi="Times New Roman" w:cs="Times New Roman"/>
                <w:bCs/>
                <w:lang w:val="en-GB"/>
              </w:rPr>
            </w:pPr>
            <w:hyperlink r:id="rId98" w:history="1">
              <w:r w:rsidR="004E6FC1" w:rsidRPr="00727AE9">
                <w:rPr>
                  <w:rStyle w:val="Hyperlink"/>
                  <w:rFonts w:ascii="Times New Roman" w:hAnsi="Times New Roman" w:cs="Times New Roman"/>
                </w:rPr>
                <w:t>http://www.dubaiairports.ae/</w:t>
              </w:r>
            </w:hyperlink>
            <w:r w:rsidR="004E6FC1" w:rsidRPr="00727AE9">
              <w:rPr>
                <w:rFonts w:ascii="Times New Roman" w:hAnsi="Times New Roman" w:cs="Times New Roman"/>
                <w:bCs/>
                <w:lang w:val="en-GB"/>
              </w:rPr>
              <w:t xml:space="preserve"> </w:t>
            </w:r>
          </w:p>
        </w:tc>
      </w:tr>
    </w:tbl>
    <w:p w14:paraId="1A52E759" w14:textId="77777777" w:rsidR="004E6FC1" w:rsidRPr="00D074C6" w:rsidRDefault="004E6FC1" w:rsidP="004E6FC1">
      <w:pPr>
        <w:spacing w:after="0"/>
        <w:jc w:val="both"/>
        <w:rPr>
          <w:rFonts w:ascii="Times New Roman" w:hAnsi="Times New Roman" w:cs="Times New Roman"/>
          <w:bCs/>
          <w:sz w:val="24"/>
          <w:szCs w:val="24"/>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572"/>
      </w:tblGrid>
      <w:tr w:rsidR="004E6FC1" w:rsidRPr="00656CE9" w14:paraId="091540D3" w14:textId="77777777" w:rsidTr="007722AB">
        <w:trPr>
          <w:trHeight w:hRule="exact" w:val="360"/>
        </w:trPr>
        <w:tc>
          <w:tcPr>
            <w:tcW w:w="9540" w:type="dxa"/>
            <w:gridSpan w:val="2"/>
            <w:shd w:val="pct15" w:color="auto" w:fill="FFFFFF"/>
            <w:vAlign w:val="center"/>
          </w:tcPr>
          <w:p w14:paraId="7981F15C" w14:textId="77777777" w:rsidR="004E6FC1" w:rsidRPr="00656CE9" w:rsidRDefault="004E6FC1" w:rsidP="007722AB">
            <w:pPr>
              <w:spacing w:after="0"/>
              <w:jc w:val="both"/>
              <w:rPr>
                <w:rFonts w:ascii="Times New Roman" w:hAnsi="Times New Roman" w:cs="Times New Roman"/>
                <w:b/>
                <w:sz w:val="24"/>
                <w:szCs w:val="24"/>
                <w:u w:val="single"/>
              </w:rPr>
            </w:pPr>
            <w:r w:rsidRPr="00656CE9">
              <w:rPr>
                <w:rFonts w:ascii="Times New Roman" w:hAnsi="Times New Roman" w:cs="Times New Roman"/>
                <w:b/>
                <w:bCs/>
                <w:sz w:val="24"/>
                <w:szCs w:val="24"/>
                <w:u w:val="single"/>
              </w:rPr>
              <w:br w:type="page"/>
            </w:r>
            <w:r w:rsidRPr="00656CE9">
              <w:rPr>
                <w:rFonts w:ascii="Times New Roman" w:hAnsi="Times New Roman" w:cs="Times New Roman"/>
                <w:b/>
                <w:bCs/>
                <w:sz w:val="24"/>
                <w:szCs w:val="24"/>
                <w:u w:val="single"/>
              </w:rPr>
              <w:br w:type="page"/>
              <w:t xml:space="preserve">Γ) </w:t>
            </w:r>
            <w:r w:rsidRPr="00656CE9">
              <w:rPr>
                <w:rFonts w:ascii="Times New Roman" w:hAnsi="Times New Roman" w:cs="Times New Roman"/>
                <w:b/>
                <w:sz w:val="24"/>
                <w:szCs w:val="24"/>
                <w:u w:val="single"/>
              </w:rPr>
              <w:t>Εμπορικά και Βιομηχανικά Επιμελητήρια</w:t>
            </w:r>
          </w:p>
        </w:tc>
      </w:tr>
      <w:tr w:rsidR="004E6FC1" w:rsidRPr="00656CE9" w14:paraId="5565C1B8" w14:textId="77777777" w:rsidTr="007722AB">
        <w:tblPrEx>
          <w:tblCellMar>
            <w:left w:w="10" w:type="dxa"/>
            <w:right w:w="10" w:type="dxa"/>
          </w:tblCellMar>
          <w:tblLook w:val="04A0" w:firstRow="1" w:lastRow="0" w:firstColumn="1" w:lastColumn="0" w:noHBand="0" w:noVBand="1"/>
        </w:tblPrEx>
        <w:trPr>
          <w:trHeight w:val="397"/>
        </w:trPr>
        <w:tc>
          <w:tcPr>
            <w:tcW w:w="4968" w:type="dxa"/>
            <w:shd w:val="clear" w:color="auto" w:fill="auto"/>
            <w:tcMar>
              <w:top w:w="0" w:type="dxa"/>
              <w:left w:w="108" w:type="dxa"/>
              <w:bottom w:w="0" w:type="dxa"/>
              <w:right w:w="108" w:type="dxa"/>
            </w:tcMar>
          </w:tcPr>
          <w:p w14:paraId="0F648F6F" w14:textId="77777777" w:rsidR="004E6FC1" w:rsidRPr="00656CE9" w:rsidRDefault="004E6FC1" w:rsidP="007722AB">
            <w:pPr>
              <w:spacing w:after="0"/>
              <w:jc w:val="both"/>
              <w:rPr>
                <w:rFonts w:ascii="Times New Roman" w:hAnsi="Times New Roman" w:cs="Times New Roman"/>
                <w:bCs/>
                <w:iCs/>
                <w:lang w:val="en-US"/>
              </w:rPr>
            </w:pPr>
            <w:r w:rsidRPr="00656CE9">
              <w:rPr>
                <w:rFonts w:ascii="Times New Roman" w:hAnsi="Times New Roman" w:cs="Times New Roman"/>
                <w:bCs/>
                <w:iCs/>
                <w:lang w:val="en-US"/>
              </w:rPr>
              <w:t>Federation of UAE Chambers</w:t>
            </w:r>
          </w:p>
        </w:tc>
        <w:tc>
          <w:tcPr>
            <w:tcW w:w="4572" w:type="dxa"/>
            <w:shd w:val="clear" w:color="auto" w:fill="auto"/>
            <w:tcMar>
              <w:top w:w="0" w:type="dxa"/>
              <w:left w:w="108" w:type="dxa"/>
              <w:bottom w:w="0" w:type="dxa"/>
              <w:right w:w="108" w:type="dxa"/>
            </w:tcMar>
          </w:tcPr>
          <w:p w14:paraId="1FDF5251" w14:textId="77777777" w:rsidR="004E6FC1" w:rsidRPr="00656CE9" w:rsidRDefault="00022BD6" w:rsidP="007722AB">
            <w:pPr>
              <w:spacing w:after="0"/>
              <w:jc w:val="both"/>
              <w:rPr>
                <w:rFonts w:ascii="Times New Roman" w:hAnsi="Times New Roman" w:cs="Times New Roman"/>
                <w:bCs/>
              </w:rPr>
            </w:pPr>
            <w:hyperlink r:id="rId99" w:history="1">
              <w:r w:rsidR="004E6FC1" w:rsidRPr="00656CE9">
                <w:rPr>
                  <w:rStyle w:val="Hyperlink"/>
                  <w:rFonts w:ascii="Times New Roman" w:hAnsi="Times New Roman" w:cs="Times New Roman"/>
                  <w:lang w:val="en-GB"/>
                </w:rPr>
                <w:t>http://www.fcc</w:t>
              </w:r>
              <w:bookmarkStart w:id="56" w:name="_Hlt357705646"/>
              <w:bookmarkStart w:id="57" w:name="_Hlt357705647"/>
              <w:r w:rsidR="004E6FC1" w:rsidRPr="00656CE9">
                <w:rPr>
                  <w:rStyle w:val="Hyperlink"/>
                  <w:rFonts w:ascii="Times New Roman" w:hAnsi="Times New Roman" w:cs="Times New Roman"/>
                  <w:lang w:val="en-GB"/>
                </w:rPr>
                <w:t>i</w:t>
              </w:r>
              <w:bookmarkEnd w:id="56"/>
              <w:bookmarkEnd w:id="57"/>
              <w:r w:rsidR="004E6FC1" w:rsidRPr="00656CE9">
                <w:rPr>
                  <w:rStyle w:val="Hyperlink"/>
                  <w:rFonts w:ascii="Times New Roman" w:hAnsi="Times New Roman" w:cs="Times New Roman"/>
                  <w:lang w:val="en-GB"/>
                </w:rPr>
                <w:t>uae.ae/</w:t>
              </w:r>
            </w:hyperlink>
            <w:r w:rsidR="004E6FC1" w:rsidRPr="00656CE9">
              <w:rPr>
                <w:rFonts w:ascii="Times New Roman" w:hAnsi="Times New Roman" w:cs="Times New Roman"/>
                <w:bCs/>
                <w:u w:val="single"/>
              </w:rPr>
              <w:t xml:space="preserve"> </w:t>
            </w:r>
          </w:p>
        </w:tc>
      </w:tr>
      <w:tr w:rsidR="004E6FC1" w:rsidRPr="00656CE9" w14:paraId="7DD410EC" w14:textId="77777777" w:rsidTr="007722AB">
        <w:tblPrEx>
          <w:tblCellMar>
            <w:left w:w="10" w:type="dxa"/>
            <w:right w:w="10" w:type="dxa"/>
          </w:tblCellMar>
          <w:tblLook w:val="04A0" w:firstRow="1" w:lastRow="0" w:firstColumn="1" w:lastColumn="0" w:noHBand="0" w:noVBand="1"/>
        </w:tblPrEx>
        <w:trPr>
          <w:trHeight w:val="397"/>
        </w:trPr>
        <w:tc>
          <w:tcPr>
            <w:tcW w:w="4968" w:type="dxa"/>
            <w:shd w:val="clear" w:color="auto" w:fill="auto"/>
            <w:tcMar>
              <w:top w:w="0" w:type="dxa"/>
              <w:left w:w="108" w:type="dxa"/>
              <w:bottom w:w="0" w:type="dxa"/>
              <w:right w:w="108" w:type="dxa"/>
            </w:tcMar>
          </w:tcPr>
          <w:p w14:paraId="3BC596F2" w14:textId="77777777" w:rsidR="004E6FC1" w:rsidRPr="00656CE9" w:rsidRDefault="004E6FC1" w:rsidP="007722AB">
            <w:pPr>
              <w:spacing w:after="0"/>
              <w:jc w:val="both"/>
              <w:rPr>
                <w:rFonts w:ascii="Times New Roman" w:hAnsi="Times New Roman" w:cs="Times New Roman"/>
                <w:bCs/>
                <w:iCs/>
                <w:lang w:val="en-US"/>
              </w:rPr>
            </w:pPr>
            <w:r w:rsidRPr="00656CE9">
              <w:rPr>
                <w:rFonts w:ascii="Times New Roman" w:hAnsi="Times New Roman" w:cs="Times New Roman"/>
                <w:bCs/>
                <w:iCs/>
                <w:lang w:val="en-US"/>
              </w:rPr>
              <w:t xml:space="preserve">Abu Dhabi Chamber </w:t>
            </w:r>
          </w:p>
        </w:tc>
        <w:tc>
          <w:tcPr>
            <w:tcW w:w="4572" w:type="dxa"/>
            <w:shd w:val="clear" w:color="auto" w:fill="auto"/>
            <w:tcMar>
              <w:top w:w="0" w:type="dxa"/>
              <w:left w:w="108" w:type="dxa"/>
              <w:bottom w:w="0" w:type="dxa"/>
              <w:right w:w="108" w:type="dxa"/>
            </w:tcMar>
          </w:tcPr>
          <w:p w14:paraId="263C995B" w14:textId="77777777" w:rsidR="004E6FC1" w:rsidRPr="00656CE9" w:rsidRDefault="00022BD6" w:rsidP="007722AB">
            <w:pPr>
              <w:spacing w:after="0"/>
              <w:jc w:val="both"/>
              <w:rPr>
                <w:rFonts w:ascii="Times New Roman" w:hAnsi="Times New Roman" w:cs="Times New Roman"/>
                <w:bCs/>
              </w:rPr>
            </w:pPr>
            <w:hyperlink r:id="rId100" w:history="1">
              <w:r w:rsidR="004E6FC1" w:rsidRPr="00656CE9">
                <w:rPr>
                  <w:rStyle w:val="Hyperlink"/>
                  <w:rFonts w:ascii="Times New Roman" w:hAnsi="Times New Roman" w:cs="Times New Roman"/>
                  <w:lang w:val="en-GB"/>
                </w:rPr>
                <w:t>www.a</w:t>
              </w:r>
              <w:bookmarkStart w:id="58" w:name="_Hlt357705648"/>
              <w:r w:rsidR="004E6FC1" w:rsidRPr="00656CE9">
                <w:rPr>
                  <w:rStyle w:val="Hyperlink"/>
                  <w:rFonts w:ascii="Times New Roman" w:hAnsi="Times New Roman" w:cs="Times New Roman"/>
                  <w:lang w:val="en-GB"/>
                </w:rPr>
                <w:t>b</w:t>
              </w:r>
              <w:bookmarkEnd w:id="58"/>
              <w:r w:rsidR="004E6FC1" w:rsidRPr="00656CE9">
                <w:rPr>
                  <w:rStyle w:val="Hyperlink"/>
                  <w:rFonts w:ascii="Times New Roman" w:hAnsi="Times New Roman" w:cs="Times New Roman"/>
                  <w:lang w:val="en-GB"/>
                </w:rPr>
                <w:t>udhabichamber.ae/</w:t>
              </w:r>
            </w:hyperlink>
            <w:r w:rsidR="004E6FC1" w:rsidRPr="00656CE9">
              <w:rPr>
                <w:rFonts w:ascii="Times New Roman" w:hAnsi="Times New Roman" w:cs="Times New Roman"/>
                <w:bCs/>
                <w:u w:val="single"/>
              </w:rPr>
              <w:t xml:space="preserve"> </w:t>
            </w:r>
          </w:p>
        </w:tc>
      </w:tr>
      <w:tr w:rsidR="004E6FC1" w:rsidRPr="00656CE9" w14:paraId="57021253" w14:textId="77777777" w:rsidTr="007722AB">
        <w:tblPrEx>
          <w:tblCellMar>
            <w:left w:w="10" w:type="dxa"/>
            <w:right w:w="10" w:type="dxa"/>
          </w:tblCellMar>
          <w:tblLook w:val="04A0" w:firstRow="1" w:lastRow="0" w:firstColumn="1" w:lastColumn="0" w:noHBand="0" w:noVBand="1"/>
        </w:tblPrEx>
        <w:trPr>
          <w:trHeight w:val="397"/>
        </w:trPr>
        <w:tc>
          <w:tcPr>
            <w:tcW w:w="4968" w:type="dxa"/>
            <w:shd w:val="clear" w:color="auto" w:fill="auto"/>
            <w:tcMar>
              <w:top w:w="0" w:type="dxa"/>
              <w:left w:w="108" w:type="dxa"/>
              <w:bottom w:w="0" w:type="dxa"/>
              <w:right w:w="108" w:type="dxa"/>
            </w:tcMar>
          </w:tcPr>
          <w:p w14:paraId="4B9A17E8" w14:textId="77777777" w:rsidR="004E6FC1" w:rsidRPr="00656CE9" w:rsidRDefault="004E6FC1" w:rsidP="007722AB">
            <w:pPr>
              <w:spacing w:after="0"/>
              <w:jc w:val="both"/>
              <w:rPr>
                <w:rFonts w:ascii="Times New Roman" w:hAnsi="Times New Roman" w:cs="Times New Roman"/>
                <w:bCs/>
                <w:iCs/>
                <w:lang w:val="en-US"/>
              </w:rPr>
            </w:pPr>
            <w:r w:rsidRPr="00656CE9">
              <w:rPr>
                <w:rFonts w:ascii="Times New Roman" w:hAnsi="Times New Roman" w:cs="Times New Roman"/>
                <w:bCs/>
                <w:iCs/>
                <w:lang w:val="en-US"/>
              </w:rPr>
              <w:t xml:space="preserve">Dubai Chamber </w:t>
            </w:r>
          </w:p>
        </w:tc>
        <w:tc>
          <w:tcPr>
            <w:tcW w:w="4572" w:type="dxa"/>
            <w:shd w:val="clear" w:color="auto" w:fill="auto"/>
            <w:tcMar>
              <w:top w:w="0" w:type="dxa"/>
              <w:left w:w="108" w:type="dxa"/>
              <w:bottom w:w="0" w:type="dxa"/>
              <w:right w:w="108" w:type="dxa"/>
            </w:tcMar>
          </w:tcPr>
          <w:p w14:paraId="719407F4" w14:textId="77777777" w:rsidR="004E6FC1" w:rsidRPr="00656CE9" w:rsidRDefault="00022BD6" w:rsidP="007722AB">
            <w:pPr>
              <w:spacing w:after="0"/>
              <w:jc w:val="both"/>
              <w:rPr>
                <w:rFonts w:ascii="Times New Roman" w:hAnsi="Times New Roman" w:cs="Times New Roman"/>
                <w:bCs/>
                <w:lang w:val="en-US"/>
              </w:rPr>
            </w:pPr>
            <w:hyperlink r:id="rId101" w:history="1">
              <w:r w:rsidR="004E6FC1" w:rsidRPr="00656CE9">
                <w:rPr>
                  <w:rStyle w:val="Hyperlink"/>
                  <w:rFonts w:ascii="Times New Roman" w:hAnsi="Times New Roman" w:cs="Times New Roman"/>
                </w:rPr>
                <w:t>http://www.dubaichamber.com/</w:t>
              </w:r>
            </w:hyperlink>
            <w:r w:rsidR="004E6FC1" w:rsidRPr="00656CE9">
              <w:rPr>
                <w:rFonts w:ascii="Times New Roman" w:hAnsi="Times New Roman" w:cs="Times New Roman"/>
                <w:bCs/>
                <w:lang w:val="en-US"/>
              </w:rPr>
              <w:t xml:space="preserve"> </w:t>
            </w:r>
          </w:p>
        </w:tc>
      </w:tr>
      <w:tr w:rsidR="004E6FC1" w:rsidRPr="00656CE9" w14:paraId="1F24BD12" w14:textId="77777777" w:rsidTr="007722AB">
        <w:tblPrEx>
          <w:tblCellMar>
            <w:left w:w="10" w:type="dxa"/>
            <w:right w:w="10" w:type="dxa"/>
          </w:tblCellMar>
          <w:tblLook w:val="04A0" w:firstRow="1" w:lastRow="0" w:firstColumn="1" w:lastColumn="0" w:noHBand="0" w:noVBand="1"/>
        </w:tblPrEx>
        <w:trPr>
          <w:trHeight w:val="397"/>
        </w:trPr>
        <w:tc>
          <w:tcPr>
            <w:tcW w:w="4968" w:type="dxa"/>
            <w:shd w:val="clear" w:color="auto" w:fill="auto"/>
            <w:tcMar>
              <w:top w:w="0" w:type="dxa"/>
              <w:left w:w="108" w:type="dxa"/>
              <w:bottom w:w="0" w:type="dxa"/>
              <w:right w:w="108" w:type="dxa"/>
            </w:tcMar>
          </w:tcPr>
          <w:p w14:paraId="0585EF92" w14:textId="77777777" w:rsidR="004E6FC1" w:rsidRPr="00656CE9" w:rsidRDefault="004E6FC1" w:rsidP="007722AB">
            <w:pPr>
              <w:spacing w:after="0"/>
              <w:jc w:val="both"/>
              <w:rPr>
                <w:rFonts w:ascii="Times New Roman" w:hAnsi="Times New Roman" w:cs="Times New Roman"/>
                <w:bCs/>
                <w:iCs/>
                <w:lang w:val="en-US"/>
              </w:rPr>
            </w:pPr>
            <w:r w:rsidRPr="00656CE9">
              <w:rPr>
                <w:rFonts w:ascii="Times New Roman" w:hAnsi="Times New Roman" w:cs="Times New Roman"/>
                <w:bCs/>
                <w:iCs/>
                <w:lang w:val="en-US"/>
              </w:rPr>
              <w:t xml:space="preserve">Sharjah Chamber </w:t>
            </w:r>
          </w:p>
        </w:tc>
        <w:tc>
          <w:tcPr>
            <w:tcW w:w="4572" w:type="dxa"/>
            <w:shd w:val="clear" w:color="auto" w:fill="auto"/>
            <w:tcMar>
              <w:top w:w="0" w:type="dxa"/>
              <w:left w:w="108" w:type="dxa"/>
              <w:bottom w:w="0" w:type="dxa"/>
              <w:right w:w="108" w:type="dxa"/>
            </w:tcMar>
          </w:tcPr>
          <w:p w14:paraId="7E44595A" w14:textId="77777777" w:rsidR="004E6FC1" w:rsidRPr="00656CE9" w:rsidRDefault="00022BD6" w:rsidP="007722AB">
            <w:pPr>
              <w:spacing w:after="0"/>
              <w:jc w:val="both"/>
              <w:rPr>
                <w:rFonts w:ascii="Times New Roman" w:hAnsi="Times New Roman" w:cs="Times New Roman"/>
                <w:bCs/>
              </w:rPr>
            </w:pPr>
            <w:hyperlink r:id="rId102" w:history="1">
              <w:r w:rsidR="004E6FC1" w:rsidRPr="00656CE9">
                <w:rPr>
                  <w:rStyle w:val="Hyperlink"/>
                  <w:rFonts w:ascii="Times New Roman" w:hAnsi="Times New Roman" w:cs="Times New Roman"/>
                  <w:lang w:val="en-GB"/>
                </w:rPr>
                <w:t>www.sharjah.gov.ae/</w:t>
              </w:r>
            </w:hyperlink>
          </w:p>
        </w:tc>
      </w:tr>
      <w:tr w:rsidR="004E6FC1" w:rsidRPr="00656CE9" w14:paraId="57DA569D" w14:textId="77777777" w:rsidTr="007722AB">
        <w:tblPrEx>
          <w:tblCellMar>
            <w:left w:w="10" w:type="dxa"/>
            <w:right w:w="10" w:type="dxa"/>
          </w:tblCellMar>
          <w:tblLook w:val="04A0" w:firstRow="1" w:lastRow="0" w:firstColumn="1" w:lastColumn="0" w:noHBand="0" w:noVBand="1"/>
        </w:tblPrEx>
        <w:trPr>
          <w:trHeight w:val="397"/>
        </w:trPr>
        <w:tc>
          <w:tcPr>
            <w:tcW w:w="49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761A41" w14:textId="77777777" w:rsidR="004E6FC1" w:rsidRPr="00656CE9" w:rsidRDefault="004E6FC1" w:rsidP="007722AB">
            <w:pPr>
              <w:spacing w:after="0"/>
              <w:jc w:val="both"/>
              <w:rPr>
                <w:rFonts w:ascii="Times New Roman" w:hAnsi="Times New Roman" w:cs="Times New Roman"/>
                <w:bCs/>
                <w:iCs/>
                <w:lang w:val="en-US"/>
              </w:rPr>
            </w:pPr>
            <w:r w:rsidRPr="00656CE9">
              <w:rPr>
                <w:rFonts w:ascii="Times New Roman" w:hAnsi="Times New Roman" w:cs="Times New Roman"/>
                <w:bCs/>
                <w:iCs/>
                <w:lang w:val="en-US"/>
              </w:rPr>
              <w:t xml:space="preserve">Fujairah Chamber </w:t>
            </w:r>
          </w:p>
        </w:tc>
        <w:tc>
          <w:tcPr>
            <w:tcW w:w="45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DA0ABA" w14:textId="77777777" w:rsidR="004E6FC1" w:rsidRPr="00656CE9" w:rsidRDefault="00022BD6" w:rsidP="007722AB">
            <w:pPr>
              <w:spacing w:after="0"/>
              <w:jc w:val="both"/>
              <w:rPr>
                <w:rFonts w:ascii="Times New Roman" w:hAnsi="Times New Roman" w:cs="Times New Roman"/>
                <w:bCs/>
              </w:rPr>
            </w:pPr>
            <w:hyperlink r:id="rId103" w:history="1">
              <w:r w:rsidR="004E6FC1" w:rsidRPr="00656CE9">
                <w:rPr>
                  <w:rStyle w:val="Hyperlink"/>
                  <w:rFonts w:ascii="Times New Roman" w:hAnsi="Times New Roman" w:cs="Times New Roman"/>
                </w:rPr>
                <w:t>www.fujcci.ae/</w:t>
              </w:r>
            </w:hyperlink>
            <w:r w:rsidR="004E6FC1" w:rsidRPr="00656CE9">
              <w:rPr>
                <w:rFonts w:ascii="Times New Roman" w:hAnsi="Times New Roman" w:cs="Times New Roman"/>
                <w:bCs/>
              </w:rPr>
              <w:t xml:space="preserve"> </w:t>
            </w:r>
          </w:p>
        </w:tc>
      </w:tr>
      <w:tr w:rsidR="004E6FC1" w:rsidRPr="00656CE9" w14:paraId="1551FFC0" w14:textId="77777777" w:rsidTr="007722AB">
        <w:tblPrEx>
          <w:tblCellMar>
            <w:left w:w="10" w:type="dxa"/>
            <w:right w:w="10" w:type="dxa"/>
          </w:tblCellMar>
          <w:tblLook w:val="04A0" w:firstRow="1" w:lastRow="0" w:firstColumn="1" w:lastColumn="0" w:noHBand="0" w:noVBand="1"/>
        </w:tblPrEx>
        <w:trPr>
          <w:trHeight w:val="397"/>
        </w:trPr>
        <w:tc>
          <w:tcPr>
            <w:tcW w:w="4968" w:type="dxa"/>
            <w:shd w:val="clear" w:color="auto" w:fill="auto"/>
            <w:tcMar>
              <w:top w:w="0" w:type="dxa"/>
              <w:left w:w="108" w:type="dxa"/>
              <w:bottom w:w="0" w:type="dxa"/>
              <w:right w:w="108" w:type="dxa"/>
            </w:tcMar>
          </w:tcPr>
          <w:p w14:paraId="6E39A517" w14:textId="77777777" w:rsidR="004E6FC1" w:rsidRPr="00656CE9" w:rsidRDefault="004E6FC1" w:rsidP="007722AB">
            <w:pPr>
              <w:spacing w:after="0"/>
              <w:jc w:val="both"/>
              <w:rPr>
                <w:rFonts w:ascii="Times New Roman" w:hAnsi="Times New Roman" w:cs="Times New Roman"/>
                <w:bCs/>
                <w:iCs/>
                <w:lang w:val="en-GB"/>
              </w:rPr>
            </w:pPr>
            <w:r w:rsidRPr="00656CE9">
              <w:rPr>
                <w:rFonts w:ascii="Times New Roman" w:hAnsi="Times New Roman" w:cs="Times New Roman"/>
                <w:bCs/>
                <w:iCs/>
                <w:lang w:val="en-GB"/>
              </w:rPr>
              <w:t>Ras Al Khaimah Chamber</w:t>
            </w:r>
          </w:p>
        </w:tc>
        <w:tc>
          <w:tcPr>
            <w:tcW w:w="4572" w:type="dxa"/>
            <w:shd w:val="clear" w:color="auto" w:fill="auto"/>
            <w:tcMar>
              <w:top w:w="0" w:type="dxa"/>
              <w:left w:w="108" w:type="dxa"/>
              <w:bottom w:w="0" w:type="dxa"/>
              <w:right w:w="108" w:type="dxa"/>
            </w:tcMar>
          </w:tcPr>
          <w:p w14:paraId="347F5E50" w14:textId="77777777" w:rsidR="004E6FC1" w:rsidRPr="00656CE9" w:rsidRDefault="00022BD6" w:rsidP="007722AB">
            <w:pPr>
              <w:spacing w:after="0"/>
              <w:jc w:val="both"/>
              <w:rPr>
                <w:rFonts w:ascii="Times New Roman" w:hAnsi="Times New Roman" w:cs="Times New Roman"/>
                <w:bCs/>
              </w:rPr>
            </w:pPr>
            <w:hyperlink r:id="rId104" w:history="1">
              <w:r w:rsidR="004E6FC1" w:rsidRPr="00656CE9">
                <w:rPr>
                  <w:rStyle w:val="Hyperlink"/>
                  <w:rFonts w:ascii="Times New Roman" w:hAnsi="Times New Roman" w:cs="Times New Roman"/>
                  <w:lang w:val="en-GB"/>
                </w:rPr>
                <w:t>www.rakchamber.ae</w:t>
              </w:r>
            </w:hyperlink>
            <w:r w:rsidR="004E6FC1" w:rsidRPr="00656CE9">
              <w:rPr>
                <w:rFonts w:ascii="Times New Roman" w:hAnsi="Times New Roman" w:cs="Times New Roman"/>
                <w:bCs/>
                <w:u w:val="single"/>
              </w:rPr>
              <w:t xml:space="preserve"> </w:t>
            </w:r>
          </w:p>
        </w:tc>
      </w:tr>
      <w:tr w:rsidR="004E6FC1" w:rsidRPr="00656CE9" w14:paraId="12148BD2" w14:textId="77777777" w:rsidTr="007722AB">
        <w:tblPrEx>
          <w:tblCellMar>
            <w:left w:w="10" w:type="dxa"/>
            <w:right w:w="10" w:type="dxa"/>
          </w:tblCellMar>
          <w:tblLook w:val="04A0" w:firstRow="1" w:lastRow="0" w:firstColumn="1" w:lastColumn="0" w:noHBand="0" w:noVBand="1"/>
        </w:tblPrEx>
        <w:trPr>
          <w:trHeight w:val="397"/>
        </w:trPr>
        <w:tc>
          <w:tcPr>
            <w:tcW w:w="4968" w:type="dxa"/>
            <w:shd w:val="clear" w:color="auto" w:fill="auto"/>
            <w:tcMar>
              <w:top w:w="0" w:type="dxa"/>
              <w:left w:w="108" w:type="dxa"/>
              <w:bottom w:w="0" w:type="dxa"/>
              <w:right w:w="108" w:type="dxa"/>
            </w:tcMar>
          </w:tcPr>
          <w:p w14:paraId="05CD36AE" w14:textId="77777777" w:rsidR="004E6FC1" w:rsidRPr="00656CE9" w:rsidRDefault="004E6FC1" w:rsidP="007722AB">
            <w:pPr>
              <w:spacing w:after="0"/>
              <w:jc w:val="both"/>
              <w:rPr>
                <w:rFonts w:ascii="Times New Roman" w:hAnsi="Times New Roman" w:cs="Times New Roman"/>
                <w:bCs/>
                <w:iCs/>
                <w:lang w:val="en-US"/>
              </w:rPr>
            </w:pPr>
            <w:r w:rsidRPr="00656CE9">
              <w:rPr>
                <w:rFonts w:ascii="Times New Roman" w:hAnsi="Times New Roman" w:cs="Times New Roman"/>
                <w:bCs/>
                <w:iCs/>
                <w:lang w:val="en-US"/>
              </w:rPr>
              <w:t>Ajman Chamber</w:t>
            </w:r>
          </w:p>
        </w:tc>
        <w:tc>
          <w:tcPr>
            <w:tcW w:w="4572" w:type="dxa"/>
            <w:shd w:val="clear" w:color="auto" w:fill="auto"/>
            <w:tcMar>
              <w:top w:w="0" w:type="dxa"/>
              <w:left w:w="108" w:type="dxa"/>
              <w:bottom w:w="0" w:type="dxa"/>
              <w:right w:w="108" w:type="dxa"/>
            </w:tcMar>
          </w:tcPr>
          <w:p w14:paraId="2CB76117" w14:textId="77777777" w:rsidR="004E6FC1" w:rsidRPr="00656CE9" w:rsidRDefault="00022BD6" w:rsidP="007722AB">
            <w:pPr>
              <w:spacing w:after="0"/>
              <w:jc w:val="both"/>
              <w:rPr>
                <w:rFonts w:ascii="Times New Roman" w:hAnsi="Times New Roman" w:cs="Times New Roman"/>
                <w:bCs/>
              </w:rPr>
            </w:pPr>
            <w:hyperlink r:id="rId105" w:history="1">
              <w:r w:rsidR="004E6FC1" w:rsidRPr="00656CE9">
                <w:rPr>
                  <w:rStyle w:val="Hyperlink"/>
                  <w:rFonts w:ascii="Times New Roman" w:hAnsi="Times New Roman" w:cs="Times New Roman"/>
                  <w:lang w:val="en-GB"/>
                </w:rPr>
                <w:t>www.ajmanchamber.ae</w:t>
              </w:r>
            </w:hyperlink>
            <w:r w:rsidR="004E6FC1" w:rsidRPr="00656CE9">
              <w:rPr>
                <w:rFonts w:ascii="Times New Roman" w:hAnsi="Times New Roman" w:cs="Times New Roman"/>
                <w:bCs/>
                <w:u w:val="single"/>
              </w:rPr>
              <w:t xml:space="preserve"> </w:t>
            </w:r>
          </w:p>
        </w:tc>
      </w:tr>
      <w:tr w:rsidR="004E6FC1" w:rsidRPr="00656CE9" w14:paraId="1B67F0AD" w14:textId="77777777" w:rsidTr="007722AB">
        <w:tblPrEx>
          <w:tblCellMar>
            <w:left w:w="10" w:type="dxa"/>
            <w:right w:w="10" w:type="dxa"/>
          </w:tblCellMar>
          <w:tblLook w:val="04A0" w:firstRow="1" w:lastRow="0" w:firstColumn="1" w:lastColumn="0" w:noHBand="0" w:noVBand="1"/>
        </w:tblPrEx>
        <w:trPr>
          <w:trHeight w:val="397"/>
        </w:trPr>
        <w:tc>
          <w:tcPr>
            <w:tcW w:w="4968" w:type="dxa"/>
            <w:shd w:val="clear" w:color="auto" w:fill="auto"/>
            <w:tcMar>
              <w:top w:w="0" w:type="dxa"/>
              <w:left w:w="108" w:type="dxa"/>
              <w:bottom w:w="0" w:type="dxa"/>
              <w:right w:w="108" w:type="dxa"/>
            </w:tcMar>
          </w:tcPr>
          <w:p w14:paraId="3944B04F" w14:textId="77777777" w:rsidR="004E6FC1" w:rsidRPr="00656CE9" w:rsidRDefault="004E6FC1" w:rsidP="007722AB">
            <w:pPr>
              <w:spacing w:after="0"/>
              <w:jc w:val="both"/>
              <w:rPr>
                <w:rFonts w:ascii="Times New Roman" w:hAnsi="Times New Roman" w:cs="Times New Roman"/>
                <w:bCs/>
              </w:rPr>
            </w:pPr>
            <w:r w:rsidRPr="00656CE9">
              <w:rPr>
                <w:rFonts w:ascii="Times New Roman" w:hAnsi="Times New Roman" w:cs="Times New Roman"/>
                <w:bCs/>
                <w:iCs/>
                <w:lang w:val="en-US"/>
              </w:rPr>
              <w:t xml:space="preserve">Umm Al Quwain </w:t>
            </w:r>
          </w:p>
        </w:tc>
        <w:tc>
          <w:tcPr>
            <w:tcW w:w="4572" w:type="dxa"/>
            <w:shd w:val="clear" w:color="auto" w:fill="auto"/>
            <w:tcMar>
              <w:top w:w="0" w:type="dxa"/>
              <w:left w:w="108" w:type="dxa"/>
              <w:bottom w:w="0" w:type="dxa"/>
              <w:right w:w="108" w:type="dxa"/>
            </w:tcMar>
          </w:tcPr>
          <w:p w14:paraId="1B2CA94F" w14:textId="77777777" w:rsidR="004E6FC1" w:rsidRPr="00656CE9" w:rsidRDefault="00022BD6" w:rsidP="007722AB">
            <w:pPr>
              <w:spacing w:after="0"/>
              <w:jc w:val="both"/>
              <w:rPr>
                <w:rFonts w:ascii="Times New Roman" w:hAnsi="Times New Roman" w:cs="Times New Roman"/>
                <w:bCs/>
              </w:rPr>
            </w:pPr>
            <w:hyperlink r:id="rId106" w:history="1">
              <w:r w:rsidR="004E6FC1" w:rsidRPr="00656CE9">
                <w:rPr>
                  <w:rStyle w:val="Hyperlink"/>
                  <w:rFonts w:ascii="Times New Roman" w:hAnsi="Times New Roman" w:cs="Times New Roman"/>
                  <w:lang w:val="en-GB"/>
                </w:rPr>
                <w:t>http://www.uaqchamber.ae/</w:t>
              </w:r>
            </w:hyperlink>
            <w:r w:rsidR="004E6FC1" w:rsidRPr="00656CE9">
              <w:rPr>
                <w:rFonts w:ascii="Times New Roman" w:hAnsi="Times New Roman" w:cs="Times New Roman"/>
                <w:bCs/>
                <w:u w:val="single"/>
                <w:lang w:val="en-GB"/>
              </w:rPr>
              <w:t xml:space="preserve"> </w:t>
            </w:r>
          </w:p>
        </w:tc>
      </w:tr>
    </w:tbl>
    <w:p w14:paraId="7D88E06E" w14:textId="77777777" w:rsidR="004E6FC1" w:rsidRPr="00D074C6" w:rsidRDefault="004E6FC1" w:rsidP="004E6FC1">
      <w:pPr>
        <w:spacing w:after="0"/>
        <w:jc w:val="both"/>
        <w:rPr>
          <w:rFonts w:ascii="Times New Roman" w:hAnsi="Times New Roman" w:cs="Times New Roman"/>
          <w:bCs/>
          <w:sz w:val="24"/>
          <w:szCs w:val="24"/>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4590"/>
      </w:tblGrid>
      <w:tr w:rsidR="004E6FC1" w:rsidRPr="00656CE9" w14:paraId="121D539D" w14:textId="77777777" w:rsidTr="007722AB">
        <w:trPr>
          <w:trHeight w:hRule="exact" w:val="360"/>
        </w:trPr>
        <w:tc>
          <w:tcPr>
            <w:tcW w:w="9540" w:type="dxa"/>
            <w:gridSpan w:val="2"/>
            <w:shd w:val="pct15" w:color="auto" w:fill="FFFFFF"/>
            <w:vAlign w:val="center"/>
          </w:tcPr>
          <w:p w14:paraId="0716D606" w14:textId="77777777" w:rsidR="004E6FC1" w:rsidRPr="00656CE9" w:rsidRDefault="004E6FC1" w:rsidP="007722AB">
            <w:pPr>
              <w:spacing w:after="0"/>
              <w:jc w:val="both"/>
              <w:rPr>
                <w:rFonts w:ascii="Times New Roman" w:hAnsi="Times New Roman" w:cs="Times New Roman"/>
                <w:b/>
                <w:sz w:val="24"/>
                <w:szCs w:val="24"/>
                <w:u w:val="single"/>
              </w:rPr>
            </w:pPr>
            <w:r w:rsidRPr="00656CE9">
              <w:rPr>
                <w:rFonts w:ascii="Times New Roman" w:hAnsi="Times New Roman" w:cs="Times New Roman"/>
                <w:b/>
                <w:bCs/>
                <w:sz w:val="24"/>
                <w:szCs w:val="24"/>
                <w:u w:val="single"/>
              </w:rPr>
              <w:br w:type="page"/>
            </w:r>
            <w:r w:rsidRPr="00656CE9">
              <w:rPr>
                <w:rFonts w:ascii="Times New Roman" w:hAnsi="Times New Roman" w:cs="Times New Roman"/>
                <w:b/>
                <w:bCs/>
                <w:sz w:val="24"/>
                <w:szCs w:val="24"/>
                <w:u w:val="single"/>
              </w:rPr>
              <w:br w:type="page"/>
              <w:t xml:space="preserve">Δ) </w:t>
            </w:r>
            <w:r w:rsidRPr="00656CE9">
              <w:rPr>
                <w:rFonts w:ascii="Times New Roman" w:hAnsi="Times New Roman" w:cs="Times New Roman"/>
                <w:b/>
                <w:sz w:val="24"/>
                <w:szCs w:val="24"/>
                <w:u w:val="single"/>
              </w:rPr>
              <w:t xml:space="preserve">Περιφέρειες &amp; Αρχές </w:t>
            </w:r>
            <w:r>
              <w:rPr>
                <w:rFonts w:ascii="Times New Roman" w:hAnsi="Times New Roman" w:cs="Times New Roman"/>
                <w:b/>
                <w:sz w:val="24"/>
                <w:szCs w:val="24"/>
                <w:u w:val="single"/>
              </w:rPr>
              <w:t>έ</w:t>
            </w:r>
            <w:r w:rsidRPr="00656CE9">
              <w:rPr>
                <w:rFonts w:ascii="Times New Roman" w:hAnsi="Times New Roman" w:cs="Times New Roman"/>
                <w:b/>
                <w:sz w:val="24"/>
                <w:szCs w:val="24"/>
                <w:u w:val="single"/>
              </w:rPr>
              <w:t xml:space="preserve">κδοσης </w:t>
            </w:r>
            <w:r>
              <w:rPr>
                <w:rFonts w:ascii="Times New Roman" w:hAnsi="Times New Roman" w:cs="Times New Roman"/>
                <w:b/>
                <w:sz w:val="24"/>
                <w:szCs w:val="24"/>
                <w:u w:val="single"/>
              </w:rPr>
              <w:t>ε</w:t>
            </w:r>
            <w:r w:rsidRPr="00656CE9">
              <w:rPr>
                <w:rFonts w:ascii="Times New Roman" w:hAnsi="Times New Roman" w:cs="Times New Roman"/>
                <w:b/>
                <w:sz w:val="24"/>
                <w:szCs w:val="24"/>
                <w:u w:val="single"/>
              </w:rPr>
              <w:t xml:space="preserve">μπορικών </w:t>
            </w:r>
            <w:r>
              <w:rPr>
                <w:rFonts w:ascii="Times New Roman" w:hAnsi="Times New Roman" w:cs="Times New Roman"/>
                <w:b/>
                <w:sz w:val="24"/>
                <w:szCs w:val="24"/>
                <w:u w:val="single"/>
              </w:rPr>
              <w:t>α</w:t>
            </w:r>
            <w:r w:rsidRPr="00656CE9">
              <w:rPr>
                <w:rFonts w:ascii="Times New Roman" w:hAnsi="Times New Roman" w:cs="Times New Roman"/>
                <w:b/>
                <w:sz w:val="24"/>
                <w:szCs w:val="24"/>
                <w:u w:val="single"/>
              </w:rPr>
              <w:t xml:space="preserve">δειών (Business </w:t>
            </w:r>
            <w:r>
              <w:rPr>
                <w:rFonts w:ascii="Times New Roman" w:hAnsi="Times New Roman" w:cs="Times New Roman"/>
                <w:b/>
                <w:sz w:val="24"/>
                <w:szCs w:val="24"/>
                <w:u w:val="single"/>
                <w:lang w:val="en-US"/>
              </w:rPr>
              <w:t>l</w:t>
            </w:r>
            <w:r w:rsidRPr="00656CE9">
              <w:rPr>
                <w:rFonts w:ascii="Times New Roman" w:hAnsi="Times New Roman" w:cs="Times New Roman"/>
                <w:b/>
                <w:sz w:val="24"/>
                <w:szCs w:val="24"/>
                <w:u w:val="single"/>
              </w:rPr>
              <w:t>icensing)</w:t>
            </w:r>
          </w:p>
        </w:tc>
      </w:tr>
      <w:tr w:rsidR="004E6FC1" w:rsidRPr="00022BD6" w14:paraId="5BA008ED" w14:textId="77777777" w:rsidTr="007722AB">
        <w:tblPrEx>
          <w:tblCellMar>
            <w:left w:w="10" w:type="dxa"/>
            <w:right w:w="10" w:type="dxa"/>
          </w:tblCellMar>
          <w:tblLook w:val="04A0" w:firstRow="1" w:lastRow="0" w:firstColumn="1" w:lastColumn="0" w:noHBand="0" w:noVBand="1"/>
        </w:tblPrEx>
        <w:trPr>
          <w:trHeight w:val="397"/>
        </w:trPr>
        <w:tc>
          <w:tcPr>
            <w:tcW w:w="4950" w:type="dxa"/>
            <w:shd w:val="clear" w:color="auto" w:fill="auto"/>
            <w:tcMar>
              <w:top w:w="0" w:type="dxa"/>
              <w:left w:w="108" w:type="dxa"/>
              <w:bottom w:w="0" w:type="dxa"/>
              <w:right w:w="108" w:type="dxa"/>
            </w:tcMar>
          </w:tcPr>
          <w:p w14:paraId="0A1D60B1" w14:textId="77777777" w:rsidR="004E6FC1" w:rsidRPr="00C045E1" w:rsidRDefault="004E6FC1" w:rsidP="007722AB">
            <w:pPr>
              <w:spacing w:after="0"/>
              <w:jc w:val="both"/>
              <w:rPr>
                <w:rFonts w:ascii="Times New Roman" w:hAnsi="Times New Roman" w:cs="Times New Roman"/>
                <w:bCs/>
              </w:rPr>
            </w:pPr>
            <w:r w:rsidRPr="00C045E1">
              <w:rPr>
                <w:rFonts w:ascii="Times New Roman" w:hAnsi="Times New Roman" w:cs="Times New Roman"/>
                <w:bCs/>
                <w:lang w:val="en-GB"/>
              </w:rPr>
              <w:t>Abu</w:t>
            </w:r>
            <w:r w:rsidRPr="00C045E1">
              <w:rPr>
                <w:rFonts w:ascii="Times New Roman" w:hAnsi="Times New Roman" w:cs="Times New Roman"/>
                <w:bCs/>
              </w:rPr>
              <w:t xml:space="preserve"> </w:t>
            </w:r>
            <w:r w:rsidRPr="00C045E1">
              <w:rPr>
                <w:rFonts w:ascii="Times New Roman" w:hAnsi="Times New Roman" w:cs="Times New Roman"/>
                <w:bCs/>
                <w:lang w:val="en-GB"/>
              </w:rPr>
              <w:t>Dhabi</w:t>
            </w:r>
            <w:r w:rsidRPr="00C045E1">
              <w:rPr>
                <w:rFonts w:ascii="Times New Roman" w:hAnsi="Times New Roman" w:cs="Times New Roman"/>
                <w:bCs/>
              </w:rPr>
              <w:t xml:space="preserve"> </w:t>
            </w:r>
            <w:r w:rsidRPr="00C045E1">
              <w:rPr>
                <w:rFonts w:ascii="Times New Roman" w:hAnsi="Times New Roman" w:cs="Times New Roman"/>
                <w:bCs/>
                <w:lang w:val="en-GB"/>
              </w:rPr>
              <w:t>Municipality</w:t>
            </w:r>
          </w:p>
          <w:p w14:paraId="241311B0" w14:textId="77777777" w:rsidR="004E6FC1" w:rsidRPr="00C045E1" w:rsidRDefault="004E6FC1" w:rsidP="007722AB">
            <w:pPr>
              <w:spacing w:after="0"/>
              <w:jc w:val="both"/>
              <w:rPr>
                <w:rFonts w:ascii="Times New Roman" w:hAnsi="Times New Roman" w:cs="Times New Roman"/>
                <w:bCs/>
                <w:iCs/>
                <w:lang w:val="en-US"/>
              </w:rPr>
            </w:pPr>
          </w:p>
        </w:tc>
        <w:tc>
          <w:tcPr>
            <w:tcW w:w="4590" w:type="dxa"/>
            <w:shd w:val="clear" w:color="auto" w:fill="auto"/>
            <w:tcMar>
              <w:top w:w="0" w:type="dxa"/>
              <w:left w:w="108" w:type="dxa"/>
              <w:bottom w:w="0" w:type="dxa"/>
              <w:right w:w="108" w:type="dxa"/>
            </w:tcMar>
          </w:tcPr>
          <w:p w14:paraId="0A9A46F0" w14:textId="77777777" w:rsidR="004E6FC1" w:rsidRPr="00C045E1" w:rsidRDefault="00022BD6" w:rsidP="007722AB">
            <w:pPr>
              <w:spacing w:after="0"/>
              <w:jc w:val="both"/>
              <w:rPr>
                <w:rFonts w:ascii="Times New Roman" w:hAnsi="Times New Roman" w:cs="Times New Roman"/>
                <w:bCs/>
                <w:lang w:val="en-GB"/>
              </w:rPr>
            </w:pPr>
            <w:hyperlink r:id="rId107" w:history="1">
              <w:r w:rsidR="004E6FC1" w:rsidRPr="00C045E1">
                <w:rPr>
                  <w:rStyle w:val="Hyperlink"/>
                  <w:rFonts w:ascii="Times New Roman" w:hAnsi="Times New Roman" w:cs="Times New Roman"/>
                  <w:lang w:val="en-GB"/>
                </w:rPr>
                <w:t>https://dmat.abudhabi.ae/en/ADM/Pages/Home.aspx</w:t>
              </w:r>
            </w:hyperlink>
            <w:r w:rsidR="004E6FC1" w:rsidRPr="00C045E1">
              <w:rPr>
                <w:rFonts w:ascii="Times New Roman" w:hAnsi="Times New Roman" w:cs="Times New Roman"/>
                <w:bCs/>
                <w:lang w:val="en-GB"/>
              </w:rPr>
              <w:t xml:space="preserve"> </w:t>
            </w:r>
          </w:p>
        </w:tc>
      </w:tr>
      <w:tr w:rsidR="004E6FC1" w:rsidRPr="00022BD6" w14:paraId="4C58C009" w14:textId="77777777" w:rsidTr="007722AB">
        <w:tblPrEx>
          <w:tblCellMar>
            <w:left w:w="10" w:type="dxa"/>
            <w:right w:w="10" w:type="dxa"/>
          </w:tblCellMar>
          <w:tblLook w:val="04A0" w:firstRow="1" w:lastRow="0" w:firstColumn="1" w:lastColumn="0" w:noHBand="0" w:noVBand="1"/>
        </w:tblPrEx>
        <w:trPr>
          <w:trHeight w:val="397"/>
        </w:trPr>
        <w:tc>
          <w:tcPr>
            <w:tcW w:w="4950" w:type="dxa"/>
            <w:shd w:val="clear" w:color="auto" w:fill="auto"/>
            <w:tcMar>
              <w:top w:w="0" w:type="dxa"/>
              <w:left w:w="108" w:type="dxa"/>
              <w:bottom w:w="0" w:type="dxa"/>
              <w:right w:w="108" w:type="dxa"/>
            </w:tcMar>
          </w:tcPr>
          <w:p w14:paraId="25835E97" w14:textId="77777777" w:rsidR="004E6FC1" w:rsidRPr="00C045E1" w:rsidRDefault="004E6FC1" w:rsidP="007722AB">
            <w:pPr>
              <w:spacing w:after="0"/>
              <w:jc w:val="both"/>
              <w:rPr>
                <w:rFonts w:ascii="Times New Roman" w:hAnsi="Times New Roman" w:cs="Times New Roman"/>
                <w:bCs/>
                <w:lang w:val="en-GB"/>
              </w:rPr>
            </w:pPr>
            <w:r w:rsidRPr="00C045E1">
              <w:rPr>
                <w:rFonts w:ascii="Times New Roman" w:hAnsi="Times New Roman" w:cs="Times New Roman"/>
                <w:bCs/>
                <w:lang w:val="en-GB"/>
              </w:rPr>
              <w:t>Abu Dhabi Department of Economic Development</w:t>
            </w:r>
          </w:p>
          <w:p w14:paraId="3BD08F50" w14:textId="77777777" w:rsidR="004E6FC1" w:rsidRPr="00C045E1" w:rsidRDefault="004E6FC1" w:rsidP="007722AB">
            <w:pPr>
              <w:spacing w:after="0"/>
              <w:jc w:val="both"/>
              <w:rPr>
                <w:rFonts w:ascii="Times New Roman" w:hAnsi="Times New Roman" w:cs="Times New Roman"/>
                <w:bCs/>
                <w:iCs/>
                <w:lang w:val="en-US"/>
              </w:rPr>
            </w:pPr>
          </w:p>
        </w:tc>
        <w:tc>
          <w:tcPr>
            <w:tcW w:w="4590" w:type="dxa"/>
            <w:shd w:val="clear" w:color="auto" w:fill="auto"/>
            <w:tcMar>
              <w:top w:w="0" w:type="dxa"/>
              <w:left w:w="108" w:type="dxa"/>
              <w:bottom w:w="0" w:type="dxa"/>
              <w:right w:w="108" w:type="dxa"/>
            </w:tcMar>
          </w:tcPr>
          <w:p w14:paraId="4B16BC57" w14:textId="77777777" w:rsidR="004E6FC1" w:rsidRPr="00C045E1" w:rsidRDefault="004E6FC1" w:rsidP="007722AB">
            <w:pPr>
              <w:spacing w:after="0"/>
              <w:jc w:val="both"/>
              <w:rPr>
                <w:rFonts w:ascii="Times New Roman" w:hAnsi="Times New Roman" w:cs="Times New Roman"/>
                <w:bCs/>
                <w:lang w:val="en-GB"/>
              </w:rPr>
            </w:pPr>
            <w:r w:rsidRPr="00C045E1">
              <w:rPr>
                <w:rFonts w:ascii="Times New Roman" w:hAnsi="Times New Roman" w:cs="Times New Roman"/>
                <w:bCs/>
                <w:lang w:val="en-GB"/>
              </w:rPr>
              <w:t xml:space="preserve">Email: </w:t>
            </w:r>
            <w:hyperlink r:id="rId108" w:history="1">
              <w:r w:rsidRPr="00C045E1">
                <w:rPr>
                  <w:rStyle w:val="Hyperlink"/>
                  <w:rFonts w:ascii="Times New Roman" w:hAnsi="Times New Roman" w:cs="Times New Roman"/>
                  <w:lang w:val="en-GB"/>
                </w:rPr>
                <w:t>eservices@adeconomy.ae</w:t>
              </w:r>
            </w:hyperlink>
            <w:r w:rsidRPr="00C045E1">
              <w:rPr>
                <w:rFonts w:ascii="Times New Roman" w:hAnsi="Times New Roman" w:cs="Times New Roman"/>
                <w:bCs/>
                <w:lang w:val="en-GB"/>
              </w:rPr>
              <w:t xml:space="preserve">   </w:t>
            </w:r>
          </w:p>
          <w:p w14:paraId="42442BFF" w14:textId="77777777" w:rsidR="004E6FC1" w:rsidRPr="00C045E1" w:rsidRDefault="00022BD6" w:rsidP="007722AB">
            <w:pPr>
              <w:spacing w:after="0"/>
              <w:jc w:val="both"/>
              <w:rPr>
                <w:rFonts w:ascii="Times New Roman" w:hAnsi="Times New Roman" w:cs="Times New Roman"/>
                <w:bCs/>
                <w:lang w:val="en-GB"/>
              </w:rPr>
            </w:pPr>
            <w:hyperlink r:id="rId109" w:history="1">
              <w:r w:rsidR="004E6FC1" w:rsidRPr="00C045E1">
                <w:rPr>
                  <w:rStyle w:val="Hyperlink"/>
                  <w:rFonts w:ascii="Times New Roman" w:hAnsi="Times New Roman" w:cs="Times New Roman"/>
                  <w:lang w:val="en-GB"/>
                </w:rPr>
                <w:t>https://ded.abudhabi.ae/en</w:t>
              </w:r>
            </w:hyperlink>
            <w:r w:rsidR="004E6FC1" w:rsidRPr="00C045E1">
              <w:rPr>
                <w:rFonts w:ascii="Times New Roman" w:hAnsi="Times New Roman" w:cs="Times New Roman"/>
                <w:bCs/>
                <w:lang w:val="en-GB"/>
              </w:rPr>
              <w:t xml:space="preserve">  </w:t>
            </w:r>
          </w:p>
        </w:tc>
      </w:tr>
      <w:tr w:rsidR="004E6FC1" w:rsidRPr="00022BD6" w14:paraId="6B87C345" w14:textId="77777777" w:rsidTr="007722AB">
        <w:tblPrEx>
          <w:tblCellMar>
            <w:left w:w="10" w:type="dxa"/>
            <w:right w:w="10" w:type="dxa"/>
          </w:tblCellMar>
          <w:tblLook w:val="04A0" w:firstRow="1" w:lastRow="0" w:firstColumn="1" w:lastColumn="0" w:noHBand="0" w:noVBand="1"/>
        </w:tblPrEx>
        <w:trPr>
          <w:trHeight w:val="562"/>
        </w:trPr>
        <w:tc>
          <w:tcPr>
            <w:tcW w:w="4950" w:type="dxa"/>
            <w:shd w:val="clear" w:color="auto" w:fill="auto"/>
            <w:tcMar>
              <w:top w:w="0" w:type="dxa"/>
              <w:left w:w="108" w:type="dxa"/>
              <w:bottom w:w="0" w:type="dxa"/>
              <w:right w:w="108" w:type="dxa"/>
            </w:tcMar>
          </w:tcPr>
          <w:p w14:paraId="03CBF06A" w14:textId="77777777" w:rsidR="004E6FC1" w:rsidRPr="00C045E1" w:rsidRDefault="004E6FC1" w:rsidP="007722AB">
            <w:pPr>
              <w:spacing w:after="0"/>
              <w:jc w:val="both"/>
              <w:rPr>
                <w:rFonts w:ascii="Times New Roman" w:hAnsi="Times New Roman" w:cs="Times New Roman"/>
                <w:bCs/>
                <w:lang w:val="en-GB"/>
              </w:rPr>
            </w:pPr>
            <w:r w:rsidRPr="00C045E1">
              <w:rPr>
                <w:rFonts w:ascii="Times New Roman" w:hAnsi="Times New Roman" w:cs="Times New Roman"/>
                <w:bCs/>
                <w:lang w:val="en-GB"/>
              </w:rPr>
              <w:t>Higher Corporation for Specialized</w:t>
            </w:r>
          </w:p>
          <w:p w14:paraId="41D2CF80" w14:textId="77777777" w:rsidR="004E6FC1" w:rsidRPr="00C045E1" w:rsidRDefault="004E6FC1" w:rsidP="007722AB">
            <w:pPr>
              <w:spacing w:after="0"/>
              <w:jc w:val="both"/>
              <w:rPr>
                <w:rFonts w:ascii="Times New Roman" w:hAnsi="Times New Roman" w:cs="Times New Roman"/>
                <w:bCs/>
                <w:iCs/>
                <w:lang w:val="en-US"/>
              </w:rPr>
            </w:pPr>
            <w:r w:rsidRPr="00C045E1">
              <w:rPr>
                <w:rFonts w:ascii="Times New Roman" w:hAnsi="Times New Roman" w:cs="Times New Roman"/>
                <w:bCs/>
                <w:lang w:val="en-GB"/>
              </w:rPr>
              <w:t>Economic Zones - Abu Dhabi</w:t>
            </w:r>
          </w:p>
        </w:tc>
        <w:tc>
          <w:tcPr>
            <w:tcW w:w="4590" w:type="dxa"/>
            <w:shd w:val="clear" w:color="auto" w:fill="auto"/>
            <w:tcMar>
              <w:top w:w="0" w:type="dxa"/>
              <w:left w:w="108" w:type="dxa"/>
              <w:bottom w:w="0" w:type="dxa"/>
              <w:right w:w="108" w:type="dxa"/>
            </w:tcMar>
          </w:tcPr>
          <w:p w14:paraId="4F6F35CB" w14:textId="77777777" w:rsidR="004E6FC1" w:rsidRPr="00C045E1" w:rsidRDefault="004E6FC1" w:rsidP="007722AB">
            <w:pPr>
              <w:spacing w:after="0"/>
              <w:jc w:val="both"/>
              <w:rPr>
                <w:rFonts w:ascii="Times New Roman" w:hAnsi="Times New Roman" w:cs="Times New Roman"/>
                <w:bCs/>
                <w:lang w:val="en-GB"/>
              </w:rPr>
            </w:pPr>
            <w:r w:rsidRPr="00C045E1">
              <w:rPr>
                <w:rFonts w:ascii="Times New Roman" w:hAnsi="Times New Roman" w:cs="Times New Roman"/>
                <w:bCs/>
                <w:lang w:val="en-GB"/>
              </w:rPr>
              <w:t xml:space="preserve">Email: </w:t>
            </w:r>
            <w:hyperlink r:id="rId110" w:history="1">
              <w:r w:rsidRPr="00C045E1">
                <w:rPr>
                  <w:rStyle w:val="Hyperlink"/>
                  <w:rFonts w:ascii="Times New Roman" w:hAnsi="Times New Roman" w:cs="Times New Roman"/>
                  <w:lang w:val="en-GB"/>
                </w:rPr>
                <w:t>bd@zonescorp.com</w:t>
              </w:r>
            </w:hyperlink>
            <w:r w:rsidRPr="00C045E1">
              <w:rPr>
                <w:rFonts w:ascii="Times New Roman" w:hAnsi="Times New Roman" w:cs="Times New Roman"/>
                <w:bCs/>
                <w:lang w:val="en-GB"/>
              </w:rPr>
              <w:t xml:space="preserve"> </w:t>
            </w:r>
          </w:p>
          <w:p w14:paraId="786F93D8" w14:textId="77777777" w:rsidR="004E6FC1" w:rsidRPr="00C045E1" w:rsidRDefault="00022BD6" w:rsidP="007722AB">
            <w:pPr>
              <w:spacing w:after="0"/>
              <w:jc w:val="both"/>
              <w:rPr>
                <w:rFonts w:ascii="Times New Roman" w:hAnsi="Times New Roman" w:cs="Times New Roman"/>
                <w:bCs/>
                <w:lang w:val="en-GB"/>
              </w:rPr>
            </w:pPr>
            <w:hyperlink r:id="rId111" w:history="1">
              <w:r w:rsidR="004E6FC1" w:rsidRPr="00C045E1">
                <w:rPr>
                  <w:rStyle w:val="Hyperlink"/>
                  <w:rFonts w:ascii="Times New Roman" w:hAnsi="Times New Roman" w:cs="Times New Roman"/>
                  <w:lang w:val="en-GB"/>
                </w:rPr>
                <w:t>www.zonescorp.com</w:t>
              </w:r>
            </w:hyperlink>
          </w:p>
        </w:tc>
      </w:tr>
      <w:tr w:rsidR="004E6FC1" w:rsidRPr="00D074C6" w14:paraId="03C5BB3C" w14:textId="77777777" w:rsidTr="007722AB">
        <w:tblPrEx>
          <w:tblCellMar>
            <w:left w:w="10" w:type="dxa"/>
            <w:right w:w="10" w:type="dxa"/>
          </w:tblCellMar>
          <w:tblLook w:val="04A0" w:firstRow="1" w:lastRow="0" w:firstColumn="1" w:lastColumn="0" w:noHBand="0" w:noVBand="1"/>
        </w:tblPrEx>
        <w:trPr>
          <w:trHeight w:val="397"/>
        </w:trPr>
        <w:tc>
          <w:tcPr>
            <w:tcW w:w="4950" w:type="dxa"/>
            <w:shd w:val="clear" w:color="auto" w:fill="auto"/>
            <w:tcMar>
              <w:top w:w="0" w:type="dxa"/>
              <w:left w:w="108" w:type="dxa"/>
              <w:bottom w:w="0" w:type="dxa"/>
              <w:right w:w="108" w:type="dxa"/>
            </w:tcMar>
          </w:tcPr>
          <w:p w14:paraId="525B2D5E" w14:textId="77777777" w:rsidR="004E6FC1" w:rsidRPr="00B8123F" w:rsidRDefault="004E6FC1" w:rsidP="007722AB">
            <w:pPr>
              <w:spacing w:after="0"/>
              <w:jc w:val="both"/>
              <w:rPr>
                <w:rFonts w:ascii="Times New Roman" w:hAnsi="Times New Roman" w:cs="Times New Roman"/>
                <w:bCs/>
                <w:lang w:val="en-GB"/>
              </w:rPr>
            </w:pPr>
            <w:r w:rsidRPr="00C045E1">
              <w:rPr>
                <w:rFonts w:ascii="Times New Roman" w:hAnsi="Times New Roman" w:cs="Times New Roman"/>
                <w:bCs/>
                <w:lang w:val="en-GB"/>
              </w:rPr>
              <w:t>Abu Dhabi Tourism Authority</w:t>
            </w:r>
          </w:p>
        </w:tc>
        <w:tc>
          <w:tcPr>
            <w:tcW w:w="4590" w:type="dxa"/>
            <w:shd w:val="clear" w:color="auto" w:fill="auto"/>
            <w:tcMar>
              <w:top w:w="0" w:type="dxa"/>
              <w:left w:w="108" w:type="dxa"/>
              <w:bottom w:w="0" w:type="dxa"/>
              <w:right w:w="108" w:type="dxa"/>
            </w:tcMar>
          </w:tcPr>
          <w:p w14:paraId="0EE8605E" w14:textId="77777777" w:rsidR="004E6FC1" w:rsidRPr="00C045E1" w:rsidRDefault="00022BD6" w:rsidP="007722AB">
            <w:pPr>
              <w:spacing w:after="0"/>
              <w:jc w:val="both"/>
              <w:rPr>
                <w:rFonts w:ascii="Times New Roman" w:hAnsi="Times New Roman" w:cs="Times New Roman"/>
                <w:bCs/>
                <w:lang w:val="en-GB"/>
              </w:rPr>
            </w:pPr>
            <w:hyperlink r:id="rId112" w:history="1">
              <w:r w:rsidR="004E6FC1" w:rsidRPr="00576BC3">
                <w:rPr>
                  <w:rStyle w:val="Hyperlink"/>
                  <w:rFonts w:ascii="Times New Roman" w:hAnsi="Times New Roman" w:cs="Times New Roman"/>
                  <w:lang w:val="en-GB"/>
                </w:rPr>
                <w:t>http://tcaabudhabi.ae</w:t>
              </w:r>
            </w:hyperlink>
            <w:r w:rsidR="004E6FC1" w:rsidRPr="00C045E1">
              <w:rPr>
                <w:rFonts w:ascii="Times New Roman" w:hAnsi="Times New Roman" w:cs="Times New Roman"/>
                <w:bCs/>
                <w:lang w:val="en-GB"/>
              </w:rPr>
              <w:t xml:space="preserve">  </w:t>
            </w:r>
          </w:p>
        </w:tc>
      </w:tr>
      <w:tr w:rsidR="004E6FC1" w:rsidRPr="00022BD6" w14:paraId="2B7C2B60" w14:textId="77777777" w:rsidTr="007722AB">
        <w:tblPrEx>
          <w:tblCellMar>
            <w:left w:w="10" w:type="dxa"/>
            <w:right w:w="10" w:type="dxa"/>
          </w:tblCellMar>
          <w:tblLook w:val="04A0" w:firstRow="1" w:lastRow="0" w:firstColumn="1" w:lastColumn="0" w:noHBand="0" w:noVBand="1"/>
        </w:tblPrEx>
        <w:trPr>
          <w:trHeight w:val="397"/>
        </w:trPr>
        <w:tc>
          <w:tcPr>
            <w:tcW w:w="4950" w:type="dxa"/>
            <w:shd w:val="clear" w:color="auto" w:fill="auto"/>
            <w:tcMar>
              <w:top w:w="0" w:type="dxa"/>
              <w:left w:w="108" w:type="dxa"/>
              <w:bottom w:w="0" w:type="dxa"/>
              <w:right w:w="108" w:type="dxa"/>
            </w:tcMar>
          </w:tcPr>
          <w:p w14:paraId="53ACB268" w14:textId="77777777" w:rsidR="004E6FC1" w:rsidRPr="00B8123F" w:rsidRDefault="004E6FC1" w:rsidP="007722AB">
            <w:pPr>
              <w:spacing w:after="0"/>
              <w:jc w:val="both"/>
              <w:rPr>
                <w:rFonts w:ascii="Times New Roman" w:hAnsi="Times New Roman" w:cs="Times New Roman"/>
                <w:bCs/>
                <w:lang w:val="en-GB"/>
              </w:rPr>
            </w:pPr>
            <w:r w:rsidRPr="00C045E1">
              <w:rPr>
                <w:rFonts w:ascii="Times New Roman" w:hAnsi="Times New Roman" w:cs="Times New Roman"/>
                <w:bCs/>
                <w:lang w:val="en-GB"/>
              </w:rPr>
              <w:t>Al Ain Municipality</w:t>
            </w:r>
          </w:p>
        </w:tc>
        <w:tc>
          <w:tcPr>
            <w:tcW w:w="4590" w:type="dxa"/>
            <w:shd w:val="clear" w:color="auto" w:fill="auto"/>
            <w:tcMar>
              <w:top w:w="0" w:type="dxa"/>
              <w:left w:w="108" w:type="dxa"/>
              <w:bottom w:w="0" w:type="dxa"/>
              <w:right w:w="108" w:type="dxa"/>
            </w:tcMar>
          </w:tcPr>
          <w:p w14:paraId="23450FCF" w14:textId="77777777" w:rsidR="004E6FC1" w:rsidRPr="00C045E1" w:rsidRDefault="00022BD6" w:rsidP="007722AB">
            <w:pPr>
              <w:spacing w:after="0"/>
              <w:jc w:val="both"/>
              <w:rPr>
                <w:rFonts w:ascii="Times New Roman" w:hAnsi="Times New Roman" w:cs="Times New Roman"/>
                <w:bCs/>
                <w:lang w:val="en-US"/>
              </w:rPr>
            </w:pPr>
            <w:hyperlink r:id="rId113" w:history="1">
              <w:r w:rsidR="004E6FC1" w:rsidRPr="00C045E1">
                <w:rPr>
                  <w:rStyle w:val="Hyperlink"/>
                  <w:rFonts w:ascii="Times New Roman" w:hAnsi="Times New Roman" w:cs="Times New Roman"/>
                  <w:lang w:val="en-US"/>
                </w:rPr>
                <w:t>https://www.dpm.gov.abudhabi/en/aam</w:t>
              </w:r>
            </w:hyperlink>
          </w:p>
        </w:tc>
      </w:tr>
      <w:tr w:rsidR="004E6FC1" w:rsidRPr="00022BD6" w14:paraId="7FE33475" w14:textId="77777777" w:rsidTr="007722AB">
        <w:tblPrEx>
          <w:tblCellMar>
            <w:left w:w="10" w:type="dxa"/>
            <w:right w:w="10" w:type="dxa"/>
          </w:tblCellMar>
          <w:tblLook w:val="04A0" w:firstRow="1" w:lastRow="0" w:firstColumn="1" w:lastColumn="0" w:noHBand="0" w:noVBand="1"/>
        </w:tblPrEx>
        <w:trPr>
          <w:trHeight w:val="397"/>
        </w:trPr>
        <w:tc>
          <w:tcPr>
            <w:tcW w:w="4950" w:type="dxa"/>
            <w:shd w:val="clear" w:color="auto" w:fill="auto"/>
            <w:tcMar>
              <w:top w:w="0" w:type="dxa"/>
              <w:left w:w="108" w:type="dxa"/>
              <w:bottom w:w="0" w:type="dxa"/>
              <w:right w:w="108" w:type="dxa"/>
            </w:tcMar>
          </w:tcPr>
          <w:p w14:paraId="5598DE09" w14:textId="77777777" w:rsidR="004E6FC1" w:rsidRPr="00B8123F" w:rsidRDefault="004E6FC1" w:rsidP="007722AB">
            <w:pPr>
              <w:spacing w:after="0"/>
              <w:jc w:val="both"/>
              <w:rPr>
                <w:rFonts w:ascii="Times New Roman" w:hAnsi="Times New Roman" w:cs="Times New Roman"/>
                <w:bCs/>
                <w:lang w:val="en-GB"/>
              </w:rPr>
            </w:pPr>
            <w:r w:rsidRPr="00C045E1">
              <w:rPr>
                <w:rFonts w:ascii="Times New Roman" w:hAnsi="Times New Roman" w:cs="Times New Roman"/>
                <w:bCs/>
                <w:lang w:val="en-GB"/>
              </w:rPr>
              <w:t>Dubai Municipality</w:t>
            </w:r>
          </w:p>
        </w:tc>
        <w:tc>
          <w:tcPr>
            <w:tcW w:w="4590" w:type="dxa"/>
            <w:shd w:val="clear" w:color="auto" w:fill="auto"/>
            <w:tcMar>
              <w:top w:w="0" w:type="dxa"/>
              <w:left w:w="108" w:type="dxa"/>
              <w:bottom w:w="0" w:type="dxa"/>
              <w:right w:w="108" w:type="dxa"/>
            </w:tcMar>
          </w:tcPr>
          <w:p w14:paraId="648AE924" w14:textId="77777777" w:rsidR="004E6FC1" w:rsidRPr="00670C61" w:rsidRDefault="004E6FC1" w:rsidP="007722AB">
            <w:pPr>
              <w:spacing w:after="0"/>
              <w:jc w:val="both"/>
              <w:rPr>
                <w:lang w:val="en-AE"/>
              </w:rPr>
            </w:pPr>
            <w:r w:rsidRPr="00C045E1">
              <w:rPr>
                <w:rFonts w:ascii="Times New Roman" w:hAnsi="Times New Roman" w:cs="Times New Roman"/>
                <w:bCs/>
                <w:lang w:val="en-GB"/>
              </w:rPr>
              <w:t xml:space="preserve">Email: </w:t>
            </w:r>
            <w:hyperlink r:id="rId114" w:history="1">
              <w:r w:rsidRPr="00C045E1">
                <w:rPr>
                  <w:rStyle w:val="Hyperlink"/>
                  <w:rFonts w:ascii="Times New Roman" w:hAnsi="Times New Roman" w:cs="Times New Roman"/>
                  <w:lang w:val="en-GB"/>
                </w:rPr>
                <w:t>info@dm.gov.ae</w:t>
              </w:r>
            </w:hyperlink>
          </w:p>
          <w:p w14:paraId="401EFD2B" w14:textId="77777777" w:rsidR="004E6FC1" w:rsidRPr="00C045E1" w:rsidRDefault="00022BD6" w:rsidP="007722AB">
            <w:pPr>
              <w:spacing w:after="0"/>
              <w:jc w:val="both"/>
              <w:rPr>
                <w:rFonts w:ascii="Times New Roman" w:hAnsi="Times New Roman" w:cs="Times New Roman"/>
                <w:bCs/>
                <w:lang w:val="en-GB"/>
              </w:rPr>
            </w:pPr>
            <w:hyperlink r:id="rId115" w:history="1">
              <w:r w:rsidR="004E6FC1" w:rsidRPr="00576BC3">
                <w:rPr>
                  <w:rStyle w:val="Hyperlink"/>
                  <w:rFonts w:ascii="Times New Roman" w:hAnsi="Times New Roman" w:cs="Times New Roman"/>
                  <w:lang w:val="en-GB"/>
                </w:rPr>
                <w:t>www.dm.gov.ae</w:t>
              </w:r>
            </w:hyperlink>
            <w:r w:rsidR="004E6FC1" w:rsidRPr="00C045E1">
              <w:rPr>
                <w:rFonts w:ascii="Times New Roman" w:hAnsi="Times New Roman" w:cs="Times New Roman"/>
                <w:bCs/>
                <w:lang w:val="en-GB"/>
              </w:rPr>
              <w:t xml:space="preserve"> </w:t>
            </w:r>
          </w:p>
        </w:tc>
      </w:tr>
      <w:tr w:rsidR="004E6FC1" w:rsidRPr="00022BD6" w14:paraId="1BE131A6" w14:textId="77777777" w:rsidTr="007722AB">
        <w:tblPrEx>
          <w:tblCellMar>
            <w:left w:w="10" w:type="dxa"/>
            <w:right w:w="10" w:type="dxa"/>
          </w:tblCellMar>
          <w:tblLook w:val="04A0" w:firstRow="1" w:lastRow="0" w:firstColumn="1" w:lastColumn="0" w:noHBand="0" w:noVBand="1"/>
        </w:tblPrEx>
        <w:trPr>
          <w:trHeight w:val="397"/>
        </w:trPr>
        <w:tc>
          <w:tcPr>
            <w:tcW w:w="4950" w:type="dxa"/>
            <w:shd w:val="clear" w:color="auto" w:fill="auto"/>
            <w:tcMar>
              <w:top w:w="0" w:type="dxa"/>
              <w:left w:w="108" w:type="dxa"/>
              <w:bottom w:w="0" w:type="dxa"/>
              <w:right w:w="108" w:type="dxa"/>
            </w:tcMar>
          </w:tcPr>
          <w:p w14:paraId="4A60648A" w14:textId="77777777" w:rsidR="004E6FC1" w:rsidRPr="00C045E1" w:rsidRDefault="004E6FC1" w:rsidP="007722AB">
            <w:pPr>
              <w:spacing w:after="0"/>
              <w:jc w:val="both"/>
              <w:rPr>
                <w:rFonts w:ascii="Times New Roman" w:hAnsi="Times New Roman" w:cs="Times New Roman"/>
                <w:bCs/>
                <w:iCs/>
                <w:lang w:val="en-US"/>
              </w:rPr>
            </w:pPr>
            <w:r w:rsidRPr="00C045E1">
              <w:rPr>
                <w:rFonts w:ascii="Times New Roman" w:hAnsi="Times New Roman" w:cs="Times New Roman"/>
                <w:bCs/>
                <w:lang w:val="en-GB"/>
              </w:rPr>
              <w:t>Dubai Department of Economic Development</w:t>
            </w:r>
          </w:p>
        </w:tc>
        <w:tc>
          <w:tcPr>
            <w:tcW w:w="4590" w:type="dxa"/>
            <w:shd w:val="clear" w:color="auto" w:fill="auto"/>
            <w:tcMar>
              <w:top w:w="0" w:type="dxa"/>
              <w:left w:w="108" w:type="dxa"/>
              <w:bottom w:w="0" w:type="dxa"/>
              <w:right w:w="108" w:type="dxa"/>
            </w:tcMar>
          </w:tcPr>
          <w:p w14:paraId="6EFDDBAB" w14:textId="77777777" w:rsidR="004E6FC1" w:rsidRPr="00C045E1" w:rsidRDefault="004E6FC1" w:rsidP="007722AB">
            <w:pPr>
              <w:spacing w:after="0"/>
              <w:jc w:val="both"/>
              <w:rPr>
                <w:rFonts w:ascii="Times New Roman" w:hAnsi="Times New Roman" w:cs="Times New Roman"/>
                <w:bCs/>
                <w:lang w:val="en-GB"/>
              </w:rPr>
            </w:pPr>
            <w:r w:rsidRPr="00C045E1">
              <w:rPr>
                <w:rFonts w:ascii="Times New Roman" w:hAnsi="Times New Roman" w:cs="Times New Roman"/>
                <w:bCs/>
                <w:lang w:val="en-GB"/>
              </w:rPr>
              <w:t>Email</w:t>
            </w:r>
            <w:r>
              <w:rPr>
                <w:rFonts w:ascii="Times New Roman" w:hAnsi="Times New Roman" w:cs="Times New Roman"/>
                <w:bCs/>
                <w:lang w:val="en-GB"/>
              </w:rPr>
              <w:t>:</w:t>
            </w:r>
            <w:hyperlink r:id="rId116" w:history="1">
              <w:r w:rsidRPr="00576BC3">
                <w:rPr>
                  <w:rStyle w:val="Hyperlink"/>
                  <w:rFonts w:ascii="Times New Roman" w:hAnsi="Times New Roman" w:cs="Times New Roman"/>
                  <w:lang w:val="en-GB"/>
                </w:rPr>
                <w:t>info@dubaided.gov.ae</w:t>
              </w:r>
            </w:hyperlink>
            <w:r w:rsidRPr="00C045E1">
              <w:rPr>
                <w:rFonts w:ascii="Times New Roman" w:hAnsi="Times New Roman" w:cs="Times New Roman"/>
                <w:bCs/>
                <w:lang w:val="en-GB"/>
              </w:rPr>
              <w:t xml:space="preserve"> </w:t>
            </w:r>
            <w:hyperlink r:id="rId117" w:history="1">
              <w:r w:rsidRPr="00C045E1">
                <w:rPr>
                  <w:rStyle w:val="Hyperlink"/>
                  <w:rFonts w:ascii="Times New Roman" w:hAnsi="Times New Roman" w:cs="Times New Roman"/>
                  <w:lang w:val="en-GB"/>
                </w:rPr>
                <w:t>www.dubaided.gov.ae</w:t>
              </w:r>
            </w:hyperlink>
          </w:p>
        </w:tc>
      </w:tr>
      <w:tr w:rsidR="004E6FC1" w:rsidRPr="00022BD6" w14:paraId="2D290B4E" w14:textId="77777777" w:rsidTr="007722AB">
        <w:tblPrEx>
          <w:tblCellMar>
            <w:left w:w="10" w:type="dxa"/>
            <w:right w:w="10" w:type="dxa"/>
          </w:tblCellMar>
          <w:tblLook w:val="04A0" w:firstRow="1" w:lastRow="0" w:firstColumn="1" w:lastColumn="0" w:noHBand="0" w:noVBand="1"/>
        </w:tblPrEx>
        <w:trPr>
          <w:trHeight w:val="397"/>
        </w:trPr>
        <w:tc>
          <w:tcPr>
            <w:tcW w:w="4950" w:type="dxa"/>
            <w:shd w:val="clear" w:color="auto" w:fill="auto"/>
            <w:tcMar>
              <w:top w:w="0" w:type="dxa"/>
              <w:left w:w="108" w:type="dxa"/>
              <w:bottom w:w="0" w:type="dxa"/>
              <w:right w:w="108" w:type="dxa"/>
            </w:tcMar>
          </w:tcPr>
          <w:p w14:paraId="293A70F7" w14:textId="77777777" w:rsidR="004E6FC1" w:rsidRPr="00C045E1" w:rsidRDefault="004E6FC1" w:rsidP="007722AB">
            <w:pPr>
              <w:spacing w:after="0"/>
              <w:jc w:val="both"/>
              <w:rPr>
                <w:rFonts w:ascii="Times New Roman" w:hAnsi="Times New Roman" w:cs="Times New Roman"/>
                <w:bCs/>
                <w:lang w:val="en-GB"/>
              </w:rPr>
            </w:pPr>
            <w:r w:rsidRPr="00C045E1">
              <w:rPr>
                <w:rFonts w:ascii="Times New Roman" w:hAnsi="Times New Roman" w:cs="Times New Roman"/>
                <w:bCs/>
                <w:lang w:val="en-GB"/>
              </w:rPr>
              <w:t>Dubai Department of Tourism and Commerce</w:t>
            </w:r>
          </w:p>
          <w:p w14:paraId="420C8E65" w14:textId="77777777" w:rsidR="004E6FC1" w:rsidRPr="00C045E1" w:rsidRDefault="004E6FC1" w:rsidP="007722AB">
            <w:pPr>
              <w:spacing w:after="0"/>
              <w:jc w:val="both"/>
              <w:rPr>
                <w:rFonts w:ascii="Times New Roman" w:hAnsi="Times New Roman" w:cs="Times New Roman"/>
                <w:bCs/>
                <w:lang w:val="en-US"/>
              </w:rPr>
            </w:pPr>
          </w:p>
        </w:tc>
        <w:tc>
          <w:tcPr>
            <w:tcW w:w="4590" w:type="dxa"/>
            <w:shd w:val="clear" w:color="auto" w:fill="auto"/>
            <w:tcMar>
              <w:top w:w="0" w:type="dxa"/>
              <w:left w:w="108" w:type="dxa"/>
              <w:bottom w:w="0" w:type="dxa"/>
              <w:right w:w="108" w:type="dxa"/>
            </w:tcMar>
          </w:tcPr>
          <w:p w14:paraId="76BF8A49" w14:textId="77777777" w:rsidR="004E6FC1" w:rsidRPr="00C045E1" w:rsidRDefault="00022BD6" w:rsidP="007722AB">
            <w:pPr>
              <w:spacing w:after="0"/>
              <w:jc w:val="both"/>
              <w:rPr>
                <w:rFonts w:ascii="Times New Roman" w:hAnsi="Times New Roman" w:cs="Times New Roman"/>
                <w:bCs/>
                <w:lang w:val="en-GB"/>
              </w:rPr>
            </w:pPr>
            <w:hyperlink r:id="rId118" w:history="1">
              <w:r w:rsidR="004E6FC1" w:rsidRPr="00C045E1">
                <w:rPr>
                  <w:rStyle w:val="Hyperlink"/>
                  <w:rFonts w:ascii="Times New Roman" w:hAnsi="Times New Roman" w:cs="Times New Roman"/>
                  <w:lang w:val="en-GB"/>
                </w:rPr>
                <w:t>www.visitdubai.com</w:t>
              </w:r>
            </w:hyperlink>
            <w:r w:rsidR="004E6FC1" w:rsidRPr="00C045E1">
              <w:rPr>
                <w:rFonts w:ascii="Times New Roman" w:hAnsi="Times New Roman" w:cs="Times New Roman"/>
                <w:bCs/>
                <w:lang w:val="en-GB"/>
              </w:rPr>
              <w:t xml:space="preserve">,  </w:t>
            </w:r>
            <w:hyperlink r:id="rId119" w:history="1">
              <w:r w:rsidR="004E6FC1" w:rsidRPr="00C045E1">
                <w:rPr>
                  <w:rStyle w:val="Hyperlink"/>
                  <w:rFonts w:ascii="Times New Roman" w:hAnsi="Times New Roman" w:cs="Times New Roman"/>
                  <w:lang w:val="en-GB"/>
                </w:rPr>
                <w:t>https://www.visitdubai.com/en/department-of-tourism</w:t>
              </w:r>
            </w:hyperlink>
          </w:p>
        </w:tc>
      </w:tr>
      <w:tr w:rsidR="004E6FC1" w:rsidRPr="00022BD6" w14:paraId="00D1BD35" w14:textId="77777777" w:rsidTr="007722AB">
        <w:tblPrEx>
          <w:tblCellMar>
            <w:left w:w="10" w:type="dxa"/>
            <w:right w:w="10" w:type="dxa"/>
          </w:tblCellMar>
          <w:tblLook w:val="04A0" w:firstRow="1" w:lastRow="0" w:firstColumn="1" w:lastColumn="0" w:noHBand="0" w:noVBand="1"/>
        </w:tblPrEx>
        <w:trPr>
          <w:trHeight w:val="397"/>
        </w:trPr>
        <w:tc>
          <w:tcPr>
            <w:tcW w:w="4950" w:type="dxa"/>
            <w:shd w:val="clear" w:color="auto" w:fill="auto"/>
            <w:tcMar>
              <w:top w:w="0" w:type="dxa"/>
              <w:left w:w="108" w:type="dxa"/>
              <w:bottom w:w="0" w:type="dxa"/>
              <w:right w:w="108" w:type="dxa"/>
            </w:tcMar>
          </w:tcPr>
          <w:p w14:paraId="1AA381AF" w14:textId="77777777" w:rsidR="004E6FC1" w:rsidRPr="00C045E1" w:rsidRDefault="004E6FC1" w:rsidP="007722AB">
            <w:pPr>
              <w:spacing w:after="0"/>
              <w:jc w:val="both"/>
              <w:rPr>
                <w:rFonts w:ascii="Times New Roman" w:hAnsi="Times New Roman" w:cs="Times New Roman"/>
                <w:bCs/>
                <w:lang w:val="en-GB"/>
              </w:rPr>
            </w:pPr>
            <w:r w:rsidRPr="00C045E1">
              <w:rPr>
                <w:rFonts w:ascii="Times New Roman" w:hAnsi="Times New Roman" w:cs="Times New Roman"/>
                <w:bCs/>
                <w:lang w:val="en-GB"/>
              </w:rPr>
              <w:t>Dubai Trakhees</w:t>
            </w:r>
          </w:p>
          <w:p w14:paraId="0DB2E1F5" w14:textId="77777777" w:rsidR="004E6FC1" w:rsidRPr="00C045E1" w:rsidRDefault="004E6FC1" w:rsidP="007722AB">
            <w:pPr>
              <w:spacing w:after="0"/>
              <w:jc w:val="both"/>
              <w:rPr>
                <w:rFonts w:ascii="Times New Roman" w:hAnsi="Times New Roman" w:cs="Times New Roman"/>
                <w:bCs/>
                <w:lang w:val="en-GB"/>
              </w:rPr>
            </w:pPr>
          </w:p>
        </w:tc>
        <w:tc>
          <w:tcPr>
            <w:tcW w:w="4590" w:type="dxa"/>
            <w:shd w:val="clear" w:color="auto" w:fill="auto"/>
            <w:tcMar>
              <w:top w:w="0" w:type="dxa"/>
              <w:left w:w="108" w:type="dxa"/>
              <w:bottom w:w="0" w:type="dxa"/>
              <w:right w:w="108" w:type="dxa"/>
            </w:tcMar>
          </w:tcPr>
          <w:p w14:paraId="22931D24" w14:textId="77777777" w:rsidR="004E6FC1" w:rsidRPr="00C045E1" w:rsidRDefault="004E6FC1" w:rsidP="007722AB">
            <w:pPr>
              <w:spacing w:after="0"/>
              <w:jc w:val="both"/>
              <w:rPr>
                <w:rFonts w:ascii="Times New Roman" w:hAnsi="Times New Roman" w:cs="Times New Roman"/>
                <w:bCs/>
                <w:lang w:val="en-GB"/>
              </w:rPr>
            </w:pPr>
            <w:r w:rsidRPr="00C045E1">
              <w:rPr>
                <w:rFonts w:ascii="Times New Roman" w:hAnsi="Times New Roman" w:cs="Times New Roman"/>
                <w:bCs/>
                <w:lang w:val="en-GB"/>
              </w:rPr>
              <w:t>Email:</w:t>
            </w:r>
            <w:hyperlink r:id="rId120" w:history="1">
              <w:r w:rsidRPr="00576BC3">
                <w:rPr>
                  <w:rStyle w:val="Hyperlink"/>
                  <w:rFonts w:ascii="Times New Roman" w:hAnsi="Times New Roman" w:cs="Times New Roman"/>
                  <w:lang w:val="en-GB"/>
                </w:rPr>
                <w:t>customer.relationship@trk.pcfc.ae</w:t>
              </w:r>
            </w:hyperlink>
            <w:r w:rsidRPr="00C045E1">
              <w:rPr>
                <w:rFonts w:ascii="Times New Roman" w:hAnsi="Times New Roman" w:cs="Times New Roman"/>
                <w:bCs/>
                <w:lang w:val="en-GB"/>
              </w:rPr>
              <w:t xml:space="preserve"> </w:t>
            </w:r>
            <w:hyperlink r:id="rId121" w:history="1">
              <w:r w:rsidRPr="00C045E1">
                <w:rPr>
                  <w:rStyle w:val="Hyperlink"/>
                  <w:rFonts w:ascii="Times New Roman" w:hAnsi="Times New Roman" w:cs="Times New Roman"/>
                  <w:lang w:val="en-GB"/>
                </w:rPr>
                <w:t>www.trakhees.ae</w:t>
              </w:r>
            </w:hyperlink>
            <w:r w:rsidRPr="00C045E1">
              <w:rPr>
                <w:rFonts w:ascii="Times New Roman" w:hAnsi="Times New Roman" w:cs="Times New Roman"/>
                <w:bCs/>
                <w:lang w:val="en-GB"/>
              </w:rPr>
              <w:t xml:space="preserve"> </w:t>
            </w:r>
          </w:p>
        </w:tc>
      </w:tr>
      <w:tr w:rsidR="004E6FC1" w:rsidRPr="00022BD6" w14:paraId="7BC900EF" w14:textId="77777777" w:rsidTr="007722AB">
        <w:tblPrEx>
          <w:tblCellMar>
            <w:left w:w="10" w:type="dxa"/>
            <w:right w:w="10" w:type="dxa"/>
          </w:tblCellMar>
          <w:tblLook w:val="04A0" w:firstRow="1" w:lastRow="0" w:firstColumn="1" w:lastColumn="0" w:noHBand="0" w:noVBand="1"/>
        </w:tblPrEx>
        <w:trPr>
          <w:trHeight w:val="397"/>
        </w:trPr>
        <w:tc>
          <w:tcPr>
            <w:tcW w:w="4950" w:type="dxa"/>
            <w:shd w:val="clear" w:color="auto" w:fill="auto"/>
            <w:tcMar>
              <w:top w:w="0" w:type="dxa"/>
              <w:left w:w="108" w:type="dxa"/>
              <w:bottom w:w="0" w:type="dxa"/>
              <w:right w:w="108" w:type="dxa"/>
            </w:tcMar>
          </w:tcPr>
          <w:p w14:paraId="0954468A" w14:textId="77777777" w:rsidR="004E6FC1" w:rsidRPr="00C045E1" w:rsidRDefault="004E6FC1" w:rsidP="007722AB">
            <w:pPr>
              <w:spacing w:after="0"/>
              <w:jc w:val="both"/>
              <w:rPr>
                <w:rFonts w:ascii="Times New Roman" w:hAnsi="Times New Roman" w:cs="Times New Roman"/>
                <w:bCs/>
                <w:lang w:val="en-GB"/>
              </w:rPr>
            </w:pPr>
            <w:r w:rsidRPr="00C045E1">
              <w:rPr>
                <w:rFonts w:ascii="Times New Roman" w:hAnsi="Times New Roman" w:cs="Times New Roman"/>
                <w:bCs/>
                <w:lang w:val="en-GB"/>
              </w:rPr>
              <w:t>Sharjah Municipality</w:t>
            </w:r>
          </w:p>
        </w:tc>
        <w:tc>
          <w:tcPr>
            <w:tcW w:w="4590" w:type="dxa"/>
            <w:shd w:val="clear" w:color="auto" w:fill="auto"/>
            <w:tcMar>
              <w:top w:w="0" w:type="dxa"/>
              <w:left w:w="108" w:type="dxa"/>
              <w:bottom w:w="0" w:type="dxa"/>
              <w:right w:w="108" w:type="dxa"/>
            </w:tcMar>
          </w:tcPr>
          <w:p w14:paraId="0122DD07" w14:textId="77777777" w:rsidR="004E6FC1" w:rsidRDefault="004E6FC1" w:rsidP="007722AB">
            <w:pPr>
              <w:spacing w:after="0"/>
              <w:jc w:val="both"/>
              <w:rPr>
                <w:rFonts w:ascii="Times New Roman" w:hAnsi="Times New Roman" w:cs="Times New Roman"/>
                <w:bCs/>
                <w:lang w:val="en-GB"/>
              </w:rPr>
            </w:pPr>
            <w:r>
              <w:rPr>
                <w:rFonts w:ascii="Times New Roman" w:hAnsi="Times New Roman" w:cs="Times New Roman"/>
                <w:lang w:val="en-US"/>
              </w:rPr>
              <w:t>Email:</w:t>
            </w:r>
            <w:r>
              <w:rPr>
                <w:rFonts w:ascii="Times New Roman" w:hAnsi="Times New Roman" w:cs="Times New Roman"/>
                <w:bCs/>
                <w:lang w:val="en-GB"/>
              </w:rPr>
              <w:t xml:space="preserve"> </w:t>
            </w:r>
            <w:hyperlink r:id="rId122" w:history="1">
              <w:r w:rsidRPr="00576BC3">
                <w:rPr>
                  <w:rStyle w:val="Hyperlink"/>
                  <w:rFonts w:ascii="Times New Roman" w:hAnsi="Times New Roman" w:cs="Times New Roman"/>
                  <w:lang w:val="en-GB"/>
                </w:rPr>
                <w:t>info@shjmun.gov.ae</w:t>
              </w:r>
            </w:hyperlink>
            <w:r w:rsidRPr="00C045E1">
              <w:rPr>
                <w:rFonts w:ascii="Times New Roman" w:hAnsi="Times New Roman" w:cs="Times New Roman"/>
                <w:bCs/>
                <w:lang w:val="en-GB"/>
              </w:rPr>
              <w:t xml:space="preserve"> </w:t>
            </w:r>
          </w:p>
          <w:p w14:paraId="3185F9B2" w14:textId="77777777" w:rsidR="004E6FC1" w:rsidRPr="00C045E1" w:rsidRDefault="00022BD6" w:rsidP="007722AB">
            <w:pPr>
              <w:spacing w:after="0"/>
              <w:jc w:val="both"/>
              <w:rPr>
                <w:rFonts w:ascii="Times New Roman" w:hAnsi="Times New Roman" w:cs="Times New Roman"/>
                <w:bCs/>
                <w:lang w:val="en-GB"/>
              </w:rPr>
            </w:pPr>
            <w:hyperlink r:id="rId123" w:history="1">
              <w:r w:rsidR="004E6FC1" w:rsidRPr="00C045E1">
                <w:rPr>
                  <w:rStyle w:val="Hyperlink"/>
                  <w:rFonts w:ascii="Times New Roman" w:hAnsi="Times New Roman" w:cs="Times New Roman"/>
                  <w:lang w:val="en-GB"/>
                </w:rPr>
                <w:t>https://portal.shjmun.gov.ae</w:t>
              </w:r>
            </w:hyperlink>
          </w:p>
        </w:tc>
      </w:tr>
      <w:tr w:rsidR="004E6FC1" w:rsidRPr="00022BD6" w14:paraId="4C96732C" w14:textId="77777777" w:rsidTr="007722AB">
        <w:tblPrEx>
          <w:tblCellMar>
            <w:left w:w="10" w:type="dxa"/>
            <w:right w:w="10" w:type="dxa"/>
          </w:tblCellMar>
          <w:tblLook w:val="04A0" w:firstRow="1" w:lastRow="0" w:firstColumn="1" w:lastColumn="0" w:noHBand="0" w:noVBand="1"/>
        </w:tblPrEx>
        <w:trPr>
          <w:trHeight w:val="397"/>
        </w:trPr>
        <w:tc>
          <w:tcPr>
            <w:tcW w:w="4950" w:type="dxa"/>
            <w:shd w:val="clear" w:color="auto" w:fill="auto"/>
            <w:tcMar>
              <w:top w:w="0" w:type="dxa"/>
              <w:left w:w="108" w:type="dxa"/>
              <w:bottom w:w="0" w:type="dxa"/>
              <w:right w:w="108" w:type="dxa"/>
            </w:tcMar>
          </w:tcPr>
          <w:p w14:paraId="6935C7A9" w14:textId="77777777" w:rsidR="004E6FC1" w:rsidRPr="00C045E1" w:rsidRDefault="004E6FC1" w:rsidP="007722AB">
            <w:pPr>
              <w:spacing w:after="0"/>
              <w:jc w:val="both"/>
              <w:rPr>
                <w:rFonts w:ascii="Times New Roman" w:hAnsi="Times New Roman" w:cs="Times New Roman"/>
                <w:bCs/>
                <w:lang w:val="en-GB"/>
              </w:rPr>
            </w:pPr>
            <w:r w:rsidRPr="00C045E1">
              <w:rPr>
                <w:rFonts w:ascii="Times New Roman" w:hAnsi="Times New Roman" w:cs="Times New Roman"/>
                <w:bCs/>
                <w:lang w:val="en-GB"/>
              </w:rPr>
              <w:t>Sharjah Department of Economic Development</w:t>
            </w:r>
          </w:p>
        </w:tc>
        <w:tc>
          <w:tcPr>
            <w:tcW w:w="4590" w:type="dxa"/>
            <w:shd w:val="clear" w:color="auto" w:fill="auto"/>
            <w:tcMar>
              <w:top w:w="0" w:type="dxa"/>
              <w:left w:w="108" w:type="dxa"/>
              <w:bottom w:w="0" w:type="dxa"/>
              <w:right w:w="108" w:type="dxa"/>
            </w:tcMar>
          </w:tcPr>
          <w:p w14:paraId="4F397B88" w14:textId="77777777" w:rsidR="004E6FC1" w:rsidRPr="00DE4338" w:rsidRDefault="004E6FC1" w:rsidP="007722AB">
            <w:pPr>
              <w:spacing w:after="0"/>
              <w:jc w:val="both"/>
              <w:rPr>
                <w:lang w:val="en-AE"/>
              </w:rPr>
            </w:pPr>
            <w:r w:rsidRPr="00C045E1">
              <w:rPr>
                <w:rFonts w:ascii="Times New Roman" w:hAnsi="Times New Roman" w:cs="Times New Roman"/>
                <w:bCs/>
                <w:lang w:val="en-GB"/>
              </w:rPr>
              <w:t xml:space="preserve">Email: </w:t>
            </w:r>
            <w:hyperlink r:id="rId124" w:history="1">
              <w:r w:rsidRPr="00C045E1">
                <w:rPr>
                  <w:rStyle w:val="Hyperlink"/>
                  <w:rFonts w:ascii="Times New Roman" w:hAnsi="Times New Roman" w:cs="Times New Roman"/>
                  <w:lang w:val="en-GB"/>
                </w:rPr>
                <w:t>sedd@sedd.gov.ae</w:t>
              </w:r>
            </w:hyperlink>
          </w:p>
          <w:p w14:paraId="6B44E1C7" w14:textId="77777777" w:rsidR="004E6FC1" w:rsidRPr="00C045E1" w:rsidRDefault="00022BD6" w:rsidP="007722AB">
            <w:pPr>
              <w:spacing w:after="0"/>
              <w:jc w:val="both"/>
              <w:rPr>
                <w:rFonts w:ascii="Times New Roman" w:hAnsi="Times New Roman" w:cs="Times New Roman"/>
                <w:bCs/>
                <w:lang w:val="en-GB"/>
              </w:rPr>
            </w:pPr>
            <w:hyperlink r:id="rId125" w:history="1">
              <w:r w:rsidR="004E6FC1" w:rsidRPr="00576BC3">
                <w:rPr>
                  <w:rStyle w:val="Hyperlink"/>
                  <w:rFonts w:ascii="Times New Roman" w:hAnsi="Times New Roman" w:cs="Times New Roman"/>
                  <w:lang w:val="en-GB"/>
                </w:rPr>
                <w:t>www.sedd.ae</w:t>
              </w:r>
            </w:hyperlink>
            <w:r w:rsidR="004E6FC1" w:rsidRPr="00C045E1">
              <w:rPr>
                <w:rFonts w:ascii="Times New Roman" w:hAnsi="Times New Roman" w:cs="Times New Roman"/>
                <w:bCs/>
                <w:lang w:val="en-GB"/>
              </w:rPr>
              <w:t xml:space="preserve">  </w:t>
            </w:r>
          </w:p>
        </w:tc>
      </w:tr>
      <w:tr w:rsidR="004E6FC1" w:rsidRPr="00022BD6" w14:paraId="0C29DD1B" w14:textId="77777777" w:rsidTr="007722AB">
        <w:tblPrEx>
          <w:tblCellMar>
            <w:left w:w="10" w:type="dxa"/>
            <w:right w:w="10" w:type="dxa"/>
          </w:tblCellMar>
          <w:tblLook w:val="04A0" w:firstRow="1" w:lastRow="0" w:firstColumn="1" w:lastColumn="0" w:noHBand="0" w:noVBand="1"/>
        </w:tblPrEx>
        <w:trPr>
          <w:trHeight w:val="397"/>
        </w:trPr>
        <w:tc>
          <w:tcPr>
            <w:tcW w:w="4950" w:type="dxa"/>
            <w:shd w:val="clear" w:color="auto" w:fill="auto"/>
            <w:tcMar>
              <w:top w:w="0" w:type="dxa"/>
              <w:left w:w="108" w:type="dxa"/>
              <w:bottom w:w="0" w:type="dxa"/>
              <w:right w:w="108" w:type="dxa"/>
            </w:tcMar>
          </w:tcPr>
          <w:p w14:paraId="42CD3DC5" w14:textId="77777777" w:rsidR="004E6FC1" w:rsidRPr="00C045E1" w:rsidRDefault="004E6FC1" w:rsidP="007722AB">
            <w:pPr>
              <w:spacing w:after="0"/>
              <w:jc w:val="both"/>
              <w:rPr>
                <w:rFonts w:ascii="Times New Roman" w:hAnsi="Times New Roman" w:cs="Times New Roman"/>
                <w:bCs/>
                <w:lang w:val="en-GB"/>
              </w:rPr>
            </w:pPr>
            <w:r w:rsidRPr="00C045E1">
              <w:rPr>
                <w:rFonts w:ascii="Times New Roman" w:hAnsi="Times New Roman" w:cs="Times New Roman"/>
                <w:bCs/>
                <w:lang w:val="en-GB"/>
              </w:rPr>
              <w:t>Ajman Municipality</w:t>
            </w:r>
          </w:p>
        </w:tc>
        <w:tc>
          <w:tcPr>
            <w:tcW w:w="4590" w:type="dxa"/>
            <w:shd w:val="clear" w:color="auto" w:fill="auto"/>
            <w:tcMar>
              <w:top w:w="0" w:type="dxa"/>
              <w:left w:w="108" w:type="dxa"/>
              <w:bottom w:w="0" w:type="dxa"/>
              <w:right w:w="108" w:type="dxa"/>
            </w:tcMar>
          </w:tcPr>
          <w:p w14:paraId="56C77FCA" w14:textId="77777777" w:rsidR="004E6FC1" w:rsidRPr="00DE4338" w:rsidRDefault="004E6FC1" w:rsidP="007722AB">
            <w:pPr>
              <w:spacing w:after="0"/>
              <w:jc w:val="both"/>
              <w:rPr>
                <w:lang w:val="en-AE"/>
              </w:rPr>
            </w:pPr>
            <w:r w:rsidRPr="00C045E1">
              <w:rPr>
                <w:rFonts w:ascii="Times New Roman" w:hAnsi="Times New Roman" w:cs="Times New Roman"/>
                <w:bCs/>
                <w:lang w:val="en-GB"/>
              </w:rPr>
              <w:t xml:space="preserve">Email: </w:t>
            </w:r>
            <w:hyperlink r:id="rId126" w:history="1">
              <w:r w:rsidRPr="00C045E1">
                <w:rPr>
                  <w:rStyle w:val="Hyperlink"/>
                  <w:rFonts w:ascii="Times New Roman" w:hAnsi="Times New Roman" w:cs="Times New Roman"/>
                  <w:lang w:val="en-GB"/>
                </w:rPr>
                <w:t>80070@am.gov.ae</w:t>
              </w:r>
            </w:hyperlink>
          </w:p>
          <w:p w14:paraId="3E7E3E53" w14:textId="77777777" w:rsidR="004E6FC1" w:rsidRPr="00C045E1" w:rsidRDefault="00022BD6" w:rsidP="007722AB">
            <w:pPr>
              <w:spacing w:after="0"/>
              <w:jc w:val="both"/>
              <w:rPr>
                <w:rFonts w:ascii="Times New Roman" w:hAnsi="Times New Roman" w:cs="Times New Roman"/>
                <w:bCs/>
                <w:lang w:val="en-GB"/>
              </w:rPr>
            </w:pPr>
            <w:hyperlink r:id="rId127" w:history="1">
              <w:r w:rsidR="004E6FC1" w:rsidRPr="00576BC3">
                <w:rPr>
                  <w:rStyle w:val="Hyperlink"/>
                  <w:rFonts w:ascii="Times New Roman" w:hAnsi="Times New Roman" w:cs="Times New Roman"/>
                  <w:lang w:val="en-GB"/>
                </w:rPr>
                <w:t>www.am.gov.ae</w:t>
              </w:r>
            </w:hyperlink>
            <w:r w:rsidR="004E6FC1" w:rsidRPr="00C045E1">
              <w:rPr>
                <w:rFonts w:ascii="Times New Roman" w:hAnsi="Times New Roman" w:cs="Times New Roman"/>
                <w:bCs/>
                <w:lang w:val="en-GB"/>
              </w:rPr>
              <w:t xml:space="preserve"> </w:t>
            </w:r>
          </w:p>
        </w:tc>
      </w:tr>
      <w:tr w:rsidR="004E6FC1" w:rsidRPr="00022BD6" w14:paraId="37D988A4" w14:textId="77777777" w:rsidTr="007722AB">
        <w:tblPrEx>
          <w:tblCellMar>
            <w:left w:w="10" w:type="dxa"/>
            <w:right w:w="10" w:type="dxa"/>
          </w:tblCellMar>
          <w:tblLook w:val="04A0" w:firstRow="1" w:lastRow="0" w:firstColumn="1" w:lastColumn="0" w:noHBand="0" w:noVBand="1"/>
        </w:tblPrEx>
        <w:trPr>
          <w:trHeight w:val="616"/>
        </w:trPr>
        <w:tc>
          <w:tcPr>
            <w:tcW w:w="4950" w:type="dxa"/>
            <w:shd w:val="clear" w:color="auto" w:fill="auto"/>
            <w:tcMar>
              <w:top w:w="0" w:type="dxa"/>
              <w:left w:w="108" w:type="dxa"/>
              <w:bottom w:w="0" w:type="dxa"/>
              <w:right w:w="108" w:type="dxa"/>
            </w:tcMar>
          </w:tcPr>
          <w:p w14:paraId="3D141E50" w14:textId="77777777" w:rsidR="004E6FC1" w:rsidRPr="00C045E1" w:rsidRDefault="004E6FC1" w:rsidP="007722AB">
            <w:pPr>
              <w:spacing w:after="0"/>
              <w:jc w:val="both"/>
              <w:rPr>
                <w:rFonts w:ascii="Times New Roman" w:hAnsi="Times New Roman" w:cs="Times New Roman"/>
                <w:bCs/>
                <w:lang w:val="en-GB"/>
              </w:rPr>
            </w:pPr>
            <w:r w:rsidRPr="00C045E1">
              <w:rPr>
                <w:rFonts w:ascii="Times New Roman" w:hAnsi="Times New Roman" w:cs="Times New Roman"/>
                <w:bCs/>
                <w:lang w:val="en-GB"/>
              </w:rPr>
              <w:t>Umm Al Quwain Municipality</w:t>
            </w:r>
          </w:p>
        </w:tc>
        <w:tc>
          <w:tcPr>
            <w:tcW w:w="4590" w:type="dxa"/>
            <w:shd w:val="clear" w:color="auto" w:fill="auto"/>
            <w:tcMar>
              <w:top w:w="0" w:type="dxa"/>
              <w:left w:w="108" w:type="dxa"/>
              <w:bottom w:w="0" w:type="dxa"/>
              <w:right w:w="108" w:type="dxa"/>
            </w:tcMar>
          </w:tcPr>
          <w:p w14:paraId="47DBC42B" w14:textId="77777777" w:rsidR="004E6FC1" w:rsidRDefault="004E6FC1" w:rsidP="007722AB">
            <w:pPr>
              <w:spacing w:after="0"/>
              <w:jc w:val="both"/>
              <w:rPr>
                <w:rFonts w:ascii="Times New Roman" w:hAnsi="Times New Roman" w:cs="Times New Roman"/>
                <w:lang w:val="en-US"/>
              </w:rPr>
            </w:pPr>
            <w:r>
              <w:rPr>
                <w:rFonts w:ascii="Times New Roman" w:hAnsi="Times New Roman" w:cs="Times New Roman"/>
                <w:lang w:val="en-US"/>
              </w:rPr>
              <w:t xml:space="preserve">Email: </w:t>
            </w:r>
            <w:hyperlink r:id="rId128" w:history="1">
              <w:r w:rsidRPr="00C045E1">
                <w:rPr>
                  <w:rStyle w:val="Hyperlink"/>
                  <w:rFonts w:ascii="Times New Roman" w:hAnsi="Times New Roman" w:cs="Times New Roman"/>
                  <w:lang w:val="en-GB"/>
                </w:rPr>
                <w:t>info.md@md.uaqgov.ae</w:t>
              </w:r>
            </w:hyperlink>
            <w:r>
              <w:rPr>
                <w:rFonts w:ascii="Times New Roman" w:hAnsi="Times New Roman" w:cs="Times New Roman"/>
                <w:lang w:val="en-US"/>
              </w:rPr>
              <w:t xml:space="preserve"> </w:t>
            </w:r>
          </w:p>
          <w:p w14:paraId="55018F0B" w14:textId="77777777" w:rsidR="004E6FC1" w:rsidRPr="00C045E1" w:rsidRDefault="00022BD6" w:rsidP="007722AB">
            <w:pPr>
              <w:spacing w:after="0"/>
              <w:jc w:val="both"/>
              <w:rPr>
                <w:rFonts w:ascii="Times New Roman" w:hAnsi="Times New Roman" w:cs="Times New Roman"/>
                <w:bCs/>
                <w:lang w:val="en-GB"/>
              </w:rPr>
            </w:pPr>
            <w:hyperlink r:id="rId129" w:history="1">
              <w:r w:rsidR="004E6FC1" w:rsidRPr="00576BC3">
                <w:rPr>
                  <w:rStyle w:val="Hyperlink"/>
                  <w:rFonts w:ascii="Times New Roman" w:hAnsi="Times New Roman" w:cs="Times New Roman"/>
                  <w:lang w:val="en-US"/>
                </w:rPr>
                <w:t>http://md.uaq.ae/en/home.html</w:t>
              </w:r>
            </w:hyperlink>
            <w:r w:rsidR="004E6FC1" w:rsidRPr="00C045E1">
              <w:rPr>
                <w:rFonts w:ascii="Times New Roman" w:hAnsi="Times New Roman" w:cs="Times New Roman"/>
                <w:bCs/>
                <w:lang w:val="en-GB"/>
              </w:rPr>
              <w:t xml:space="preserve"> </w:t>
            </w:r>
          </w:p>
        </w:tc>
      </w:tr>
      <w:tr w:rsidR="004E6FC1" w:rsidRPr="00022BD6" w14:paraId="14A3F9DD" w14:textId="77777777" w:rsidTr="007722AB">
        <w:tblPrEx>
          <w:tblCellMar>
            <w:left w:w="10" w:type="dxa"/>
            <w:right w:w="10" w:type="dxa"/>
          </w:tblCellMar>
          <w:tblLook w:val="04A0" w:firstRow="1" w:lastRow="0" w:firstColumn="1" w:lastColumn="0" w:noHBand="0" w:noVBand="1"/>
        </w:tblPrEx>
        <w:trPr>
          <w:trHeight w:val="616"/>
        </w:trPr>
        <w:tc>
          <w:tcPr>
            <w:tcW w:w="4950" w:type="dxa"/>
            <w:shd w:val="clear" w:color="auto" w:fill="auto"/>
            <w:tcMar>
              <w:top w:w="0" w:type="dxa"/>
              <w:left w:w="108" w:type="dxa"/>
              <w:bottom w:w="0" w:type="dxa"/>
              <w:right w:w="108" w:type="dxa"/>
            </w:tcMar>
          </w:tcPr>
          <w:p w14:paraId="2F5BC7C8" w14:textId="77777777" w:rsidR="004E6FC1" w:rsidRPr="00C045E1" w:rsidRDefault="004E6FC1" w:rsidP="007722AB">
            <w:pPr>
              <w:spacing w:after="0"/>
              <w:jc w:val="both"/>
              <w:rPr>
                <w:rFonts w:ascii="Times New Roman" w:hAnsi="Times New Roman" w:cs="Times New Roman"/>
                <w:bCs/>
                <w:lang w:val="en-GB"/>
              </w:rPr>
            </w:pPr>
            <w:r w:rsidRPr="00C045E1">
              <w:rPr>
                <w:rFonts w:ascii="Times New Roman" w:hAnsi="Times New Roman" w:cs="Times New Roman"/>
                <w:bCs/>
                <w:lang w:val="en-GB"/>
              </w:rPr>
              <w:t>Umm Al Quwain Dpt. of Economic Development</w:t>
            </w:r>
          </w:p>
        </w:tc>
        <w:tc>
          <w:tcPr>
            <w:tcW w:w="4590" w:type="dxa"/>
            <w:shd w:val="clear" w:color="auto" w:fill="auto"/>
            <w:tcMar>
              <w:top w:w="0" w:type="dxa"/>
              <w:left w:w="108" w:type="dxa"/>
              <w:bottom w:w="0" w:type="dxa"/>
              <w:right w:w="108" w:type="dxa"/>
            </w:tcMar>
          </w:tcPr>
          <w:p w14:paraId="6F0C1314" w14:textId="77777777" w:rsidR="004E6FC1" w:rsidRPr="00B624E0" w:rsidRDefault="004E6FC1" w:rsidP="007722AB">
            <w:pPr>
              <w:spacing w:after="0"/>
              <w:jc w:val="both"/>
              <w:rPr>
                <w:lang w:val="en-AE"/>
              </w:rPr>
            </w:pPr>
            <w:r w:rsidRPr="00C045E1">
              <w:rPr>
                <w:rFonts w:ascii="Times New Roman" w:hAnsi="Times New Roman" w:cs="Times New Roman"/>
                <w:bCs/>
                <w:lang w:val="en-GB"/>
              </w:rPr>
              <w:t xml:space="preserve">Email: </w:t>
            </w:r>
            <w:hyperlink r:id="rId130" w:history="1">
              <w:r w:rsidRPr="00C045E1">
                <w:rPr>
                  <w:rStyle w:val="Hyperlink"/>
                  <w:rFonts w:ascii="Times New Roman" w:hAnsi="Times New Roman" w:cs="Times New Roman"/>
                  <w:lang w:val="en-GB"/>
                </w:rPr>
                <w:t>info@uaqded.gov.ae</w:t>
              </w:r>
            </w:hyperlink>
          </w:p>
          <w:p w14:paraId="3D44D4C9" w14:textId="77777777" w:rsidR="004E6FC1" w:rsidRPr="00C045E1" w:rsidRDefault="00022BD6" w:rsidP="007722AB">
            <w:pPr>
              <w:spacing w:after="0"/>
              <w:jc w:val="both"/>
              <w:rPr>
                <w:rFonts w:ascii="Times New Roman" w:hAnsi="Times New Roman" w:cs="Times New Roman"/>
                <w:bCs/>
                <w:lang w:val="en-GB"/>
              </w:rPr>
            </w:pPr>
            <w:hyperlink r:id="rId131" w:history="1">
              <w:r w:rsidR="004E6FC1" w:rsidRPr="00576BC3">
                <w:rPr>
                  <w:rStyle w:val="Hyperlink"/>
                  <w:rFonts w:ascii="Times New Roman" w:hAnsi="Times New Roman" w:cs="Times New Roman"/>
                  <w:lang w:val="en-GB"/>
                </w:rPr>
                <w:t>http://ded.uaq.ae/</w:t>
              </w:r>
            </w:hyperlink>
            <w:r w:rsidR="004E6FC1" w:rsidRPr="00C045E1">
              <w:rPr>
                <w:rFonts w:ascii="Times New Roman" w:hAnsi="Times New Roman" w:cs="Times New Roman"/>
                <w:bCs/>
                <w:lang w:val="en-GB"/>
              </w:rPr>
              <w:t xml:space="preserve"> </w:t>
            </w:r>
          </w:p>
        </w:tc>
      </w:tr>
      <w:tr w:rsidR="004E6FC1" w:rsidRPr="00022BD6" w14:paraId="15537B6C" w14:textId="77777777" w:rsidTr="007722AB">
        <w:tblPrEx>
          <w:tblCellMar>
            <w:left w:w="10" w:type="dxa"/>
            <w:right w:w="10" w:type="dxa"/>
          </w:tblCellMar>
          <w:tblLook w:val="04A0" w:firstRow="1" w:lastRow="0" w:firstColumn="1" w:lastColumn="0" w:noHBand="0" w:noVBand="1"/>
        </w:tblPrEx>
        <w:trPr>
          <w:trHeight w:val="616"/>
        </w:trPr>
        <w:tc>
          <w:tcPr>
            <w:tcW w:w="4950" w:type="dxa"/>
            <w:shd w:val="clear" w:color="auto" w:fill="auto"/>
            <w:tcMar>
              <w:top w:w="0" w:type="dxa"/>
              <w:left w:w="108" w:type="dxa"/>
              <w:bottom w:w="0" w:type="dxa"/>
              <w:right w:w="108" w:type="dxa"/>
            </w:tcMar>
          </w:tcPr>
          <w:p w14:paraId="71B55AC4" w14:textId="77777777" w:rsidR="004E6FC1" w:rsidRPr="00C045E1" w:rsidRDefault="004E6FC1" w:rsidP="007722AB">
            <w:pPr>
              <w:spacing w:after="0"/>
              <w:jc w:val="both"/>
              <w:rPr>
                <w:rFonts w:ascii="Times New Roman" w:hAnsi="Times New Roman" w:cs="Times New Roman"/>
                <w:bCs/>
                <w:lang w:val="en-GB"/>
              </w:rPr>
            </w:pPr>
            <w:r w:rsidRPr="00C045E1">
              <w:rPr>
                <w:rFonts w:ascii="Times New Roman" w:hAnsi="Times New Roman" w:cs="Times New Roman"/>
                <w:bCs/>
                <w:lang w:val="en-GB"/>
              </w:rPr>
              <w:t>Ras Al Khaimah Municipality</w:t>
            </w:r>
          </w:p>
        </w:tc>
        <w:tc>
          <w:tcPr>
            <w:tcW w:w="4590" w:type="dxa"/>
            <w:shd w:val="clear" w:color="auto" w:fill="auto"/>
            <w:tcMar>
              <w:top w:w="0" w:type="dxa"/>
              <w:left w:w="108" w:type="dxa"/>
              <w:bottom w:w="0" w:type="dxa"/>
              <w:right w:w="108" w:type="dxa"/>
            </w:tcMar>
          </w:tcPr>
          <w:p w14:paraId="5567F5FB" w14:textId="77777777" w:rsidR="004E6FC1" w:rsidRPr="00670C61" w:rsidRDefault="004E6FC1" w:rsidP="007722AB">
            <w:pPr>
              <w:spacing w:after="0"/>
              <w:jc w:val="both"/>
              <w:rPr>
                <w:lang w:val="en-AE"/>
              </w:rPr>
            </w:pPr>
            <w:r w:rsidRPr="00C045E1">
              <w:rPr>
                <w:rFonts w:ascii="Times New Roman" w:hAnsi="Times New Roman" w:cs="Times New Roman"/>
                <w:bCs/>
                <w:lang w:val="en-GB"/>
              </w:rPr>
              <w:t xml:space="preserve">Email: </w:t>
            </w:r>
            <w:hyperlink r:id="rId132" w:history="1">
              <w:r w:rsidRPr="00C045E1">
                <w:rPr>
                  <w:rStyle w:val="Hyperlink"/>
                  <w:rFonts w:ascii="Times New Roman" w:hAnsi="Times New Roman" w:cs="Times New Roman"/>
                  <w:lang w:val="en-GB"/>
                </w:rPr>
                <w:t>info@mun.rak.ae</w:t>
              </w:r>
            </w:hyperlink>
          </w:p>
          <w:p w14:paraId="105483DD" w14:textId="77777777" w:rsidR="004E6FC1" w:rsidRPr="00670C61" w:rsidRDefault="00022BD6" w:rsidP="007722AB">
            <w:pPr>
              <w:spacing w:after="0"/>
              <w:jc w:val="both"/>
              <w:rPr>
                <w:rFonts w:ascii="Times New Roman" w:hAnsi="Times New Roman" w:cs="Times New Roman"/>
                <w:bCs/>
                <w:lang w:val="en-AE"/>
              </w:rPr>
            </w:pPr>
            <w:hyperlink r:id="rId133" w:history="1">
              <w:r w:rsidR="004E6FC1" w:rsidRPr="00576BC3">
                <w:rPr>
                  <w:rStyle w:val="Hyperlink"/>
                  <w:rFonts w:ascii="Times New Roman" w:hAnsi="Times New Roman" w:cs="Times New Roman"/>
                  <w:lang w:val="en-GB"/>
                </w:rPr>
                <w:t>http</w:t>
              </w:r>
              <w:r w:rsidR="004E6FC1" w:rsidRPr="00670C61">
                <w:rPr>
                  <w:rStyle w:val="Hyperlink"/>
                  <w:rFonts w:ascii="Times New Roman" w:hAnsi="Times New Roman" w:cs="Times New Roman"/>
                  <w:lang w:val="en-AE"/>
                </w:rPr>
                <w:t>://</w:t>
              </w:r>
              <w:r w:rsidR="004E6FC1" w:rsidRPr="00576BC3">
                <w:rPr>
                  <w:rStyle w:val="Hyperlink"/>
                  <w:rFonts w:ascii="Times New Roman" w:hAnsi="Times New Roman" w:cs="Times New Roman"/>
                  <w:lang w:val="en-GB"/>
                </w:rPr>
                <w:t>www</w:t>
              </w:r>
              <w:r w:rsidR="004E6FC1" w:rsidRPr="00670C61">
                <w:rPr>
                  <w:rStyle w:val="Hyperlink"/>
                  <w:rFonts w:ascii="Times New Roman" w:hAnsi="Times New Roman" w:cs="Times New Roman"/>
                  <w:lang w:val="en-AE"/>
                </w:rPr>
                <w:t>.</w:t>
              </w:r>
              <w:r w:rsidR="004E6FC1" w:rsidRPr="00576BC3">
                <w:rPr>
                  <w:rStyle w:val="Hyperlink"/>
                  <w:rFonts w:ascii="Times New Roman" w:hAnsi="Times New Roman" w:cs="Times New Roman"/>
                  <w:lang w:val="en-GB"/>
                </w:rPr>
                <w:t>mun</w:t>
              </w:r>
              <w:r w:rsidR="004E6FC1" w:rsidRPr="00670C61">
                <w:rPr>
                  <w:rStyle w:val="Hyperlink"/>
                  <w:rFonts w:ascii="Times New Roman" w:hAnsi="Times New Roman" w:cs="Times New Roman"/>
                  <w:lang w:val="en-AE"/>
                </w:rPr>
                <w:t>.</w:t>
              </w:r>
              <w:r w:rsidR="004E6FC1" w:rsidRPr="00576BC3">
                <w:rPr>
                  <w:rStyle w:val="Hyperlink"/>
                  <w:rFonts w:ascii="Times New Roman" w:hAnsi="Times New Roman" w:cs="Times New Roman"/>
                  <w:lang w:val="en-GB"/>
                </w:rPr>
                <w:t>rak</w:t>
              </w:r>
              <w:r w:rsidR="004E6FC1" w:rsidRPr="00670C61">
                <w:rPr>
                  <w:rStyle w:val="Hyperlink"/>
                  <w:rFonts w:ascii="Times New Roman" w:hAnsi="Times New Roman" w:cs="Times New Roman"/>
                  <w:lang w:val="en-AE"/>
                </w:rPr>
                <w:t>.</w:t>
              </w:r>
              <w:r w:rsidR="004E6FC1" w:rsidRPr="00576BC3">
                <w:rPr>
                  <w:rStyle w:val="Hyperlink"/>
                  <w:rFonts w:ascii="Times New Roman" w:hAnsi="Times New Roman" w:cs="Times New Roman"/>
                  <w:lang w:val="en-GB"/>
                </w:rPr>
                <w:t>ae</w:t>
              </w:r>
            </w:hyperlink>
          </w:p>
        </w:tc>
      </w:tr>
      <w:tr w:rsidR="004E6FC1" w:rsidRPr="00022BD6" w14:paraId="4CE4C5C7" w14:textId="77777777" w:rsidTr="007722AB">
        <w:tblPrEx>
          <w:tblCellMar>
            <w:left w:w="10" w:type="dxa"/>
            <w:right w:w="10" w:type="dxa"/>
          </w:tblCellMar>
          <w:tblLook w:val="04A0" w:firstRow="1" w:lastRow="0" w:firstColumn="1" w:lastColumn="0" w:noHBand="0" w:noVBand="1"/>
        </w:tblPrEx>
        <w:trPr>
          <w:trHeight w:val="616"/>
        </w:trPr>
        <w:tc>
          <w:tcPr>
            <w:tcW w:w="4950" w:type="dxa"/>
            <w:shd w:val="clear" w:color="auto" w:fill="auto"/>
            <w:tcMar>
              <w:top w:w="0" w:type="dxa"/>
              <w:left w:w="108" w:type="dxa"/>
              <w:bottom w:w="0" w:type="dxa"/>
              <w:right w:w="108" w:type="dxa"/>
            </w:tcMar>
          </w:tcPr>
          <w:p w14:paraId="3EB2924F" w14:textId="77777777" w:rsidR="004E6FC1" w:rsidRPr="00C045E1" w:rsidRDefault="004E6FC1" w:rsidP="007722AB">
            <w:pPr>
              <w:spacing w:after="0"/>
              <w:jc w:val="both"/>
              <w:rPr>
                <w:rFonts w:ascii="Times New Roman" w:hAnsi="Times New Roman" w:cs="Times New Roman"/>
                <w:bCs/>
                <w:lang w:val="en-GB"/>
              </w:rPr>
            </w:pPr>
            <w:r w:rsidRPr="00C045E1">
              <w:rPr>
                <w:rFonts w:ascii="Times New Roman" w:hAnsi="Times New Roman" w:cs="Times New Roman"/>
                <w:bCs/>
                <w:lang w:val="en-GB"/>
              </w:rPr>
              <w:t>Ras Al Khaimah Dpt. of Economic Development</w:t>
            </w:r>
          </w:p>
        </w:tc>
        <w:tc>
          <w:tcPr>
            <w:tcW w:w="4590" w:type="dxa"/>
            <w:shd w:val="clear" w:color="auto" w:fill="auto"/>
            <w:tcMar>
              <w:top w:w="0" w:type="dxa"/>
              <w:left w:w="108" w:type="dxa"/>
              <w:bottom w:w="0" w:type="dxa"/>
              <w:right w:w="108" w:type="dxa"/>
            </w:tcMar>
          </w:tcPr>
          <w:p w14:paraId="63A3C3C1" w14:textId="77777777" w:rsidR="004E6FC1" w:rsidRDefault="004E6FC1" w:rsidP="007722AB">
            <w:pPr>
              <w:spacing w:after="0"/>
              <w:jc w:val="both"/>
              <w:rPr>
                <w:rFonts w:ascii="Times New Roman" w:hAnsi="Times New Roman" w:cs="Times New Roman"/>
                <w:lang w:val="en-US"/>
              </w:rPr>
            </w:pPr>
            <w:r>
              <w:rPr>
                <w:rFonts w:ascii="Times New Roman" w:hAnsi="Times New Roman" w:cs="Times New Roman"/>
                <w:lang w:val="en-US"/>
              </w:rPr>
              <w:t xml:space="preserve">Email: </w:t>
            </w:r>
            <w:hyperlink r:id="rId134" w:history="1">
              <w:r w:rsidRPr="00C045E1">
                <w:rPr>
                  <w:rStyle w:val="Hyperlink"/>
                  <w:rFonts w:ascii="Times New Roman" w:hAnsi="Times New Roman" w:cs="Times New Roman"/>
                  <w:lang w:val="en-GB"/>
                </w:rPr>
                <w:t>rakded@economic.rak.ae</w:t>
              </w:r>
            </w:hyperlink>
          </w:p>
          <w:p w14:paraId="1C99A1E6" w14:textId="77777777" w:rsidR="004E6FC1" w:rsidRPr="00C045E1" w:rsidRDefault="00022BD6" w:rsidP="007722AB">
            <w:pPr>
              <w:spacing w:after="0"/>
              <w:jc w:val="both"/>
              <w:rPr>
                <w:rFonts w:ascii="Times New Roman" w:hAnsi="Times New Roman" w:cs="Times New Roman"/>
                <w:bCs/>
                <w:lang w:val="en-GB"/>
              </w:rPr>
            </w:pPr>
            <w:hyperlink r:id="rId135" w:history="1">
              <w:r w:rsidR="004E6FC1" w:rsidRPr="00576BC3">
                <w:rPr>
                  <w:rStyle w:val="Hyperlink"/>
                  <w:rFonts w:ascii="Times New Roman" w:hAnsi="Times New Roman" w:cs="Times New Roman"/>
                  <w:lang w:val="en-GB"/>
                </w:rPr>
                <w:t>http://www.ded.rak.ae</w:t>
              </w:r>
            </w:hyperlink>
            <w:r w:rsidR="004E6FC1" w:rsidRPr="00C045E1">
              <w:rPr>
                <w:rFonts w:ascii="Times New Roman" w:hAnsi="Times New Roman" w:cs="Times New Roman"/>
                <w:bCs/>
                <w:lang w:val="en-GB"/>
              </w:rPr>
              <w:t xml:space="preserve"> </w:t>
            </w:r>
          </w:p>
        </w:tc>
      </w:tr>
      <w:tr w:rsidR="004E6FC1" w:rsidRPr="00022BD6" w14:paraId="73107275" w14:textId="77777777" w:rsidTr="007722AB">
        <w:tblPrEx>
          <w:tblCellMar>
            <w:left w:w="10" w:type="dxa"/>
            <w:right w:w="10" w:type="dxa"/>
          </w:tblCellMar>
          <w:tblLook w:val="04A0" w:firstRow="1" w:lastRow="0" w:firstColumn="1" w:lastColumn="0" w:noHBand="0" w:noVBand="1"/>
        </w:tblPrEx>
        <w:trPr>
          <w:trHeight w:val="616"/>
        </w:trPr>
        <w:tc>
          <w:tcPr>
            <w:tcW w:w="4950" w:type="dxa"/>
            <w:shd w:val="clear" w:color="auto" w:fill="auto"/>
            <w:tcMar>
              <w:top w:w="0" w:type="dxa"/>
              <w:left w:w="108" w:type="dxa"/>
              <w:bottom w:w="0" w:type="dxa"/>
              <w:right w:w="108" w:type="dxa"/>
            </w:tcMar>
          </w:tcPr>
          <w:p w14:paraId="7F84393B" w14:textId="77777777" w:rsidR="004E6FC1" w:rsidRPr="00C045E1" w:rsidRDefault="004E6FC1" w:rsidP="007722AB">
            <w:pPr>
              <w:spacing w:after="0"/>
              <w:jc w:val="both"/>
              <w:rPr>
                <w:rFonts w:ascii="Times New Roman" w:hAnsi="Times New Roman" w:cs="Times New Roman"/>
                <w:bCs/>
                <w:lang w:val="en-GB"/>
              </w:rPr>
            </w:pPr>
            <w:r w:rsidRPr="00C045E1">
              <w:rPr>
                <w:rFonts w:ascii="Times New Roman" w:hAnsi="Times New Roman" w:cs="Times New Roman"/>
                <w:bCs/>
                <w:lang w:val="en-GB"/>
              </w:rPr>
              <w:t>Fujairah Municipality</w:t>
            </w:r>
          </w:p>
        </w:tc>
        <w:tc>
          <w:tcPr>
            <w:tcW w:w="4590" w:type="dxa"/>
            <w:shd w:val="clear" w:color="auto" w:fill="auto"/>
            <w:tcMar>
              <w:top w:w="0" w:type="dxa"/>
              <w:left w:w="108" w:type="dxa"/>
              <w:bottom w:w="0" w:type="dxa"/>
              <w:right w:w="108" w:type="dxa"/>
            </w:tcMar>
          </w:tcPr>
          <w:p w14:paraId="0E9499C0" w14:textId="77777777" w:rsidR="004E6FC1" w:rsidRDefault="004E6FC1" w:rsidP="007722AB">
            <w:pPr>
              <w:spacing w:after="0"/>
              <w:jc w:val="both"/>
              <w:rPr>
                <w:rFonts w:ascii="Times New Roman" w:hAnsi="Times New Roman" w:cs="Times New Roman"/>
                <w:bCs/>
                <w:lang w:val="en-GB"/>
              </w:rPr>
            </w:pPr>
            <w:r w:rsidRPr="00C045E1">
              <w:rPr>
                <w:rFonts w:ascii="Times New Roman" w:hAnsi="Times New Roman" w:cs="Times New Roman"/>
                <w:bCs/>
                <w:lang w:val="en-GB"/>
              </w:rPr>
              <w:t>Email:</w:t>
            </w:r>
            <w:hyperlink r:id="rId136" w:history="1">
              <w:r w:rsidRPr="00576BC3">
                <w:rPr>
                  <w:rStyle w:val="Hyperlink"/>
                  <w:rFonts w:ascii="Times New Roman" w:hAnsi="Times New Roman" w:cs="Times New Roman"/>
                  <w:lang w:val="en-GB"/>
                </w:rPr>
                <w:t>license@fujmun.gov.ae</w:t>
              </w:r>
            </w:hyperlink>
          </w:p>
          <w:p w14:paraId="75DB2467" w14:textId="77777777" w:rsidR="004E6FC1" w:rsidRPr="00C045E1" w:rsidRDefault="00022BD6" w:rsidP="007722AB">
            <w:pPr>
              <w:spacing w:after="0"/>
              <w:jc w:val="both"/>
              <w:rPr>
                <w:rFonts w:ascii="Times New Roman" w:hAnsi="Times New Roman" w:cs="Times New Roman"/>
                <w:bCs/>
                <w:lang w:val="en-GB"/>
              </w:rPr>
            </w:pPr>
            <w:hyperlink r:id="rId137" w:history="1">
              <w:r w:rsidR="004E6FC1" w:rsidRPr="00576BC3">
                <w:rPr>
                  <w:rStyle w:val="Hyperlink"/>
                  <w:rFonts w:ascii="Times New Roman" w:hAnsi="Times New Roman" w:cs="Times New Roman"/>
                  <w:lang w:val="en-GB"/>
                </w:rPr>
                <w:t>www.fujmun.gov.ae</w:t>
              </w:r>
            </w:hyperlink>
            <w:r w:rsidR="004E6FC1" w:rsidRPr="00C045E1">
              <w:rPr>
                <w:rFonts w:ascii="Times New Roman" w:hAnsi="Times New Roman" w:cs="Times New Roman"/>
                <w:bCs/>
                <w:lang w:val="en-GB"/>
              </w:rPr>
              <w:t xml:space="preserve"> </w:t>
            </w:r>
          </w:p>
        </w:tc>
      </w:tr>
    </w:tbl>
    <w:p w14:paraId="5903FA33" w14:textId="77777777" w:rsidR="004E6FC1" w:rsidRPr="00D074C6" w:rsidRDefault="004E6FC1" w:rsidP="004E6FC1">
      <w:pPr>
        <w:spacing w:after="0"/>
        <w:jc w:val="both"/>
        <w:rPr>
          <w:rFonts w:ascii="Times New Roman" w:hAnsi="Times New Roman" w:cs="Times New Roman"/>
          <w:bCs/>
          <w:sz w:val="24"/>
          <w:szCs w:val="24"/>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572"/>
      </w:tblGrid>
      <w:tr w:rsidR="004E6FC1" w:rsidRPr="00DF6C88" w14:paraId="55ACFAEC" w14:textId="77777777" w:rsidTr="007722AB">
        <w:trPr>
          <w:trHeight w:hRule="exact" w:val="360"/>
        </w:trPr>
        <w:tc>
          <w:tcPr>
            <w:tcW w:w="9360" w:type="dxa"/>
            <w:gridSpan w:val="2"/>
            <w:shd w:val="pct15" w:color="auto" w:fill="FFFFFF"/>
            <w:vAlign w:val="center"/>
          </w:tcPr>
          <w:p w14:paraId="08A24E92" w14:textId="77777777" w:rsidR="004E6FC1" w:rsidRPr="00DF6C88" w:rsidRDefault="004E6FC1" w:rsidP="007722AB">
            <w:pPr>
              <w:spacing w:after="0"/>
              <w:jc w:val="both"/>
              <w:rPr>
                <w:rFonts w:ascii="Times New Roman" w:hAnsi="Times New Roman" w:cs="Times New Roman"/>
                <w:b/>
                <w:sz w:val="24"/>
                <w:szCs w:val="24"/>
                <w:u w:val="single"/>
                <w:lang w:val="en-US"/>
              </w:rPr>
            </w:pPr>
            <w:r w:rsidRPr="00DF6C88">
              <w:rPr>
                <w:rFonts w:ascii="Times New Roman" w:hAnsi="Times New Roman" w:cs="Times New Roman"/>
                <w:b/>
                <w:sz w:val="24"/>
                <w:szCs w:val="24"/>
                <w:u w:val="single"/>
              </w:rPr>
              <w:t xml:space="preserve">Ε) </w:t>
            </w:r>
            <w:r w:rsidRPr="00DF6C88">
              <w:rPr>
                <w:rFonts w:ascii="Times New Roman" w:hAnsi="Times New Roman" w:cs="Times New Roman"/>
                <w:b/>
                <w:sz w:val="24"/>
                <w:szCs w:val="24"/>
                <w:u w:val="single"/>
                <w:lang w:val="en-US"/>
              </w:rPr>
              <w:t>Ελεύθερες Ζώνες</w:t>
            </w:r>
          </w:p>
        </w:tc>
      </w:tr>
      <w:tr w:rsidR="004E6FC1" w:rsidRPr="00DF6C88" w14:paraId="2674B892" w14:textId="77777777" w:rsidTr="007722AB">
        <w:tblPrEx>
          <w:tblCellMar>
            <w:left w:w="10" w:type="dxa"/>
            <w:right w:w="10" w:type="dxa"/>
          </w:tblCellMar>
          <w:tblLook w:val="04A0" w:firstRow="1" w:lastRow="0" w:firstColumn="1" w:lastColumn="0" w:noHBand="0" w:noVBand="1"/>
        </w:tblPrEx>
        <w:trPr>
          <w:trHeight w:val="229"/>
        </w:trPr>
        <w:tc>
          <w:tcPr>
            <w:tcW w:w="9360" w:type="dxa"/>
            <w:gridSpan w:val="2"/>
            <w:shd w:val="clear" w:color="auto" w:fill="D9D9D9" w:themeFill="background1" w:themeFillShade="D9"/>
            <w:tcMar>
              <w:top w:w="0" w:type="dxa"/>
              <w:left w:w="108" w:type="dxa"/>
              <w:bottom w:w="0" w:type="dxa"/>
              <w:right w:w="108" w:type="dxa"/>
            </w:tcMar>
          </w:tcPr>
          <w:p w14:paraId="68231F4D" w14:textId="77777777" w:rsidR="004E6FC1" w:rsidRPr="00DF6C88" w:rsidRDefault="004E6FC1" w:rsidP="007722AB">
            <w:pPr>
              <w:spacing w:after="0"/>
              <w:jc w:val="both"/>
              <w:rPr>
                <w:rFonts w:ascii="Times New Roman" w:hAnsi="Times New Roman" w:cs="Times New Roman"/>
                <w:b/>
                <w:bCs/>
                <w:u w:val="single"/>
                <w:lang w:val="en-US"/>
              </w:rPr>
            </w:pPr>
            <w:r w:rsidRPr="00DF6C88">
              <w:rPr>
                <w:rFonts w:ascii="Times New Roman" w:hAnsi="Times New Roman" w:cs="Times New Roman"/>
                <w:b/>
                <w:bCs/>
                <w:u w:val="single"/>
              </w:rPr>
              <w:t xml:space="preserve">Ε1) </w:t>
            </w:r>
            <w:r w:rsidRPr="00DF6C88">
              <w:rPr>
                <w:rFonts w:ascii="Times New Roman" w:hAnsi="Times New Roman" w:cs="Times New Roman"/>
                <w:b/>
                <w:bCs/>
                <w:u w:val="single"/>
                <w:lang w:val="en-US"/>
              </w:rPr>
              <w:t>A</w:t>
            </w:r>
            <w:r>
              <w:rPr>
                <w:rFonts w:ascii="Times New Roman" w:hAnsi="Times New Roman" w:cs="Times New Roman"/>
                <w:b/>
                <w:bCs/>
                <w:u w:val="single"/>
                <w:lang w:val="en-US"/>
              </w:rPr>
              <w:t>bu Dhabi</w:t>
            </w:r>
            <w:r w:rsidRPr="00DF6C88">
              <w:rPr>
                <w:rFonts w:ascii="Times New Roman" w:hAnsi="Times New Roman" w:cs="Times New Roman"/>
                <w:b/>
                <w:bCs/>
                <w:u w:val="single"/>
                <w:lang w:val="en-US"/>
              </w:rPr>
              <w:t xml:space="preserve"> (6)</w:t>
            </w:r>
          </w:p>
        </w:tc>
      </w:tr>
      <w:tr w:rsidR="004E6FC1" w:rsidRPr="00DF6C88" w14:paraId="599590F6" w14:textId="77777777" w:rsidTr="007722AB">
        <w:tblPrEx>
          <w:tblCellMar>
            <w:left w:w="10" w:type="dxa"/>
            <w:right w:w="10" w:type="dxa"/>
          </w:tblCellMar>
          <w:tblLook w:val="04A0" w:firstRow="1" w:lastRow="0" w:firstColumn="1" w:lastColumn="0" w:noHBand="0" w:noVBand="1"/>
        </w:tblPrEx>
        <w:trPr>
          <w:trHeight w:val="397"/>
        </w:trPr>
        <w:tc>
          <w:tcPr>
            <w:tcW w:w="4788" w:type="dxa"/>
            <w:shd w:val="clear" w:color="auto" w:fill="auto"/>
            <w:tcMar>
              <w:top w:w="0" w:type="dxa"/>
              <w:left w:w="108" w:type="dxa"/>
              <w:bottom w:w="0" w:type="dxa"/>
              <w:right w:w="108" w:type="dxa"/>
            </w:tcMar>
          </w:tcPr>
          <w:p w14:paraId="66D98C95" w14:textId="77777777" w:rsidR="004E6FC1" w:rsidRPr="0095052A" w:rsidRDefault="004E6FC1" w:rsidP="007722AB">
            <w:pPr>
              <w:spacing w:after="0"/>
              <w:jc w:val="both"/>
              <w:rPr>
                <w:rFonts w:ascii="Times New Roman" w:hAnsi="Times New Roman" w:cs="Times New Roman"/>
                <w:bCs/>
                <w:iCs/>
                <w:lang w:val="fr-FR"/>
              </w:rPr>
            </w:pPr>
            <w:r w:rsidRPr="0095052A">
              <w:rPr>
                <w:rFonts w:ascii="Times New Roman" w:hAnsi="Times New Roman" w:cs="Times New Roman"/>
                <w:bCs/>
                <w:iCs/>
                <w:lang w:val="fr-FR"/>
              </w:rPr>
              <w:t>Khalifa Industrial Zone – Abu Dhabi (KIZAD)</w:t>
            </w:r>
          </w:p>
          <w:p w14:paraId="42F31E46" w14:textId="77777777" w:rsidR="004E6FC1" w:rsidRPr="00DF6C88" w:rsidRDefault="004E6FC1" w:rsidP="007722AB">
            <w:pPr>
              <w:spacing w:after="0"/>
              <w:jc w:val="both"/>
              <w:rPr>
                <w:rFonts w:ascii="Times New Roman" w:hAnsi="Times New Roman" w:cs="Times New Roman"/>
                <w:bCs/>
                <w:iCs/>
                <w:lang w:val="en-US"/>
              </w:rPr>
            </w:pPr>
            <w:r w:rsidRPr="00DF6C88">
              <w:rPr>
                <w:rFonts w:ascii="Times New Roman" w:hAnsi="Times New Roman" w:cs="Times New Roman"/>
                <w:bCs/>
                <w:iCs/>
                <w:lang w:val="en-US"/>
              </w:rPr>
              <w:t>(Industrial Activities)</w:t>
            </w:r>
          </w:p>
        </w:tc>
        <w:tc>
          <w:tcPr>
            <w:tcW w:w="4572" w:type="dxa"/>
            <w:shd w:val="clear" w:color="auto" w:fill="auto"/>
            <w:tcMar>
              <w:top w:w="0" w:type="dxa"/>
              <w:left w:w="108" w:type="dxa"/>
              <w:bottom w:w="0" w:type="dxa"/>
              <w:right w:w="108" w:type="dxa"/>
            </w:tcMar>
          </w:tcPr>
          <w:p w14:paraId="03DD3DB9" w14:textId="77777777" w:rsidR="004E6FC1" w:rsidRPr="00DF6C88" w:rsidRDefault="00022BD6" w:rsidP="007722AB">
            <w:pPr>
              <w:spacing w:after="0"/>
              <w:jc w:val="both"/>
              <w:rPr>
                <w:rFonts w:ascii="Times New Roman" w:hAnsi="Times New Roman" w:cs="Times New Roman"/>
                <w:bCs/>
                <w:lang w:val="en-US"/>
              </w:rPr>
            </w:pPr>
            <w:hyperlink r:id="rId138" w:history="1">
              <w:r w:rsidR="004E6FC1" w:rsidRPr="00DF6C88">
                <w:rPr>
                  <w:rStyle w:val="Hyperlink"/>
                  <w:rFonts w:ascii="Times New Roman" w:hAnsi="Times New Roman" w:cs="Times New Roman"/>
                  <w:lang w:val="en-US"/>
                </w:rPr>
                <w:t>https://www.kezadgroup.com/</w:t>
              </w:r>
            </w:hyperlink>
            <w:r w:rsidR="004E6FC1" w:rsidRPr="00DF6C88">
              <w:rPr>
                <w:rFonts w:ascii="Times New Roman" w:hAnsi="Times New Roman" w:cs="Times New Roman"/>
                <w:bCs/>
                <w:lang w:val="en-US"/>
              </w:rPr>
              <w:t xml:space="preserve"> </w:t>
            </w:r>
          </w:p>
        </w:tc>
      </w:tr>
      <w:tr w:rsidR="004E6FC1" w:rsidRPr="00022BD6" w14:paraId="4677EB52" w14:textId="77777777" w:rsidTr="007722AB">
        <w:tblPrEx>
          <w:tblCellMar>
            <w:left w:w="10" w:type="dxa"/>
            <w:right w:w="10" w:type="dxa"/>
          </w:tblCellMar>
          <w:tblLook w:val="04A0" w:firstRow="1" w:lastRow="0" w:firstColumn="1" w:lastColumn="0" w:noHBand="0" w:noVBand="1"/>
        </w:tblPrEx>
        <w:trPr>
          <w:trHeight w:val="397"/>
        </w:trPr>
        <w:tc>
          <w:tcPr>
            <w:tcW w:w="4788" w:type="dxa"/>
            <w:shd w:val="clear" w:color="auto" w:fill="auto"/>
            <w:tcMar>
              <w:top w:w="0" w:type="dxa"/>
              <w:left w:w="108" w:type="dxa"/>
              <w:bottom w:w="0" w:type="dxa"/>
              <w:right w:w="108" w:type="dxa"/>
            </w:tcMar>
          </w:tcPr>
          <w:p w14:paraId="59E71464" w14:textId="77777777" w:rsidR="004E6FC1" w:rsidRPr="00DF6C88" w:rsidRDefault="004E6FC1" w:rsidP="007722AB">
            <w:pPr>
              <w:spacing w:after="0"/>
              <w:jc w:val="both"/>
              <w:rPr>
                <w:rFonts w:ascii="Times New Roman" w:hAnsi="Times New Roman" w:cs="Times New Roman"/>
                <w:bCs/>
                <w:lang w:val="en-US"/>
              </w:rPr>
            </w:pPr>
            <w:r w:rsidRPr="00DF6C88">
              <w:rPr>
                <w:rFonts w:ascii="Times New Roman" w:hAnsi="Times New Roman" w:cs="Times New Roman"/>
                <w:bCs/>
                <w:lang w:val="en-US"/>
              </w:rPr>
              <w:t xml:space="preserve">Khalifa Port Free Trade Zone </w:t>
            </w:r>
          </w:p>
          <w:p w14:paraId="1106372B" w14:textId="77777777" w:rsidR="004E6FC1" w:rsidRPr="00DF6C88" w:rsidRDefault="004E6FC1" w:rsidP="007722AB">
            <w:pPr>
              <w:spacing w:after="0"/>
              <w:jc w:val="both"/>
              <w:rPr>
                <w:rFonts w:ascii="Times New Roman" w:hAnsi="Times New Roman" w:cs="Times New Roman"/>
                <w:bCs/>
                <w:lang w:val="en-US"/>
              </w:rPr>
            </w:pPr>
            <w:r w:rsidRPr="00DF6C88">
              <w:rPr>
                <w:rFonts w:ascii="Times New Roman" w:hAnsi="Times New Roman" w:cs="Times New Roman"/>
                <w:bCs/>
                <w:lang w:val="en-US"/>
              </w:rPr>
              <w:t>(Trade &amp; Logistics)</w:t>
            </w:r>
          </w:p>
        </w:tc>
        <w:tc>
          <w:tcPr>
            <w:tcW w:w="4572" w:type="dxa"/>
            <w:shd w:val="clear" w:color="auto" w:fill="auto"/>
            <w:tcMar>
              <w:top w:w="0" w:type="dxa"/>
              <w:left w:w="108" w:type="dxa"/>
              <w:bottom w:w="0" w:type="dxa"/>
              <w:right w:w="108" w:type="dxa"/>
            </w:tcMar>
          </w:tcPr>
          <w:p w14:paraId="367F233F" w14:textId="77777777" w:rsidR="004E6FC1" w:rsidRPr="00DF6C88" w:rsidRDefault="00022BD6" w:rsidP="007722AB">
            <w:pPr>
              <w:spacing w:after="0"/>
              <w:jc w:val="both"/>
              <w:rPr>
                <w:rFonts w:ascii="Times New Roman" w:hAnsi="Times New Roman" w:cs="Times New Roman"/>
                <w:bCs/>
                <w:lang w:val="en-US"/>
              </w:rPr>
            </w:pPr>
            <w:hyperlink r:id="rId139" w:history="1">
              <w:r w:rsidR="004E6FC1" w:rsidRPr="00DF6C88">
                <w:rPr>
                  <w:rStyle w:val="Hyperlink"/>
                  <w:rFonts w:ascii="Times New Roman" w:hAnsi="Times New Roman" w:cs="Times New Roman"/>
                  <w:lang w:val="en-US"/>
                </w:rPr>
                <w:t>https://www.kezadgroup.com/free-zone/</w:t>
              </w:r>
            </w:hyperlink>
            <w:r w:rsidR="004E6FC1" w:rsidRPr="00DF6C88">
              <w:rPr>
                <w:rFonts w:ascii="Times New Roman" w:hAnsi="Times New Roman" w:cs="Times New Roman"/>
                <w:bCs/>
                <w:lang w:val="en-US"/>
              </w:rPr>
              <w:t xml:space="preserve"> </w:t>
            </w:r>
          </w:p>
        </w:tc>
      </w:tr>
      <w:tr w:rsidR="004E6FC1" w:rsidRPr="00022BD6" w14:paraId="1E9DAEAE" w14:textId="77777777" w:rsidTr="007722AB">
        <w:tblPrEx>
          <w:tblCellMar>
            <w:left w:w="10" w:type="dxa"/>
            <w:right w:w="10" w:type="dxa"/>
          </w:tblCellMar>
          <w:tblLook w:val="04A0" w:firstRow="1" w:lastRow="0" w:firstColumn="1" w:lastColumn="0" w:noHBand="0" w:noVBand="1"/>
        </w:tblPrEx>
        <w:trPr>
          <w:trHeight w:val="397"/>
        </w:trPr>
        <w:tc>
          <w:tcPr>
            <w:tcW w:w="47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8B94EA" w14:textId="77777777" w:rsidR="004E6FC1" w:rsidRPr="00DF6C88" w:rsidRDefault="004E6FC1" w:rsidP="007722AB">
            <w:pPr>
              <w:spacing w:after="0"/>
              <w:jc w:val="both"/>
              <w:rPr>
                <w:rFonts w:ascii="Times New Roman" w:hAnsi="Times New Roman" w:cs="Times New Roman"/>
                <w:bCs/>
                <w:lang w:val="en-US"/>
              </w:rPr>
            </w:pPr>
            <w:r w:rsidRPr="00DF6C88">
              <w:rPr>
                <w:rFonts w:ascii="Times New Roman" w:hAnsi="Times New Roman" w:cs="Times New Roman"/>
                <w:bCs/>
                <w:lang w:val="en-US"/>
              </w:rPr>
              <w:t xml:space="preserve">Abu Dhabi Airport Free Zone </w:t>
            </w:r>
          </w:p>
          <w:p w14:paraId="62DC8C9A" w14:textId="77777777" w:rsidR="004E6FC1" w:rsidRPr="00DF6C88" w:rsidRDefault="004E6FC1" w:rsidP="007722AB">
            <w:pPr>
              <w:spacing w:after="0"/>
              <w:jc w:val="both"/>
              <w:rPr>
                <w:rFonts w:ascii="Times New Roman" w:hAnsi="Times New Roman" w:cs="Times New Roman"/>
                <w:bCs/>
                <w:lang w:val="en-US"/>
              </w:rPr>
            </w:pPr>
            <w:r w:rsidRPr="00DF6C88">
              <w:rPr>
                <w:rFonts w:ascii="Times New Roman" w:hAnsi="Times New Roman" w:cs="Times New Roman"/>
                <w:bCs/>
                <w:lang w:val="en-US"/>
              </w:rPr>
              <w:t>(Mixed-Use)</w:t>
            </w:r>
          </w:p>
          <w:p w14:paraId="420AE79B" w14:textId="77777777" w:rsidR="004E6FC1" w:rsidRPr="00DF6C88" w:rsidRDefault="004E6FC1" w:rsidP="007722AB">
            <w:pPr>
              <w:spacing w:after="0"/>
              <w:jc w:val="both"/>
              <w:rPr>
                <w:rFonts w:ascii="Times New Roman" w:hAnsi="Times New Roman" w:cs="Times New Roman"/>
                <w:bCs/>
                <w:lang w:val="en-US"/>
              </w:rPr>
            </w:pPr>
          </w:p>
        </w:tc>
        <w:tc>
          <w:tcPr>
            <w:tcW w:w="45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640DAF" w14:textId="77777777" w:rsidR="004E6FC1" w:rsidRPr="00DF6C88" w:rsidRDefault="004E6FC1" w:rsidP="007722AB">
            <w:pPr>
              <w:spacing w:after="0"/>
              <w:jc w:val="both"/>
              <w:rPr>
                <w:rFonts w:ascii="Times New Roman" w:hAnsi="Times New Roman" w:cs="Times New Roman"/>
                <w:bCs/>
                <w:lang w:val="en-US"/>
              </w:rPr>
            </w:pPr>
            <w:r w:rsidRPr="00DF6C88">
              <w:rPr>
                <w:rFonts w:ascii="Times New Roman" w:hAnsi="Times New Roman" w:cs="Times New Roman"/>
                <w:bCs/>
                <w:lang w:val="en-US"/>
              </w:rPr>
              <w:t>Licensing Authority:</w:t>
            </w:r>
          </w:p>
          <w:p w14:paraId="146DCD64" w14:textId="77777777" w:rsidR="004E6FC1" w:rsidRPr="00DF6C88" w:rsidRDefault="004E6FC1" w:rsidP="007722AB">
            <w:pPr>
              <w:spacing w:after="0"/>
              <w:jc w:val="both"/>
              <w:rPr>
                <w:rFonts w:ascii="Times New Roman" w:hAnsi="Times New Roman" w:cs="Times New Roman"/>
                <w:bCs/>
                <w:lang w:val="en-US"/>
              </w:rPr>
            </w:pPr>
            <w:r w:rsidRPr="00DF6C88">
              <w:rPr>
                <w:rFonts w:ascii="Times New Roman" w:hAnsi="Times New Roman" w:cs="Times New Roman"/>
                <w:bCs/>
                <w:lang w:val="en-US"/>
              </w:rPr>
              <w:t>Abu Dhabi Airport Free Zone Authority</w:t>
            </w:r>
          </w:p>
          <w:p w14:paraId="536D2E7F" w14:textId="77777777" w:rsidR="004E6FC1" w:rsidRPr="00DF6C88" w:rsidRDefault="004E6FC1" w:rsidP="007722AB">
            <w:pPr>
              <w:spacing w:after="0"/>
              <w:jc w:val="both"/>
              <w:rPr>
                <w:rFonts w:ascii="Times New Roman" w:hAnsi="Times New Roman" w:cs="Times New Roman"/>
                <w:bCs/>
                <w:lang w:val="en-US"/>
              </w:rPr>
            </w:pPr>
            <w:r w:rsidRPr="00DF6C88">
              <w:rPr>
                <w:rFonts w:ascii="Times New Roman" w:hAnsi="Times New Roman" w:cs="Times New Roman"/>
                <w:bCs/>
                <w:lang w:val="en-US"/>
              </w:rPr>
              <w:t xml:space="preserve">Email: </w:t>
            </w:r>
            <w:hyperlink r:id="rId140" w:history="1">
              <w:r w:rsidRPr="00DF6C88">
                <w:rPr>
                  <w:rStyle w:val="Hyperlink"/>
                  <w:rFonts w:ascii="Times New Roman" w:hAnsi="Times New Roman" w:cs="Times New Roman"/>
                  <w:lang w:val="en-US"/>
                </w:rPr>
                <w:t>info@adafz.ae</w:t>
              </w:r>
            </w:hyperlink>
            <w:r w:rsidRPr="00DF6C88">
              <w:rPr>
                <w:rFonts w:ascii="Times New Roman" w:hAnsi="Times New Roman" w:cs="Times New Roman"/>
                <w:bCs/>
                <w:lang w:val="en-US"/>
              </w:rPr>
              <w:t xml:space="preserve">, </w:t>
            </w:r>
            <w:hyperlink r:id="rId141" w:history="1">
              <w:r w:rsidRPr="00DF6C88">
                <w:rPr>
                  <w:rStyle w:val="Hyperlink"/>
                  <w:rFonts w:ascii="Times New Roman" w:hAnsi="Times New Roman" w:cs="Times New Roman"/>
                  <w:lang w:val="en-US"/>
                </w:rPr>
                <w:t>www.adafz.ae</w:t>
              </w:r>
            </w:hyperlink>
            <w:r w:rsidRPr="00DF6C88">
              <w:rPr>
                <w:rFonts w:ascii="Times New Roman" w:hAnsi="Times New Roman" w:cs="Times New Roman"/>
                <w:bCs/>
                <w:lang w:val="en-US"/>
              </w:rPr>
              <w:t xml:space="preserve"> </w:t>
            </w:r>
          </w:p>
        </w:tc>
      </w:tr>
      <w:tr w:rsidR="004E6FC1" w:rsidRPr="00022BD6" w14:paraId="0F292E34" w14:textId="77777777" w:rsidTr="007722AB">
        <w:tblPrEx>
          <w:tblCellMar>
            <w:left w:w="10" w:type="dxa"/>
            <w:right w:w="10" w:type="dxa"/>
          </w:tblCellMar>
          <w:tblLook w:val="04A0" w:firstRow="1" w:lastRow="0" w:firstColumn="1" w:lastColumn="0" w:noHBand="0" w:noVBand="1"/>
        </w:tblPrEx>
        <w:trPr>
          <w:trHeight w:val="397"/>
        </w:trPr>
        <w:tc>
          <w:tcPr>
            <w:tcW w:w="4788" w:type="dxa"/>
            <w:shd w:val="clear" w:color="auto" w:fill="auto"/>
            <w:tcMar>
              <w:top w:w="0" w:type="dxa"/>
              <w:left w:w="108" w:type="dxa"/>
              <w:bottom w:w="0" w:type="dxa"/>
              <w:right w:w="108" w:type="dxa"/>
            </w:tcMar>
          </w:tcPr>
          <w:p w14:paraId="22431C4F" w14:textId="77777777" w:rsidR="004E6FC1" w:rsidRPr="00DF6C88" w:rsidRDefault="004E6FC1" w:rsidP="007722AB">
            <w:pPr>
              <w:spacing w:after="0"/>
              <w:jc w:val="both"/>
              <w:rPr>
                <w:rFonts w:ascii="Times New Roman" w:hAnsi="Times New Roman" w:cs="Times New Roman"/>
                <w:bCs/>
                <w:lang w:val="en-US"/>
              </w:rPr>
            </w:pPr>
            <w:r w:rsidRPr="00DF6C88">
              <w:rPr>
                <w:rFonts w:ascii="Times New Roman" w:hAnsi="Times New Roman" w:cs="Times New Roman"/>
                <w:bCs/>
                <w:lang w:val="en-US"/>
              </w:rPr>
              <w:t>Masdar City</w:t>
            </w:r>
          </w:p>
          <w:p w14:paraId="03A1C70A" w14:textId="77777777" w:rsidR="004E6FC1" w:rsidRPr="00DF6C88" w:rsidRDefault="004E6FC1" w:rsidP="007722AB">
            <w:pPr>
              <w:spacing w:after="0"/>
              <w:jc w:val="both"/>
              <w:rPr>
                <w:rFonts w:ascii="Times New Roman" w:hAnsi="Times New Roman" w:cs="Times New Roman"/>
                <w:bCs/>
                <w:lang w:val="en-US"/>
              </w:rPr>
            </w:pPr>
            <w:r w:rsidRPr="00DF6C88">
              <w:rPr>
                <w:rFonts w:ascii="Times New Roman" w:hAnsi="Times New Roman" w:cs="Times New Roman"/>
                <w:bCs/>
                <w:iCs/>
                <w:lang w:val="en-US"/>
              </w:rPr>
              <w:t>(Renewable Energy)</w:t>
            </w:r>
          </w:p>
        </w:tc>
        <w:tc>
          <w:tcPr>
            <w:tcW w:w="4572" w:type="dxa"/>
            <w:shd w:val="clear" w:color="auto" w:fill="auto"/>
            <w:tcMar>
              <w:top w:w="0" w:type="dxa"/>
              <w:left w:w="108" w:type="dxa"/>
              <w:bottom w:w="0" w:type="dxa"/>
              <w:right w:w="108" w:type="dxa"/>
            </w:tcMar>
          </w:tcPr>
          <w:p w14:paraId="705D70EB" w14:textId="77777777" w:rsidR="004E6FC1" w:rsidRPr="00DF6C88" w:rsidRDefault="004E6FC1" w:rsidP="007722AB">
            <w:pPr>
              <w:spacing w:after="0"/>
              <w:jc w:val="both"/>
              <w:rPr>
                <w:rFonts w:ascii="Times New Roman" w:hAnsi="Times New Roman" w:cs="Times New Roman"/>
                <w:bCs/>
                <w:lang w:val="en-US"/>
              </w:rPr>
            </w:pPr>
            <w:r w:rsidRPr="00DF6C88">
              <w:rPr>
                <w:rFonts w:ascii="Times New Roman" w:hAnsi="Times New Roman" w:cs="Times New Roman"/>
                <w:bCs/>
                <w:lang w:val="en-US"/>
              </w:rPr>
              <w:t>Licensing Authority:</w:t>
            </w:r>
          </w:p>
          <w:p w14:paraId="4BC1E09B" w14:textId="77777777" w:rsidR="004E6FC1" w:rsidRPr="00DF6C88" w:rsidRDefault="004E6FC1" w:rsidP="007722AB">
            <w:pPr>
              <w:spacing w:after="0"/>
              <w:jc w:val="both"/>
              <w:rPr>
                <w:rFonts w:ascii="Times New Roman" w:hAnsi="Times New Roman" w:cs="Times New Roman"/>
                <w:bCs/>
                <w:lang w:val="en-US"/>
              </w:rPr>
            </w:pPr>
            <w:r w:rsidRPr="00DF6C88">
              <w:rPr>
                <w:rFonts w:ascii="Times New Roman" w:hAnsi="Times New Roman" w:cs="Times New Roman"/>
                <w:bCs/>
                <w:lang w:val="en-US"/>
              </w:rPr>
              <w:t>Masdar City Authority</w:t>
            </w:r>
          </w:p>
          <w:p w14:paraId="67D27040" w14:textId="77777777" w:rsidR="004E6FC1" w:rsidRPr="00DF6C88" w:rsidRDefault="00022BD6" w:rsidP="007722AB">
            <w:pPr>
              <w:spacing w:after="0"/>
              <w:jc w:val="both"/>
              <w:rPr>
                <w:rFonts w:ascii="Times New Roman" w:hAnsi="Times New Roman" w:cs="Times New Roman"/>
                <w:bCs/>
                <w:lang w:val="en-GB"/>
              </w:rPr>
            </w:pPr>
            <w:hyperlink r:id="rId142" w:history="1">
              <w:r w:rsidR="004E6FC1" w:rsidRPr="00DF6C88">
                <w:rPr>
                  <w:rStyle w:val="Hyperlink"/>
                  <w:rFonts w:ascii="Times New Roman" w:hAnsi="Times New Roman" w:cs="Times New Roman"/>
                  <w:lang w:val="en-US"/>
                </w:rPr>
                <w:t>www.masdarcity.ae</w:t>
              </w:r>
            </w:hyperlink>
            <w:r w:rsidR="004E6FC1" w:rsidRPr="00DF6C88">
              <w:rPr>
                <w:rFonts w:ascii="Times New Roman" w:hAnsi="Times New Roman" w:cs="Times New Roman"/>
                <w:bCs/>
                <w:lang w:val="en-US"/>
              </w:rPr>
              <w:t xml:space="preserve"> </w:t>
            </w:r>
          </w:p>
        </w:tc>
      </w:tr>
      <w:tr w:rsidR="004E6FC1" w:rsidRPr="00DF6C88" w14:paraId="6B8BCD0C" w14:textId="77777777" w:rsidTr="007722AB">
        <w:tblPrEx>
          <w:tblCellMar>
            <w:left w:w="10" w:type="dxa"/>
            <w:right w:w="10" w:type="dxa"/>
          </w:tblCellMar>
          <w:tblLook w:val="04A0" w:firstRow="1" w:lastRow="0" w:firstColumn="1" w:lastColumn="0" w:noHBand="0" w:noVBand="1"/>
        </w:tblPrEx>
        <w:trPr>
          <w:trHeight w:val="397"/>
        </w:trPr>
        <w:tc>
          <w:tcPr>
            <w:tcW w:w="4788" w:type="dxa"/>
            <w:shd w:val="clear" w:color="auto" w:fill="auto"/>
            <w:tcMar>
              <w:top w:w="0" w:type="dxa"/>
              <w:left w:w="108" w:type="dxa"/>
              <w:bottom w:w="0" w:type="dxa"/>
              <w:right w:w="108" w:type="dxa"/>
            </w:tcMar>
          </w:tcPr>
          <w:p w14:paraId="39DE4A65" w14:textId="77777777" w:rsidR="004E6FC1" w:rsidRPr="00DF6C88" w:rsidRDefault="004E6FC1" w:rsidP="007722AB">
            <w:pPr>
              <w:spacing w:after="0"/>
              <w:jc w:val="both"/>
              <w:rPr>
                <w:rFonts w:ascii="Times New Roman" w:hAnsi="Times New Roman" w:cs="Times New Roman"/>
                <w:bCs/>
                <w:lang w:val="en-GB"/>
              </w:rPr>
            </w:pPr>
            <w:r w:rsidRPr="00DF6C88">
              <w:rPr>
                <w:rFonts w:ascii="Times New Roman" w:hAnsi="Times New Roman" w:cs="Times New Roman"/>
                <w:bCs/>
                <w:lang w:val="en-US"/>
              </w:rPr>
              <w:t xml:space="preserve">Abu Dhabi Global Market – </w:t>
            </w:r>
            <w:r w:rsidRPr="00DF6C88">
              <w:rPr>
                <w:rFonts w:ascii="Times New Roman" w:hAnsi="Times New Roman" w:cs="Times New Roman"/>
                <w:bCs/>
                <w:lang w:val="en-GB"/>
              </w:rPr>
              <w:t>ADGM</w:t>
            </w:r>
          </w:p>
          <w:p w14:paraId="1FD8E5CD" w14:textId="77777777" w:rsidR="004E6FC1" w:rsidRPr="00DF6C88" w:rsidRDefault="004E6FC1" w:rsidP="007722AB">
            <w:pPr>
              <w:spacing w:after="0"/>
              <w:jc w:val="both"/>
              <w:rPr>
                <w:rFonts w:ascii="Times New Roman" w:hAnsi="Times New Roman" w:cs="Times New Roman"/>
                <w:bCs/>
                <w:lang w:val="en-GB"/>
              </w:rPr>
            </w:pPr>
            <w:r w:rsidRPr="00DF6C88">
              <w:rPr>
                <w:rFonts w:ascii="Times New Roman" w:hAnsi="Times New Roman" w:cs="Times New Roman"/>
                <w:bCs/>
                <w:lang w:val="en-GB"/>
              </w:rPr>
              <w:t>(Financial Hub)</w:t>
            </w:r>
          </w:p>
        </w:tc>
        <w:tc>
          <w:tcPr>
            <w:tcW w:w="4572" w:type="dxa"/>
            <w:shd w:val="clear" w:color="auto" w:fill="auto"/>
            <w:tcMar>
              <w:top w:w="0" w:type="dxa"/>
              <w:left w:w="108" w:type="dxa"/>
              <w:bottom w:w="0" w:type="dxa"/>
              <w:right w:w="108" w:type="dxa"/>
            </w:tcMar>
          </w:tcPr>
          <w:p w14:paraId="5EF4AC88" w14:textId="77777777" w:rsidR="004E6FC1" w:rsidRPr="00DF6C88" w:rsidRDefault="00022BD6" w:rsidP="007722AB">
            <w:pPr>
              <w:spacing w:after="0"/>
              <w:jc w:val="both"/>
              <w:rPr>
                <w:rFonts w:ascii="Times New Roman" w:hAnsi="Times New Roman" w:cs="Times New Roman"/>
                <w:bCs/>
                <w:lang w:val="en-US"/>
              </w:rPr>
            </w:pPr>
            <w:hyperlink r:id="rId143" w:history="1">
              <w:r w:rsidR="004E6FC1" w:rsidRPr="00DF6C88">
                <w:rPr>
                  <w:rStyle w:val="Hyperlink"/>
                  <w:rFonts w:ascii="Times New Roman" w:hAnsi="Times New Roman" w:cs="Times New Roman"/>
                  <w:lang w:val="en-US"/>
                </w:rPr>
                <w:t>https://www.adgm.com/</w:t>
              </w:r>
            </w:hyperlink>
            <w:r w:rsidR="004E6FC1" w:rsidRPr="00DF6C88">
              <w:rPr>
                <w:rFonts w:ascii="Times New Roman" w:hAnsi="Times New Roman" w:cs="Times New Roman"/>
                <w:bCs/>
                <w:lang w:val="en-US"/>
              </w:rPr>
              <w:t xml:space="preserve"> </w:t>
            </w:r>
          </w:p>
        </w:tc>
      </w:tr>
      <w:tr w:rsidR="004E6FC1" w:rsidRPr="00022BD6" w14:paraId="3E816546" w14:textId="77777777" w:rsidTr="007722AB">
        <w:tblPrEx>
          <w:tblCellMar>
            <w:left w:w="10" w:type="dxa"/>
            <w:right w:w="10" w:type="dxa"/>
          </w:tblCellMar>
          <w:tblLook w:val="04A0" w:firstRow="1" w:lastRow="0" w:firstColumn="1" w:lastColumn="0" w:noHBand="0" w:noVBand="1"/>
        </w:tblPrEx>
        <w:trPr>
          <w:trHeight w:val="397"/>
        </w:trPr>
        <w:tc>
          <w:tcPr>
            <w:tcW w:w="4788" w:type="dxa"/>
            <w:shd w:val="clear" w:color="auto" w:fill="auto"/>
            <w:tcMar>
              <w:top w:w="0" w:type="dxa"/>
              <w:left w:w="108" w:type="dxa"/>
              <w:bottom w:w="0" w:type="dxa"/>
              <w:right w:w="108" w:type="dxa"/>
            </w:tcMar>
          </w:tcPr>
          <w:p w14:paraId="6D4637EC" w14:textId="77777777" w:rsidR="004E6FC1" w:rsidRPr="00DF6C88" w:rsidRDefault="004E6FC1" w:rsidP="007722AB">
            <w:pPr>
              <w:spacing w:after="0"/>
              <w:jc w:val="both"/>
              <w:rPr>
                <w:rFonts w:ascii="Times New Roman" w:hAnsi="Times New Roman" w:cs="Times New Roman"/>
                <w:bCs/>
                <w:lang w:val="en-US"/>
              </w:rPr>
            </w:pPr>
            <w:r w:rsidRPr="00DF6C88">
              <w:rPr>
                <w:rFonts w:ascii="Times New Roman" w:hAnsi="Times New Roman" w:cs="Times New Roman"/>
                <w:bCs/>
                <w:lang w:val="en-US"/>
              </w:rPr>
              <w:t xml:space="preserve">twofour54 </w:t>
            </w:r>
          </w:p>
          <w:p w14:paraId="39DC4E99" w14:textId="77777777" w:rsidR="004E6FC1" w:rsidRPr="00DF6C88" w:rsidRDefault="004E6FC1" w:rsidP="007722AB">
            <w:pPr>
              <w:spacing w:after="0"/>
              <w:jc w:val="both"/>
              <w:rPr>
                <w:rFonts w:ascii="Times New Roman" w:hAnsi="Times New Roman" w:cs="Times New Roman"/>
                <w:bCs/>
                <w:lang w:val="en-US"/>
              </w:rPr>
            </w:pPr>
            <w:r w:rsidRPr="00DF6C88">
              <w:rPr>
                <w:rFonts w:ascii="Times New Roman" w:hAnsi="Times New Roman" w:cs="Times New Roman"/>
                <w:bCs/>
                <w:lang w:val="en-US"/>
              </w:rPr>
              <w:t>(Media)</w:t>
            </w:r>
          </w:p>
          <w:p w14:paraId="53C012C8" w14:textId="77777777" w:rsidR="004E6FC1" w:rsidRPr="00DF6C88" w:rsidRDefault="004E6FC1" w:rsidP="007722AB">
            <w:pPr>
              <w:spacing w:after="0"/>
              <w:jc w:val="both"/>
              <w:rPr>
                <w:rFonts w:ascii="Times New Roman" w:hAnsi="Times New Roman" w:cs="Times New Roman"/>
                <w:bCs/>
                <w:iCs/>
                <w:lang w:val="en-US"/>
              </w:rPr>
            </w:pPr>
          </w:p>
        </w:tc>
        <w:tc>
          <w:tcPr>
            <w:tcW w:w="4572" w:type="dxa"/>
            <w:shd w:val="clear" w:color="auto" w:fill="auto"/>
            <w:tcMar>
              <w:top w:w="0" w:type="dxa"/>
              <w:left w:w="108" w:type="dxa"/>
              <w:bottom w:w="0" w:type="dxa"/>
              <w:right w:w="108" w:type="dxa"/>
            </w:tcMar>
          </w:tcPr>
          <w:p w14:paraId="0A9D5C46" w14:textId="77777777" w:rsidR="004E6FC1" w:rsidRPr="00DF6C88" w:rsidRDefault="004E6FC1" w:rsidP="007722AB">
            <w:pPr>
              <w:spacing w:after="0"/>
              <w:jc w:val="both"/>
              <w:rPr>
                <w:rFonts w:ascii="Times New Roman" w:hAnsi="Times New Roman" w:cs="Times New Roman"/>
                <w:bCs/>
                <w:lang w:val="en-US"/>
              </w:rPr>
            </w:pPr>
            <w:r w:rsidRPr="00DF6C88">
              <w:rPr>
                <w:rFonts w:ascii="Times New Roman" w:hAnsi="Times New Roman" w:cs="Times New Roman"/>
                <w:bCs/>
                <w:lang w:val="en-US"/>
              </w:rPr>
              <w:t>Licensing Authority:</w:t>
            </w:r>
          </w:p>
          <w:p w14:paraId="51E9A632" w14:textId="77777777" w:rsidR="004E6FC1" w:rsidRPr="00DF6C88" w:rsidRDefault="004E6FC1" w:rsidP="007722AB">
            <w:pPr>
              <w:spacing w:after="0"/>
              <w:jc w:val="both"/>
              <w:rPr>
                <w:rFonts w:ascii="Times New Roman" w:hAnsi="Times New Roman" w:cs="Times New Roman"/>
                <w:bCs/>
                <w:lang w:val="en-US"/>
              </w:rPr>
            </w:pPr>
            <w:r w:rsidRPr="00DF6C88">
              <w:rPr>
                <w:rFonts w:ascii="Times New Roman" w:hAnsi="Times New Roman" w:cs="Times New Roman"/>
                <w:bCs/>
                <w:lang w:val="en-US"/>
              </w:rPr>
              <w:t>Media Zone Authority – Abu Dhabi</w:t>
            </w:r>
          </w:p>
          <w:p w14:paraId="0B99B1EC" w14:textId="77777777" w:rsidR="004E6FC1" w:rsidRPr="00DF6C88" w:rsidRDefault="004E6FC1" w:rsidP="007722AB">
            <w:pPr>
              <w:spacing w:after="0"/>
              <w:jc w:val="both"/>
              <w:rPr>
                <w:rFonts w:ascii="Times New Roman" w:hAnsi="Times New Roman" w:cs="Times New Roman"/>
                <w:bCs/>
                <w:lang w:val="en-US"/>
              </w:rPr>
            </w:pPr>
            <w:r w:rsidRPr="00DF6C88">
              <w:rPr>
                <w:rFonts w:ascii="Times New Roman" w:hAnsi="Times New Roman" w:cs="Times New Roman"/>
                <w:bCs/>
                <w:lang w:val="en-US"/>
              </w:rPr>
              <w:t xml:space="preserve">Email: </w:t>
            </w:r>
            <w:hyperlink r:id="rId144" w:history="1">
              <w:r w:rsidRPr="00DF6C88">
                <w:rPr>
                  <w:rStyle w:val="Hyperlink"/>
                  <w:rFonts w:ascii="Times New Roman" w:hAnsi="Times New Roman" w:cs="Times New Roman"/>
                  <w:lang w:val="en-US"/>
                </w:rPr>
                <w:t>info@twofour54.com</w:t>
              </w:r>
            </w:hyperlink>
            <w:r w:rsidRPr="00DF6C88">
              <w:rPr>
                <w:rFonts w:ascii="Times New Roman" w:hAnsi="Times New Roman" w:cs="Times New Roman"/>
                <w:bCs/>
                <w:lang w:val="en-US"/>
              </w:rPr>
              <w:t xml:space="preserve">, </w:t>
            </w:r>
          </w:p>
          <w:p w14:paraId="224B5179" w14:textId="77777777" w:rsidR="004E6FC1" w:rsidRPr="00DF6C88" w:rsidRDefault="00022BD6" w:rsidP="007722AB">
            <w:pPr>
              <w:spacing w:after="0"/>
              <w:jc w:val="both"/>
              <w:rPr>
                <w:rFonts w:ascii="Times New Roman" w:hAnsi="Times New Roman" w:cs="Times New Roman"/>
                <w:bCs/>
                <w:lang w:val="en-US"/>
              </w:rPr>
            </w:pPr>
            <w:hyperlink r:id="rId145" w:history="1">
              <w:r w:rsidR="004E6FC1" w:rsidRPr="00DF6C88">
                <w:rPr>
                  <w:rStyle w:val="Hyperlink"/>
                  <w:rFonts w:ascii="Times New Roman" w:hAnsi="Times New Roman" w:cs="Times New Roman"/>
                  <w:lang w:val="en-US"/>
                </w:rPr>
                <w:t>www.twofour54.com</w:t>
              </w:r>
            </w:hyperlink>
            <w:r w:rsidR="004E6FC1" w:rsidRPr="00DF6C88">
              <w:rPr>
                <w:rFonts w:ascii="Times New Roman" w:hAnsi="Times New Roman" w:cs="Times New Roman"/>
                <w:bCs/>
                <w:lang w:val="en-US"/>
              </w:rPr>
              <w:t xml:space="preserve">  </w:t>
            </w:r>
          </w:p>
        </w:tc>
      </w:tr>
      <w:tr w:rsidR="004E6FC1" w:rsidRPr="00D074C6" w14:paraId="6115002F" w14:textId="77777777" w:rsidTr="007722AB">
        <w:tblPrEx>
          <w:tblCellMar>
            <w:left w:w="10" w:type="dxa"/>
            <w:right w:w="10" w:type="dxa"/>
          </w:tblCellMar>
          <w:tblLook w:val="04A0" w:firstRow="1" w:lastRow="0" w:firstColumn="1" w:lastColumn="0" w:noHBand="0" w:noVBand="1"/>
        </w:tblPrEx>
        <w:trPr>
          <w:trHeight w:val="256"/>
        </w:trPr>
        <w:tc>
          <w:tcPr>
            <w:tcW w:w="9360" w:type="dxa"/>
            <w:gridSpan w:val="2"/>
            <w:shd w:val="clear" w:color="auto" w:fill="D9D9D9" w:themeFill="background1" w:themeFillShade="D9"/>
            <w:tcMar>
              <w:top w:w="0" w:type="dxa"/>
              <w:left w:w="108" w:type="dxa"/>
              <w:bottom w:w="0" w:type="dxa"/>
              <w:right w:w="108" w:type="dxa"/>
            </w:tcMar>
          </w:tcPr>
          <w:p w14:paraId="051711DD" w14:textId="77777777" w:rsidR="004E6FC1" w:rsidRPr="00D0643C" w:rsidRDefault="004E6FC1" w:rsidP="007722AB">
            <w:pPr>
              <w:spacing w:after="0"/>
              <w:jc w:val="both"/>
              <w:rPr>
                <w:rFonts w:ascii="Times New Roman" w:hAnsi="Times New Roman" w:cs="Times New Roman"/>
                <w:b/>
                <w:bCs/>
                <w:u w:val="single"/>
                <w:lang w:val="en-GB"/>
              </w:rPr>
            </w:pPr>
            <w:r w:rsidRPr="00D0643C">
              <w:rPr>
                <w:rFonts w:ascii="Times New Roman" w:hAnsi="Times New Roman" w:cs="Times New Roman"/>
                <w:b/>
                <w:bCs/>
                <w:u w:val="single"/>
              </w:rPr>
              <w:t xml:space="preserve">Ε2) </w:t>
            </w:r>
            <w:r w:rsidRPr="00D0643C">
              <w:rPr>
                <w:rFonts w:ascii="Times New Roman" w:hAnsi="Times New Roman" w:cs="Times New Roman"/>
                <w:b/>
                <w:bCs/>
                <w:u w:val="single"/>
                <w:lang w:val="en-GB"/>
              </w:rPr>
              <w:t>Dubai (25)</w:t>
            </w:r>
          </w:p>
        </w:tc>
      </w:tr>
      <w:tr w:rsidR="004E6FC1" w:rsidRPr="00022BD6" w14:paraId="17B7AA16" w14:textId="77777777" w:rsidTr="007722AB">
        <w:tblPrEx>
          <w:tblCellMar>
            <w:left w:w="10" w:type="dxa"/>
            <w:right w:w="10" w:type="dxa"/>
          </w:tblCellMar>
          <w:tblLook w:val="04A0" w:firstRow="1" w:lastRow="0" w:firstColumn="1" w:lastColumn="0" w:noHBand="0" w:noVBand="1"/>
        </w:tblPrEx>
        <w:trPr>
          <w:trHeight w:val="397"/>
        </w:trPr>
        <w:tc>
          <w:tcPr>
            <w:tcW w:w="4788" w:type="dxa"/>
            <w:shd w:val="clear" w:color="auto" w:fill="auto"/>
            <w:tcMar>
              <w:top w:w="0" w:type="dxa"/>
              <w:left w:w="108" w:type="dxa"/>
              <w:bottom w:w="0" w:type="dxa"/>
              <w:right w:w="108" w:type="dxa"/>
            </w:tcMar>
          </w:tcPr>
          <w:p w14:paraId="7DB4EE0D" w14:textId="77777777" w:rsidR="004E6FC1" w:rsidRPr="005A39C0" w:rsidRDefault="004E6FC1" w:rsidP="007722AB">
            <w:pPr>
              <w:spacing w:after="0"/>
              <w:jc w:val="both"/>
              <w:rPr>
                <w:rFonts w:ascii="Times New Roman" w:hAnsi="Times New Roman" w:cs="Times New Roman"/>
                <w:bCs/>
                <w:iCs/>
                <w:lang w:val="en-US"/>
              </w:rPr>
            </w:pPr>
            <w:r w:rsidRPr="005A39C0">
              <w:rPr>
                <w:rFonts w:ascii="Times New Roman" w:hAnsi="Times New Roman" w:cs="Times New Roman"/>
                <w:bCs/>
                <w:iCs/>
                <w:lang w:val="en-US"/>
              </w:rPr>
              <w:t>Jebel Ali Free Zone</w:t>
            </w:r>
          </w:p>
          <w:p w14:paraId="211D66E7" w14:textId="77777777" w:rsidR="004E6FC1" w:rsidRPr="005A39C0" w:rsidRDefault="004E6FC1" w:rsidP="007722AB">
            <w:pPr>
              <w:spacing w:after="0"/>
              <w:jc w:val="both"/>
              <w:rPr>
                <w:rFonts w:ascii="Times New Roman" w:hAnsi="Times New Roman" w:cs="Times New Roman"/>
                <w:bCs/>
                <w:iCs/>
                <w:lang w:val="en-US"/>
              </w:rPr>
            </w:pPr>
            <w:r w:rsidRPr="005A39C0">
              <w:rPr>
                <w:rFonts w:ascii="Times New Roman" w:hAnsi="Times New Roman" w:cs="Times New Roman"/>
                <w:bCs/>
                <w:iCs/>
                <w:lang w:val="en-US"/>
              </w:rPr>
              <w:t>(Economic Activities)</w:t>
            </w:r>
          </w:p>
        </w:tc>
        <w:tc>
          <w:tcPr>
            <w:tcW w:w="4572" w:type="dxa"/>
            <w:shd w:val="clear" w:color="auto" w:fill="auto"/>
            <w:tcMar>
              <w:top w:w="0" w:type="dxa"/>
              <w:left w:w="108" w:type="dxa"/>
              <w:bottom w:w="0" w:type="dxa"/>
              <w:right w:w="108" w:type="dxa"/>
            </w:tcMar>
          </w:tcPr>
          <w:p w14:paraId="00018144" w14:textId="77777777" w:rsidR="004E6FC1" w:rsidRPr="005A39C0" w:rsidRDefault="004E6FC1" w:rsidP="007722AB">
            <w:pPr>
              <w:spacing w:after="0"/>
              <w:jc w:val="both"/>
              <w:rPr>
                <w:rFonts w:ascii="Times New Roman" w:hAnsi="Times New Roman" w:cs="Times New Roman"/>
                <w:bCs/>
                <w:lang w:val="en-GB"/>
              </w:rPr>
            </w:pPr>
            <w:r w:rsidRPr="005A39C0">
              <w:rPr>
                <w:rFonts w:ascii="Times New Roman" w:hAnsi="Times New Roman" w:cs="Times New Roman"/>
                <w:bCs/>
                <w:lang w:val="en-GB"/>
              </w:rPr>
              <w:t>Licensing Authority:</w:t>
            </w:r>
          </w:p>
          <w:p w14:paraId="54C8BCE8" w14:textId="77777777" w:rsidR="004E6FC1" w:rsidRPr="005A39C0" w:rsidRDefault="004E6FC1" w:rsidP="007722AB">
            <w:pPr>
              <w:spacing w:after="0"/>
              <w:jc w:val="both"/>
              <w:rPr>
                <w:rFonts w:ascii="Times New Roman" w:hAnsi="Times New Roman" w:cs="Times New Roman"/>
                <w:bCs/>
                <w:lang w:val="en-GB"/>
              </w:rPr>
            </w:pPr>
            <w:r w:rsidRPr="005A39C0">
              <w:rPr>
                <w:rFonts w:ascii="Times New Roman" w:hAnsi="Times New Roman" w:cs="Times New Roman"/>
                <w:bCs/>
                <w:lang w:val="en-GB"/>
              </w:rPr>
              <w:t>Jebel Ali Free Zone Authority (JAFZA)</w:t>
            </w:r>
          </w:p>
          <w:p w14:paraId="3403FAC2" w14:textId="77777777" w:rsidR="004E6FC1" w:rsidRPr="005A39C0" w:rsidRDefault="004E6FC1" w:rsidP="007722AB">
            <w:pPr>
              <w:spacing w:after="0"/>
              <w:jc w:val="both"/>
              <w:rPr>
                <w:rFonts w:ascii="Times New Roman" w:hAnsi="Times New Roman" w:cs="Times New Roman"/>
                <w:bCs/>
                <w:lang w:val="en-GB"/>
              </w:rPr>
            </w:pPr>
            <w:r w:rsidRPr="005A39C0">
              <w:rPr>
                <w:rFonts w:ascii="Times New Roman" w:hAnsi="Times New Roman" w:cs="Times New Roman"/>
                <w:bCs/>
                <w:lang w:val="en-GB"/>
              </w:rPr>
              <w:t xml:space="preserve">Email: </w:t>
            </w:r>
            <w:hyperlink r:id="rId146" w:history="1">
              <w:r w:rsidRPr="005A39C0">
                <w:rPr>
                  <w:rStyle w:val="Hyperlink"/>
                  <w:rFonts w:ascii="Times New Roman" w:hAnsi="Times New Roman" w:cs="Times New Roman"/>
                  <w:lang w:val="en-GB"/>
                </w:rPr>
                <w:t>Faisal.Jassem@jafza.ae</w:t>
              </w:r>
            </w:hyperlink>
            <w:r w:rsidRPr="005A39C0">
              <w:rPr>
                <w:rFonts w:ascii="Times New Roman" w:hAnsi="Times New Roman" w:cs="Times New Roman"/>
                <w:bCs/>
                <w:lang w:val="en-US"/>
              </w:rPr>
              <w:t xml:space="preserve">,  </w:t>
            </w:r>
            <w:hyperlink r:id="rId147" w:history="1">
              <w:r w:rsidRPr="005A39C0">
                <w:rPr>
                  <w:rStyle w:val="Hyperlink"/>
                  <w:rFonts w:ascii="Times New Roman" w:hAnsi="Times New Roman" w:cs="Times New Roman"/>
                  <w:lang w:val="en-GB"/>
                </w:rPr>
                <w:t>www.jafza.ae</w:t>
              </w:r>
            </w:hyperlink>
            <w:r w:rsidRPr="005A39C0">
              <w:rPr>
                <w:rFonts w:ascii="Times New Roman" w:hAnsi="Times New Roman" w:cs="Times New Roman"/>
                <w:bCs/>
                <w:lang w:val="en-GB"/>
              </w:rPr>
              <w:t xml:space="preserve"> </w:t>
            </w:r>
          </w:p>
        </w:tc>
      </w:tr>
      <w:tr w:rsidR="004E6FC1" w:rsidRPr="00022BD6" w14:paraId="5F091CBF" w14:textId="77777777" w:rsidTr="007722AB">
        <w:tblPrEx>
          <w:tblCellMar>
            <w:left w:w="10" w:type="dxa"/>
            <w:right w:w="10" w:type="dxa"/>
          </w:tblCellMar>
          <w:tblLook w:val="04A0" w:firstRow="1" w:lastRow="0" w:firstColumn="1" w:lastColumn="0" w:noHBand="0" w:noVBand="1"/>
        </w:tblPrEx>
        <w:trPr>
          <w:trHeight w:val="397"/>
        </w:trPr>
        <w:tc>
          <w:tcPr>
            <w:tcW w:w="47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04DE03" w14:textId="77777777" w:rsidR="004E6FC1" w:rsidRPr="005A39C0" w:rsidRDefault="004E6FC1" w:rsidP="007722AB">
            <w:pPr>
              <w:spacing w:after="0"/>
              <w:jc w:val="both"/>
              <w:rPr>
                <w:rFonts w:ascii="Times New Roman" w:hAnsi="Times New Roman" w:cs="Times New Roman"/>
                <w:bCs/>
                <w:iCs/>
                <w:lang w:val="en-US"/>
              </w:rPr>
            </w:pPr>
            <w:r w:rsidRPr="005A39C0">
              <w:rPr>
                <w:rFonts w:ascii="Times New Roman" w:hAnsi="Times New Roman" w:cs="Times New Roman"/>
                <w:bCs/>
                <w:iCs/>
                <w:lang w:val="en-US"/>
              </w:rPr>
              <w:t>Dubai Cars and Automotive Zone (DUCAMZ)</w:t>
            </w:r>
          </w:p>
          <w:p w14:paraId="61C618FE" w14:textId="77777777" w:rsidR="004E6FC1" w:rsidRPr="005A39C0" w:rsidRDefault="004E6FC1" w:rsidP="007722AB">
            <w:pPr>
              <w:spacing w:after="0"/>
              <w:jc w:val="both"/>
              <w:rPr>
                <w:rFonts w:ascii="Times New Roman" w:hAnsi="Times New Roman" w:cs="Times New Roman"/>
                <w:bCs/>
                <w:iCs/>
                <w:lang w:val="en-US"/>
              </w:rPr>
            </w:pPr>
            <w:r w:rsidRPr="005A39C0">
              <w:rPr>
                <w:rFonts w:ascii="Times New Roman" w:hAnsi="Times New Roman" w:cs="Times New Roman"/>
                <w:bCs/>
                <w:iCs/>
                <w:lang w:val="en-US"/>
              </w:rPr>
              <w:t>(Auto Trade)</w:t>
            </w:r>
          </w:p>
          <w:p w14:paraId="07B9A484" w14:textId="77777777" w:rsidR="004E6FC1" w:rsidRPr="005A39C0" w:rsidRDefault="004E6FC1" w:rsidP="007722AB">
            <w:pPr>
              <w:spacing w:after="0"/>
              <w:jc w:val="both"/>
              <w:rPr>
                <w:rFonts w:ascii="Times New Roman" w:hAnsi="Times New Roman" w:cs="Times New Roman"/>
                <w:bCs/>
                <w:iCs/>
                <w:lang w:val="en-US"/>
              </w:rPr>
            </w:pPr>
          </w:p>
        </w:tc>
        <w:tc>
          <w:tcPr>
            <w:tcW w:w="45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E90011" w14:textId="77777777" w:rsidR="004E6FC1" w:rsidRPr="005A39C0" w:rsidRDefault="004E6FC1" w:rsidP="007722AB">
            <w:pPr>
              <w:spacing w:after="0"/>
              <w:jc w:val="both"/>
              <w:rPr>
                <w:rFonts w:ascii="Times New Roman" w:hAnsi="Times New Roman" w:cs="Times New Roman"/>
                <w:bCs/>
                <w:lang w:val="en-GB"/>
              </w:rPr>
            </w:pPr>
            <w:r w:rsidRPr="005A39C0">
              <w:rPr>
                <w:rFonts w:ascii="Times New Roman" w:hAnsi="Times New Roman" w:cs="Times New Roman"/>
                <w:bCs/>
                <w:lang w:val="en-GB"/>
              </w:rPr>
              <w:t>Licensing Authority:</w:t>
            </w:r>
          </w:p>
          <w:p w14:paraId="40B47B25" w14:textId="77777777" w:rsidR="004E6FC1" w:rsidRPr="005A39C0" w:rsidRDefault="004E6FC1" w:rsidP="007722AB">
            <w:pPr>
              <w:spacing w:after="0"/>
              <w:jc w:val="both"/>
              <w:rPr>
                <w:rFonts w:ascii="Times New Roman" w:hAnsi="Times New Roman" w:cs="Times New Roman"/>
                <w:bCs/>
                <w:lang w:val="en-GB"/>
              </w:rPr>
            </w:pPr>
            <w:r w:rsidRPr="005A39C0">
              <w:rPr>
                <w:rFonts w:ascii="Times New Roman" w:hAnsi="Times New Roman" w:cs="Times New Roman"/>
                <w:bCs/>
                <w:lang w:val="en-GB"/>
              </w:rPr>
              <w:t>Jebel Ali Free Zone Authority (JAFZA)</w:t>
            </w:r>
          </w:p>
          <w:p w14:paraId="66E514BA" w14:textId="77777777" w:rsidR="004E6FC1" w:rsidRPr="005A39C0" w:rsidRDefault="004E6FC1" w:rsidP="007722AB">
            <w:pPr>
              <w:spacing w:after="0"/>
              <w:jc w:val="both"/>
              <w:rPr>
                <w:rFonts w:ascii="Times New Roman" w:hAnsi="Times New Roman" w:cs="Times New Roman"/>
                <w:bCs/>
                <w:lang w:val="en-GB"/>
              </w:rPr>
            </w:pPr>
            <w:r w:rsidRPr="005A39C0">
              <w:rPr>
                <w:rFonts w:ascii="Times New Roman" w:hAnsi="Times New Roman" w:cs="Times New Roman"/>
                <w:bCs/>
                <w:lang w:val="en-GB"/>
              </w:rPr>
              <w:t>Ras Al Khor, Dubai</w:t>
            </w:r>
          </w:p>
          <w:p w14:paraId="7D591F0C" w14:textId="77777777" w:rsidR="004E6FC1" w:rsidRPr="005A39C0" w:rsidRDefault="004E6FC1" w:rsidP="007722AB">
            <w:pPr>
              <w:spacing w:after="0"/>
              <w:jc w:val="both"/>
              <w:rPr>
                <w:rFonts w:ascii="Times New Roman" w:hAnsi="Times New Roman" w:cs="Times New Roman"/>
                <w:bCs/>
                <w:lang w:val="en-GB"/>
              </w:rPr>
            </w:pPr>
            <w:r w:rsidRPr="005A39C0">
              <w:rPr>
                <w:rFonts w:ascii="Times New Roman" w:hAnsi="Times New Roman" w:cs="Times New Roman"/>
                <w:bCs/>
                <w:lang w:val="en-GB"/>
              </w:rPr>
              <w:t xml:space="preserve">Email: </w:t>
            </w:r>
            <w:hyperlink r:id="rId148" w:history="1">
              <w:r w:rsidRPr="005A39C0">
                <w:rPr>
                  <w:rStyle w:val="Hyperlink"/>
                  <w:rFonts w:ascii="Times New Roman" w:hAnsi="Times New Roman" w:cs="Times New Roman"/>
                  <w:lang w:val="en-GB"/>
                </w:rPr>
                <w:t>mktg@jafza.co.ae</w:t>
              </w:r>
            </w:hyperlink>
            <w:r w:rsidRPr="005A39C0">
              <w:rPr>
                <w:rFonts w:ascii="Times New Roman" w:hAnsi="Times New Roman" w:cs="Times New Roman"/>
                <w:bCs/>
                <w:lang w:val="en-GB"/>
              </w:rPr>
              <w:t xml:space="preserve"> </w:t>
            </w:r>
          </w:p>
        </w:tc>
      </w:tr>
      <w:tr w:rsidR="004E6FC1" w:rsidRPr="005A39C0" w14:paraId="0BF09725" w14:textId="77777777" w:rsidTr="007722AB">
        <w:tblPrEx>
          <w:tblCellMar>
            <w:left w:w="10" w:type="dxa"/>
            <w:right w:w="10" w:type="dxa"/>
          </w:tblCellMar>
          <w:tblLook w:val="04A0" w:firstRow="1" w:lastRow="0" w:firstColumn="1" w:lastColumn="0" w:noHBand="0" w:noVBand="1"/>
        </w:tblPrEx>
        <w:trPr>
          <w:trHeight w:val="397"/>
        </w:trPr>
        <w:tc>
          <w:tcPr>
            <w:tcW w:w="47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A0C24B" w14:textId="77777777" w:rsidR="004E6FC1" w:rsidRPr="005A39C0" w:rsidRDefault="004E6FC1" w:rsidP="007722AB">
            <w:pPr>
              <w:spacing w:after="0"/>
              <w:jc w:val="both"/>
              <w:rPr>
                <w:rFonts w:ascii="Times New Roman" w:hAnsi="Times New Roman" w:cs="Times New Roman"/>
                <w:bCs/>
                <w:iCs/>
                <w:lang w:val="en-US"/>
              </w:rPr>
            </w:pPr>
            <w:r w:rsidRPr="005A39C0">
              <w:rPr>
                <w:rFonts w:ascii="Times New Roman" w:hAnsi="Times New Roman" w:cs="Times New Roman"/>
                <w:bCs/>
                <w:iCs/>
                <w:lang w:val="en-US"/>
              </w:rPr>
              <w:t>National Industries Park (NIP) (2016)</w:t>
            </w:r>
          </w:p>
        </w:tc>
        <w:tc>
          <w:tcPr>
            <w:tcW w:w="45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4AC190" w14:textId="77777777" w:rsidR="004E6FC1" w:rsidRPr="005A39C0" w:rsidRDefault="00022BD6" w:rsidP="007722AB">
            <w:pPr>
              <w:spacing w:after="0"/>
              <w:jc w:val="both"/>
              <w:rPr>
                <w:rFonts w:ascii="Times New Roman" w:hAnsi="Times New Roman" w:cs="Times New Roman"/>
                <w:bCs/>
                <w:lang w:val="en-GB"/>
              </w:rPr>
            </w:pPr>
            <w:hyperlink r:id="rId149" w:history="1">
              <w:r w:rsidR="004E6FC1" w:rsidRPr="005A39C0">
                <w:rPr>
                  <w:rStyle w:val="Hyperlink"/>
                  <w:rFonts w:ascii="Times New Roman" w:hAnsi="Times New Roman" w:cs="Times New Roman"/>
                  <w:lang w:val="en-GB"/>
                </w:rPr>
                <w:t>https://nip.ae/</w:t>
              </w:r>
            </w:hyperlink>
            <w:r w:rsidR="004E6FC1" w:rsidRPr="005A39C0">
              <w:rPr>
                <w:rFonts w:ascii="Times New Roman" w:hAnsi="Times New Roman" w:cs="Times New Roman"/>
                <w:bCs/>
                <w:lang w:val="en-GB"/>
              </w:rPr>
              <w:t xml:space="preserve"> </w:t>
            </w:r>
          </w:p>
        </w:tc>
      </w:tr>
      <w:tr w:rsidR="004E6FC1" w:rsidRPr="00022BD6" w14:paraId="15E6A363" w14:textId="77777777" w:rsidTr="007722AB">
        <w:tblPrEx>
          <w:tblCellMar>
            <w:left w:w="10" w:type="dxa"/>
            <w:right w:w="10" w:type="dxa"/>
          </w:tblCellMar>
          <w:tblLook w:val="04A0" w:firstRow="1" w:lastRow="0" w:firstColumn="1" w:lastColumn="0" w:noHBand="0" w:noVBand="1"/>
        </w:tblPrEx>
        <w:trPr>
          <w:trHeight w:val="397"/>
        </w:trPr>
        <w:tc>
          <w:tcPr>
            <w:tcW w:w="47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E31426" w14:textId="77777777" w:rsidR="004E6FC1" w:rsidRPr="005A39C0" w:rsidRDefault="004E6FC1" w:rsidP="007722AB">
            <w:pPr>
              <w:spacing w:after="0"/>
              <w:jc w:val="both"/>
              <w:rPr>
                <w:rFonts w:ascii="Times New Roman" w:hAnsi="Times New Roman" w:cs="Times New Roman"/>
                <w:bCs/>
                <w:iCs/>
                <w:lang w:val="en-US"/>
              </w:rPr>
            </w:pPr>
            <w:r w:rsidRPr="005A39C0">
              <w:rPr>
                <w:rFonts w:ascii="Times New Roman" w:hAnsi="Times New Roman" w:cs="Times New Roman"/>
                <w:bCs/>
                <w:iCs/>
                <w:lang w:val="en-US"/>
              </w:rPr>
              <w:t>DMCC – Dubai Multi Commodities Centre</w:t>
            </w:r>
          </w:p>
          <w:p w14:paraId="4D88C800" w14:textId="77777777" w:rsidR="004E6FC1" w:rsidRPr="005A39C0" w:rsidRDefault="004E6FC1" w:rsidP="007722AB">
            <w:pPr>
              <w:spacing w:after="0"/>
              <w:jc w:val="both"/>
              <w:rPr>
                <w:rFonts w:ascii="Times New Roman" w:hAnsi="Times New Roman" w:cs="Times New Roman"/>
                <w:bCs/>
                <w:iCs/>
                <w:lang w:val="en-US"/>
              </w:rPr>
            </w:pPr>
            <w:r w:rsidRPr="005A39C0">
              <w:rPr>
                <w:rFonts w:ascii="Times New Roman" w:hAnsi="Times New Roman" w:cs="Times New Roman"/>
                <w:bCs/>
                <w:iCs/>
                <w:lang w:val="en-US"/>
              </w:rPr>
              <w:t>(Commodities Trade)</w:t>
            </w:r>
          </w:p>
          <w:p w14:paraId="136D8BCF" w14:textId="77777777" w:rsidR="004E6FC1" w:rsidRPr="005A39C0" w:rsidRDefault="004E6FC1" w:rsidP="007722AB">
            <w:pPr>
              <w:spacing w:after="0"/>
              <w:jc w:val="both"/>
              <w:rPr>
                <w:rFonts w:ascii="Times New Roman" w:hAnsi="Times New Roman" w:cs="Times New Roman"/>
                <w:bCs/>
                <w:iCs/>
                <w:lang w:val="en-US"/>
              </w:rPr>
            </w:pPr>
          </w:p>
        </w:tc>
        <w:tc>
          <w:tcPr>
            <w:tcW w:w="45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C993593" w14:textId="77777777" w:rsidR="004E6FC1" w:rsidRPr="005A39C0" w:rsidRDefault="004E6FC1" w:rsidP="007722AB">
            <w:pPr>
              <w:spacing w:after="0"/>
              <w:jc w:val="both"/>
              <w:rPr>
                <w:rFonts w:ascii="Times New Roman" w:hAnsi="Times New Roman" w:cs="Times New Roman"/>
                <w:bCs/>
                <w:lang w:val="en-GB"/>
              </w:rPr>
            </w:pPr>
            <w:r w:rsidRPr="005A39C0">
              <w:rPr>
                <w:rFonts w:ascii="Times New Roman" w:hAnsi="Times New Roman" w:cs="Times New Roman"/>
                <w:bCs/>
                <w:lang w:val="en-GB"/>
              </w:rPr>
              <w:t>Licensing Authority:</w:t>
            </w:r>
          </w:p>
          <w:p w14:paraId="4CA93D24" w14:textId="77777777" w:rsidR="004E6FC1" w:rsidRPr="005A39C0" w:rsidRDefault="004E6FC1" w:rsidP="007722AB">
            <w:pPr>
              <w:spacing w:after="0"/>
              <w:jc w:val="both"/>
              <w:rPr>
                <w:rFonts w:ascii="Times New Roman" w:hAnsi="Times New Roman" w:cs="Times New Roman"/>
                <w:bCs/>
                <w:lang w:val="en-GB"/>
              </w:rPr>
            </w:pPr>
            <w:r w:rsidRPr="005A39C0">
              <w:rPr>
                <w:rFonts w:ascii="Times New Roman" w:hAnsi="Times New Roman" w:cs="Times New Roman"/>
                <w:bCs/>
                <w:lang w:val="en-GB"/>
              </w:rPr>
              <w:t xml:space="preserve">Dubai Multi Commodities Centre </w:t>
            </w:r>
          </w:p>
          <w:p w14:paraId="139B67EC" w14:textId="77777777" w:rsidR="004E6FC1" w:rsidRPr="005A39C0" w:rsidRDefault="004E6FC1" w:rsidP="007722AB">
            <w:pPr>
              <w:spacing w:after="0"/>
              <w:jc w:val="both"/>
              <w:rPr>
                <w:rFonts w:ascii="Times New Roman" w:hAnsi="Times New Roman" w:cs="Times New Roman"/>
                <w:bCs/>
                <w:lang w:val="en-GB"/>
              </w:rPr>
            </w:pPr>
            <w:r w:rsidRPr="005A39C0">
              <w:rPr>
                <w:rFonts w:ascii="Times New Roman" w:hAnsi="Times New Roman" w:cs="Times New Roman"/>
                <w:bCs/>
                <w:lang w:val="en-GB"/>
              </w:rPr>
              <w:t xml:space="preserve">Email: </w:t>
            </w:r>
            <w:hyperlink r:id="rId150" w:history="1">
              <w:r w:rsidRPr="005A39C0">
                <w:rPr>
                  <w:rStyle w:val="Hyperlink"/>
                  <w:rFonts w:ascii="Times New Roman" w:hAnsi="Times New Roman" w:cs="Times New Roman"/>
                  <w:lang w:val="en-GB"/>
                </w:rPr>
                <w:t>customercare@dmcc.ae</w:t>
              </w:r>
            </w:hyperlink>
            <w:r w:rsidRPr="005A39C0">
              <w:rPr>
                <w:rFonts w:ascii="Times New Roman" w:hAnsi="Times New Roman" w:cs="Times New Roman"/>
                <w:bCs/>
                <w:lang w:val="en-GB"/>
              </w:rPr>
              <w:t xml:space="preserve">, </w:t>
            </w:r>
          </w:p>
          <w:p w14:paraId="4BEE740B" w14:textId="77777777" w:rsidR="004E6FC1" w:rsidRPr="005A39C0" w:rsidRDefault="00022BD6" w:rsidP="007722AB">
            <w:pPr>
              <w:spacing w:after="0"/>
              <w:jc w:val="both"/>
              <w:rPr>
                <w:rFonts w:ascii="Times New Roman" w:hAnsi="Times New Roman" w:cs="Times New Roman"/>
                <w:bCs/>
                <w:lang w:val="en-GB"/>
              </w:rPr>
            </w:pPr>
            <w:hyperlink r:id="rId151" w:history="1">
              <w:r w:rsidR="004E6FC1" w:rsidRPr="005A39C0">
                <w:rPr>
                  <w:rStyle w:val="Hyperlink"/>
                  <w:rFonts w:ascii="Times New Roman" w:hAnsi="Times New Roman" w:cs="Times New Roman"/>
                  <w:lang w:val="en-GB"/>
                </w:rPr>
                <w:t>www.dmcc.ae</w:t>
              </w:r>
            </w:hyperlink>
            <w:r w:rsidR="004E6FC1" w:rsidRPr="005A39C0">
              <w:rPr>
                <w:rFonts w:ascii="Times New Roman" w:hAnsi="Times New Roman" w:cs="Times New Roman"/>
                <w:bCs/>
                <w:lang w:val="en-GB"/>
              </w:rPr>
              <w:t xml:space="preserve">  </w:t>
            </w:r>
          </w:p>
        </w:tc>
      </w:tr>
      <w:tr w:rsidR="004E6FC1" w:rsidRPr="00022BD6" w14:paraId="2F530451" w14:textId="77777777" w:rsidTr="007722AB">
        <w:tblPrEx>
          <w:tblCellMar>
            <w:left w:w="10" w:type="dxa"/>
            <w:right w:w="10" w:type="dxa"/>
          </w:tblCellMar>
          <w:tblLook w:val="04A0" w:firstRow="1" w:lastRow="0" w:firstColumn="1" w:lastColumn="0" w:noHBand="0" w:noVBand="1"/>
        </w:tblPrEx>
        <w:trPr>
          <w:trHeight w:val="397"/>
        </w:trPr>
        <w:tc>
          <w:tcPr>
            <w:tcW w:w="4788" w:type="dxa"/>
            <w:shd w:val="clear" w:color="auto" w:fill="auto"/>
            <w:tcMar>
              <w:top w:w="0" w:type="dxa"/>
              <w:left w:w="108" w:type="dxa"/>
              <w:bottom w:w="0" w:type="dxa"/>
              <w:right w:w="108" w:type="dxa"/>
            </w:tcMar>
          </w:tcPr>
          <w:p w14:paraId="4C16DB31"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Dubai Maritime City</w:t>
            </w:r>
          </w:p>
          <w:p w14:paraId="23E3B28E"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(Maritime Services)</w:t>
            </w:r>
          </w:p>
          <w:p w14:paraId="7145BD8F" w14:textId="77777777" w:rsidR="004E6FC1" w:rsidRPr="005A39C0" w:rsidRDefault="004E6FC1" w:rsidP="007722AB">
            <w:pPr>
              <w:spacing w:after="0"/>
              <w:jc w:val="both"/>
              <w:rPr>
                <w:rFonts w:ascii="Times New Roman" w:hAnsi="Times New Roman" w:cs="Times New Roman"/>
                <w:bCs/>
                <w:lang w:val="en-GB"/>
              </w:rPr>
            </w:pPr>
          </w:p>
        </w:tc>
        <w:tc>
          <w:tcPr>
            <w:tcW w:w="4572" w:type="dxa"/>
            <w:shd w:val="clear" w:color="auto" w:fill="auto"/>
            <w:tcMar>
              <w:top w:w="0" w:type="dxa"/>
              <w:left w:w="108" w:type="dxa"/>
              <w:bottom w:w="0" w:type="dxa"/>
              <w:right w:w="108" w:type="dxa"/>
            </w:tcMar>
          </w:tcPr>
          <w:p w14:paraId="1B861E33"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Licensing Authority:</w:t>
            </w:r>
          </w:p>
          <w:p w14:paraId="034138C3"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Dubai Maritime City Authority (DMCA)</w:t>
            </w:r>
          </w:p>
          <w:p w14:paraId="782B4716"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 xml:space="preserve">Email: </w:t>
            </w:r>
            <w:hyperlink r:id="rId152" w:history="1">
              <w:r w:rsidRPr="005A39C0">
                <w:rPr>
                  <w:rStyle w:val="Hyperlink"/>
                  <w:rFonts w:ascii="Times New Roman" w:hAnsi="Times New Roman" w:cs="Times New Roman"/>
                  <w:lang w:val="en-US"/>
                </w:rPr>
                <w:t>info@dmca.ae</w:t>
              </w:r>
            </w:hyperlink>
            <w:r w:rsidRPr="005A39C0">
              <w:rPr>
                <w:rFonts w:ascii="Times New Roman" w:hAnsi="Times New Roman" w:cs="Times New Roman"/>
                <w:bCs/>
                <w:lang w:val="en-US"/>
              </w:rPr>
              <w:t xml:space="preserve">,  </w:t>
            </w:r>
            <w:hyperlink r:id="rId153" w:history="1">
              <w:r w:rsidRPr="005A39C0">
                <w:rPr>
                  <w:rStyle w:val="Hyperlink"/>
                  <w:rFonts w:ascii="Times New Roman" w:hAnsi="Times New Roman" w:cs="Times New Roman"/>
                  <w:lang w:val="en-US"/>
                </w:rPr>
                <w:t>www.dmca.ae</w:t>
              </w:r>
            </w:hyperlink>
            <w:r w:rsidRPr="005A39C0">
              <w:rPr>
                <w:rFonts w:ascii="Times New Roman" w:hAnsi="Times New Roman" w:cs="Times New Roman"/>
                <w:bCs/>
                <w:lang w:val="en-US"/>
              </w:rPr>
              <w:t xml:space="preserve">  </w:t>
            </w:r>
          </w:p>
        </w:tc>
      </w:tr>
      <w:tr w:rsidR="004E6FC1" w:rsidRPr="00022BD6" w14:paraId="5CF8017B" w14:textId="77777777" w:rsidTr="007722AB">
        <w:tblPrEx>
          <w:tblCellMar>
            <w:left w:w="10" w:type="dxa"/>
            <w:right w:w="10" w:type="dxa"/>
          </w:tblCellMar>
          <w:tblLook w:val="04A0" w:firstRow="1" w:lastRow="0" w:firstColumn="1" w:lastColumn="0" w:noHBand="0" w:noVBand="1"/>
        </w:tblPrEx>
        <w:trPr>
          <w:trHeight w:val="616"/>
        </w:trPr>
        <w:tc>
          <w:tcPr>
            <w:tcW w:w="4788" w:type="dxa"/>
            <w:shd w:val="clear" w:color="auto" w:fill="auto"/>
            <w:tcMar>
              <w:top w:w="0" w:type="dxa"/>
              <w:left w:w="108" w:type="dxa"/>
              <w:bottom w:w="0" w:type="dxa"/>
              <w:right w:w="108" w:type="dxa"/>
            </w:tcMar>
          </w:tcPr>
          <w:p w14:paraId="1ED9626E" w14:textId="77777777" w:rsidR="004E6FC1" w:rsidRPr="0095052A" w:rsidRDefault="004E6FC1" w:rsidP="007722AB">
            <w:pPr>
              <w:spacing w:after="0"/>
              <w:jc w:val="both"/>
              <w:rPr>
                <w:rFonts w:ascii="Times New Roman" w:hAnsi="Times New Roman" w:cs="Times New Roman"/>
                <w:bCs/>
                <w:lang w:val="fr-FR"/>
              </w:rPr>
            </w:pPr>
            <w:r w:rsidRPr="0095052A">
              <w:rPr>
                <w:rFonts w:ascii="Times New Roman" w:hAnsi="Times New Roman" w:cs="Times New Roman"/>
                <w:bCs/>
                <w:lang w:val="fr-FR"/>
              </w:rPr>
              <w:t>Dubai International Financial Center (DIFC)</w:t>
            </w:r>
          </w:p>
          <w:p w14:paraId="14A1E8FC" w14:textId="77777777" w:rsidR="004E6FC1" w:rsidRPr="005A39C0" w:rsidRDefault="004E6FC1" w:rsidP="007722AB">
            <w:pPr>
              <w:spacing w:after="0"/>
              <w:jc w:val="both"/>
              <w:rPr>
                <w:rFonts w:ascii="Times New Roman" w:hAnsi="Times New Roman" w:cs="Times New Roman"/>
                <w:bCs/>
                <w:lang w:val="en-GB"/>
              </w:rPr>
            </w:pPr>
            <w:r w:rsidRPr="005A39C0">
              <w:rPr>
                <w:rFonts w:ascii="Times New Roman" w:hAnsi="Times New Roman" w:cs="Times New Roman"/>
                <w:bCs/>
                <w:lang w:val="en-GB"/>
              </w:rPr>
              <w:t>(Financial Hub)</w:t>
            </w:r>
          </w:p>
        </w:tc>
        <w:tc>
          <w:tcPr>
            <w:tcW w:w="4572" w:type="dxa"/>
            <w:shd w:val="clear" w:color="auto" w:fill="auto"/>
            <w:tcMar>
              <w:top w:w="0" w:type="dxa"/>
              <w:left w:w="108" w:type="dxa"/>
              <w:bottom w:w="0" w:type="dxa"/>
              <w:right w:w="108" w:type="dxa"/>
            </w:tcMar>
          </w:tcPr>
          <w:p w14:paraId="2273C8EA"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Licensing Authority:</w:t>
            </w:r>
          </w:p>
          <w:p w14:paraId="4EEF89C8"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 xml:space="preserve">DIFC Authority </w:t>
            </w:r>
          </w:p>
          <w:p w14:paraId="56859027" w14:textId="77777777" w:rsidR="004E6FC1" w:rsidRPr="005A39C0" w:rsidRDefault="00022BD6" w:rsidP="007722AB">
            <w:pPr>
              <w:spacing w:after="0"/>
              <w:jc w:val="both"/>
              <w:rPr>
                <w:rFonts w:ascii="Times New Roman" w:hAnsi="Times New Roman" w:cs="Times New Roman"/>
                <w:bCs/>
                <w:lang w:val="en-US"/>
              </w:rPr>
            </w:pPr>
            <w:hyperlink r:id="rId154" w:history="1">
              <w:r w:rsidR="004E6FC1" w:rsidRPr="005A39C0">
                <w:rPr>
                  <w:rStyle w:val="Hyperlink"/>
                  <w:rFonts w:ascii="Times New Roman" w:hAnsi="Times New Roman" w:cs="Times New Roman"/>
                  <w:lang w:val="en-US"/>
                </w:rPr>
                <w:t>www.difc.ae</w:t>
              </w:r>
            </w:hyperlink>
            <w:r w:rsidR="004E6FC1" w:rsidRPr="005A39C0">
              <w:rPr>
                <w:rFonts w:ascii="Times New Roman" w:hAnsi="Times New Roman" w:cs="Times New Roman"/>
                <w:bCs/>
                <w:lang w:val="en-US"/>
              </w:rPr>
              <w:t xml:space="preserve">  </w:t>
            </w:r>
          </w:p>
        </w:tc>
      </w:tr>
      <w:tr w:rsidR="004E6FC1" w:rsidRPr="00022BD6" w14:paraId="756C033F" w14:textId="77777777" w:rsidTr="007722AB">
        <w:tblPrEx>
          <w:tblCellMar>
            <w:left w:w="10" w:type="dxa"/>
            <w:right w:w="10" w:type="dxa"/>
          </w:tblCellMar>
          <w:tblLook w:val="04A0" w:firstRow="1" w:lastRow="0" w:firstColumn="1" w:lastColumn="0" w:noHBand="0" w:noVBand="1"/>
        </w:tblPrEx>
        <w:trPr>
          <w:trHeight w:val="472"/>
        </w:trPr>
        <w:tc>
          <w:tcPr>
            <w:tcW w:w="4788" w:type="dxa"/>
            <w:shd w:val="clear" w:color="auto" w:fill="auto"/>
            <w:tcMar>
              <w:top w:w="0" w:type="dxa"/>
              <w:left w:w="108" w:type="dxa"/>
              <w:bottom w:w="0" w:type="dxa"/>
              <w:right w:w="108" w:type="dxa"/>
            </w:tcMar>
          </w:tcPr>
          <w:p w14:paraId="315DB94E"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Dubai World Trade Centre - DWTC</w:t>
            </w:r>
          </w:p>
          <w:p w14:paraId="739AB535"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(Events &amp; Conferences)</w:t>
            </w:r>
          </w:p>
        </w:tc>
        <w:tc>
          <w:tcPr>
            <w:tcW w:w="4572" w:type="dxa"/>
            <w:shd w:val="clear" w:color="auto" w:fill="auto"/>
            <w:tcMar>
              <w:top w:w="0" w:type="dxa"/>
              <w:left w:w="108" w:type="dxa"/>
              <w:bottom w:w="0" w:type="dxa"/>
              <w:right w:w="108" w:type="dxa"/>
            </w:tcMar>
          </w:tcPr>
          <w:p w14:paraId="1126A439"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Licensing Authority:</w:t>
            </w:r>
          </w:p>
          <w:p w14:paraId="1276DCD3"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DWTC</w:t>
            </w:r>
          </w:p>
          <w:p w14:paraId="75025461" w14:textId="77777777" w:rsidR="004E6FC1" w:rsidRPr="005A39C0" w:rsidRDefault="00022BD6" w:rsidP="007722AB">
            <w:pPr>
              <w:spacing w:after="0"/>
              <w:jc w:val="both"/>
              <w:rPr>
                <w:rFonts w:ascii="Times New Roman" w:hAnsi="Times New Roman" w:cs="Times New Roman"/>
                <w:bCs/>
                <w:lang w:val="en-US"/>
              </w:rPr>
            </w:pPr>
            <w:hyperlink r:id="rId155" w:history="1">
              <w:r w:rsidR="004E6FC1" w:rsidRPr="005A39C0">
                <w:rPr>
                  <w:rStyle w:val="Hyperlink"/>
                  <w:rFonts w:ascii="Times New Roman" w:hAnsi="Times New Roman" w:cs="Times New Roman"/>
                  <w:lang w:val="en-US"/>
                </w:rPr>
                <w:t>https://www.dwtc.com/en/free-zone</w:t>
              </w:r>
            </w:hyperlink>
            <w:r w:rsidR="004E6FC1" w:rsidRPr="005A39C0">
              <w:rPr>
                <w:rFonts w:ascii="Times New Roman" w:hAnsi="Times New Roman" w:cs="Times New Roman"/>
                <w:bCs/>
                <w:lang w:val="en-US"/>
              </w:rPr>
              <w:t xml:space="preserve"> </w:t>
            </w:r>
          </w:p>
        </w:tc>
      </w:tr>
      <w:tr w:rsidR="004E6FC1" w:rsidRPr="00022BD6" w14:paraId="3E8F0155" w14:textId="77777777" w:rsidTr="007722AB">
        <w:tblPrEx>
          <w:tblCellMar>
            <w:left w:w="10" w:type="dxa"/>
            <w:right w:w="10" w:type="dxa"/>
          </w:tblCellMar>
          <w:tblLook w:val="04A0" w:firstRow="1" w:lastRow="0" w:firstColumn="1" w:lastColumn="0" w:noHBand="0" w:noVBand="1"/>
        </w:tblPrEx>
        <w:trPr>
          <w:trHeight w:val="472"/>
        </w:trPr>
        <w:tc>
          <w:tcPr>
            <w:tcW w:w="4788" w:type="dxa"/>
            <w:shd w:val="clear" w:color="auto" w:fill="auto"/>
            <w:tcMar>
              <w:top w:w="0" w:type="dxa"/>
              <w:left w:w="108" w:type="dxa"/>
              <w:bottom w:w="0" w:type="dxa"/>
              <w:right w:w="108" w:type="dxa"/>
            </w:tcMar>
          </w:tcPr>
          <w:p w14:paraId="4BC58B63"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Dubai Airport Free Zone (1996)</w:t>
            </w:r>
          </w:p>
          <w:p w14:paraId="74812669"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(Mixed-use)</w:t>
            </w:r>
          </w:p>
        </w:tc>
        <w:tc>
          <w:tcPr>
            <w:tcW w:w="4572" w:type="dxa"/>
            <w:shd w:val="clear" w:color="auto" w:fill="auto"/>
            <w:tcMar>
              <w:top w:w="0" w:type="dxa"/>
              <w:left w:w="108" w:type="dxa"/>
              <w:bottom w:w="0" w:type="dxa"/>
              <w:right w:w="108" w:type="dxa"/>
            </w:tcMar>
          </w:tcPr>
          <w:p w14:paraId="19AB74FF"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Licensing Authority:</w:t>
            </w:r>
          </w:p>
          <w:p w14:paraId="61B40F03" w14:textId="77777777" w:rsidR="004E6FC1" w:rsidRPr="005A39C0" w:rsidRDefault="00022BD6" w:rsidP="007722AB">
            <w:pPr>
              <w:spacing w:after="0"/>
              <w:jc w:val="both"/>
              <w:rPr>
                <w:rFonts w:ascii="Times New Roman" w:hAnsi="Times New Roman" w:cs="Times New Roman"/>
                <w:bCs/>
                <w:lang w:val="en-US"/>
              </w:rPr>
            </w:pPr>
            <w:hyperlink r:id="rId156" w:history="1">
              <w:r w:rsidR="004E6FC1" w:rsidRPr="005A39C0">
                <w:rPr>
                  <w:rStyle w:val="Hyperlink"/>
                  <w:rFonts w:ascii="Times New Roman" w:hAnsi="Times New Roman" w:cs="Times New Roman"/>
                  <w:lang w:val="en-US"/>
                </w:rPr>
                <w:t>Dubai Integrated Economic Zones</w:t>
              </w:r>
            </w:hyperlink>
            <w:r w:rsidR="004E6FC1" w:rsidRPr="005A39C0">
              <w:rPr>
                <w:rFonts w:ascii="Times New Roman" w:hAnsi="Times New Roman" w:cs="Times New Roman"/>
                <w:bCs/>
                <w:lang w:val="en-US"/>
              </w:rPr>
              <w:t xml:space="preserve"> </w:t>
            </w:r>
          </w:p>
          <w:p w14:paraId="53B0BEA7" w14:textId="77777777" w:rsidR="004E6FC1" w:rsidRPr="005A39C0" w:rsidRDefault="004E6FC1" w:rsidP="007722AB">
            <w:pPr>
              <w:spacing w:after="0"/>
              <w:jc w:val="both"/>
              <w:rPr>
                <w:rFonts w:ascii="Times New Roman" w:hAnsi="Times New Roman" w:cs="Times New Roman"/>
                <w:bCs/>
                <w:lang w:val="en-GB"/>
              </w:rPr>
            </w:pPr>
            <w:r w:rsidRPr="005A39C0">
              <w:rPr>
                <w:rFonts w:ascii="Times New Roman" w:hAnsi="Times New Roman" w:cs="Times New Roman"/>
                <w:bCs/>
                <w:lang w:val="en-US"/>
              </w:rPr>
              <w:t xml:space="preserve">Email: </w:t>
            </w:r>
            <w:hyperlink r:id="rId157" w:history="1">
              <w:r w:rsidRPr="005A39C0">
                <w:rPr>
                  <w:rStyle w:val="Hyperlink"/>
                  <w:rFonts w:ascii="Times New Roman" w:hAnsi="Times New Roman" w:cs="Times New Roman"/>
                  <w:lang w:val="en-US"/>
                </w:rPr>
                <w:t>sales@dafz.ae</w:t>
              </w:r>
            </w:hyperlink>
            <w:r w:rsidRPr="005A39C0">
              <w:rPr>
                <w:rFonts w:ascii="Times New Roman" w:hAnsi="Times New Roman" w:cs="Times New Roman"/>
                <w:bCs/>
                <w:lang w:val="en-US"/>
              </w:rPr>
              <w:t xml:space="preserve">,  </w:t>
            </w:r>
            <w:hyperlink r:id="rId158" w:history="1">
              <w:r w:rsidRPr="005A39C0">
                <w:rPr>
                  <w:rStyle w:val="Hyperlink"/>
                  <w:rFonts w:ascii="Times New Roman" w:hAnsi="Times New Roman" w:cs="Times New Roman"/>
                  <w:lang w:val="en-US"/>
                </w:rPr>
                <w:t>www.dafz.ae</w:t>
              </w:r>
            </w:hyperlink>
            <w:r w:rsidRPr="005A39C0">
              <w:rPr>
                <w:rFonts w:ascii="Times New Roman" w:hAnsi="Times New Roman" w:cs="Times New Roman"/>
                <w:bCs/>
                <w:lang w:val="en-US"/>
              </w:rPr>
              <w:t xml:space="preserve">  </w:t>
            </w:r>
          </w:p>
        </w:tc>
      </w:tr>
      <w:tr w:rsidR="004E6FC1" w:rsidRPr="00022BD6" w14:paraId="1FB7068B" w14:textId="77777777" w:rsidTr="007722AB">
        <w:tblPrEx>
          <w:tblCellMar>
            <w:left w:w="10" w:type="dxa"/>
            <w:right w:w="10" w:type="dxa"/>
          </w:tblCellMar>
          <w:tblLook w:val="04A0" w:firstRow="1" w:lastRow="0" w:firstColumn="1" w:lastColumn="0" w:noHBand="0" w:noVBand="1"/>
        </w:tblPrEx>
        <w:trPr>
          <w:trHeight w:val="472"/>
        </w:trPr>
        <w:tc>
          <w:tcPr>
            <w:tcW w:w="47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32EC9A"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Dubai Silicon Oasis (2003)</w:t>
            </w:r>
          </w:p>
          <w:p w14:paraId="2FAB97CE"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(Technology, Mixed-Use)</w:t>
            </w:r>
          </w:p>
          <w:p w14:paraId="64EB74BA" w14:textId="77777777" w:rsidR="004E6FC1" w:rsidRPr="005A39C0" w:rsidRDefault="004E6FC1" w:rsidP="007722AB">
            <w:pPr>
              <w:spacing w:after="0"/>
              <w:jc w:val="both"/>
              <w:rPr>
                <w:rFonts w:ascii="Times New Roman" w:hAnsi="Times New Roman" w:cs="Times New Roman"/>
                <w:bCs/>
                <w:lang w:val="en-US"/>
              </w:rPr>
            </w:pPr>
          </w:p>
        </w:tc>
        <w:tc>
          <w:tcPr>
            <w:tcW w:w="45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E9FAEF"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Licensing Authority:</w:t>
            </w:r>
          </w:p>
          <w:p w14:paraId="264C63DD" w14:textId="77777777" w:rsidR="004E6FC1" w:rsidRPr="005A39C0" w:rsidRDefault="00022BD6" w:rsidP="007722AB">
            <w:pPr>
              <w:spacing w:after="0"/>
              <w:jc w:val="both"/>
              <w:rPr>
                <w:rFonts w:ascii="Times New Roman" w:hAnsi="Times New Roman" w:cs="Times New Roman"/>
                <w:bCs/>
                <w:lang w:val="en-US"/>
              </w:rPr>
            </w:pPr>
            <w:hyperlink r:id="rId159" w:history="1">
              <w:r w:rsidR="004E6FC1" w:rsidRPr="005A39C0">
                <w:rPr>
                  <w:rStyle w:val="Hyperlink"/>
                  <w:rFonts w:ascii="Times New Roman" w:hAnsi="Times New Roman" w:cs="Times New Roman"/>
                  <w:lang w:val="en-US"/>
                </w:rPr>
                <w:t>Dubai Integrated Economic Zones</w:t>
              </w:r>
            </w:hyperlink>
            <w:r w:rsidR="004E6FC1" w:rsidRPr="005A39C0">
              <w:rPr>
                <w:rFonts w:ascii="Times New Roman" w:hAnsi="Times New Roman" w:cs="Times New Roman"/>
                <w:bCs/>
                <w:lang w:val="en-US"/>
              </w:rPr>
              <w:t xml:space="preserve"> </w:t>
            </w:r>
          </w:p>
          <w:p w14:paraId="5B9FE23C"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 xml:space="preserve">Email: </w:t>
            </w:r>
            <w:hyperlink r:id="rId160" w:history="1">
              <w:r w:rsidRPr="005A39C0">
                <w:rPr>
                  <w:rStyle w:val="Hyperlink"/>
                  <w:rFonts w:ascii="Times New Roman" w:hAnsi="Times New Roman" w:cs="Times New Roman"/>
                  <w:lang w:val="en-US"/>
                </w:rPr>
                <w:t>inquiries@dso.ae</w:t>
              </w:r>
            </w:hyperlink>
            <w:r w:rsidRPr="005A39C0">
              <w:rPr>
                <w:rFonts w:ascii="Times New Roman" w:hAnsi="Times New Roman" w:cs="Times New Roman"/>
                <w:bCs/>
                <w:lang w:val="en-US"/>
              </w:rPr>
              <w:t xml:space="preserve">,  </w:t>
            </w:r>
            <w:hyperlink r:id="rId161" w:history="1">
              <w:r w:rsidRPr="005A39C0">
                <w:rPr>
                  <w:rStyle w:val="Hyperlink"/>
                  <w:rFonts w:ascii="Times New Roman" w:hAnsi="Times New Roman" w:cs="Times New Roman"/>
                  <w:lang w:val="en-US"/>
                </w:rPr>
                <w:t>www.dsoa.ae</w:t>
              </w:r>
            </w:hyperlink>
            <w:r w:rsidRPr="005A39C0">
              <w:rPr>
                <w:rFonts w:ascii="Times New Roman" w:hAnsi="Times New Roman" w:cs="Times New Roman"/>
                <w:bCs/>
                <w:lang w:val="en-US"/>
              </w:rPr>
              <w:t xml:space="preserve">  </w:t>
            </w:r>
          </w:p>
        </w:tc>
      </w:tr>
      <w:tr w:rsidR="004E6FC1" w:rsidRPr="00E71B4C" w14:paraId="6897E625" w14:textId="77777777" w:rsidTr="007722AB">
        <w:tblPrEx>
          <w:tblCellMar>
            <w:left w:w="10" w:type="dxa"/>
            <w:right w:w="10" w:type="dxa"/>
          </w:tblCellMar>
          <w:tblLook w:val="04A0" w:firstRow="1" w:lastRow="0" w:firstColumn="1" w:lastColumn="0" w:noHBand="0" w:noVBand="1"/>
        </w:tblPrEx>
        <w:trPr>
          <w:trHeight w:val="472"/>
        </w:trPr>
        <w:tc>
          <w:tcPr>
            <w:tcW w:w="47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82C7CE"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Dubai Commercity (2021)</w:t>
            </w:r>
          </w:p>
          <w:p w14:paraId="73380459"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(eCommerce)</w:t>
            </w:r>
          </w:p>
        </w:tc>
        <w:tc>
          <w:tcPr>
            <w:tcW w:w="45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0BB45B"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Licensing Authority:</w:t>
            </w:r>
          </w:p>
          <w:p w14:paraId="2712E1CC" w14:textId="77777777" w:rsidR="004E6FC1" w:rsidRPr="005A39C0" w:rsidRDefault="00022BD6" w:rsidP="007722AB">
            <w:pPr>
              <w:spacing w:after="0"/>
              <w:jc w:val="both"/>
              <w:rPr>
                <w:rFonts w:ascii="Times New Roman" w:hAnsi="Times New Roman" w:cs="Times New Roman"/>
                <w:bCs/>
                <w:lang w:val="en-US"/>
              </w:rPr>
            </w:pPr>
            <w:hyperlink r:id="rId162" w:history="1">
              <w:r w:rsidR="004E6FC1" w:rsidRPr="005A39C0">
                <w:rPr>
                  <w:rStyle w:val="Hyperlink"/>
                  <w:rFonts w:ascii="Times New Roman" w:hAnsi="Times New Roman" w:cs="Times New Roman"/>
                  <w:lang w:val="en-US"/>
                </w:rPr>
                <w:t>Dubai Integrated Economic Zones</w:t>
              </w:r>
            </w:hyperlink>
            <w:r w:rsidR="004E6FC1" w:rsidRPr="005A39C0">
              <w:rPr>
                <w:rFonts w:ascii="Times New Roman" w:hAnsi="Times New Roman" w:cs="Times New Roman"/>
                <w:bCs/>
                <w:lang w:val="en-US"/>
              </w:rPr>
              <w:t xml:space="preserve"> </w:t>
            </w:r>
          </w:p>
          <w:p w14:paraId="1A6D27AD" w14:textId="77777777" w:rsidR="004E6FC1" w:rsidRPr="005A39C0" w:rsidRDefault="00022BD6" w:rsidP="007722AB">
            <w:pPr>
              <w:spacing w:after="0"/>
              <w:jc w:val="both"/>
              <w:rPr>
                <w:rFonts w:ascii="Times New Roman" w:hAnsi="Times New Roman" w:cs="Times New Roman"/>
                <w:bCs/>
                <w:lang w:val="en-US"/>
              </w:rPr>
            </w:pPr>
            <w:hyperlink r:id="rId163" w:history="1">
              <w:r w:rsidR="004E6FC1" w:rsidRPr="005A39C0">
                <w:rPr>
                  <w:rStyle w:val="Hyperlink"/>
                  <w:rFonts w:ascii="Times New Roman" w:hAnsi="Times New Roman" w:cs="Times New Roman"/>
                  <w:lang w:val="en-US"/>
                </w:rPr>
                <w:t>https://www.dubaicommercity.ae/</w:t>
              </w:r>
            </w:hyperlink>
            <w:r w:rsidR="004E6FC1" w:rsidRPr="005A39C0">
              <w:rPr>
                <w:rFonts w:ascii="Times New Roman" w:hAnsi="Times New Roman" w:cs="Times New Roman"/>
                <w:bCs/>
                <w:lang w:val="en-US"/>
              </w:rPr>
              <w:t xml:space="preserve"> </w:t>
            </w:r>
          </w:p>
        </w:tc>
      </w:tr>
      <w:tr w:rsidR="004E6FC1" w:rsidRPr="00022BD6" w14:paraId="328E4AB0" w14:textId="77777777" w:rsidTr="007722AB">
        <w:tblPrEx>
          <w:tblCellMar>
            <w:left w:w="10" w:type="dxa"/>
            <w:right w:w="10" w:type="dxa"/>
          </w:tblCellMar>
          <w:tblLook w:val="04A0" w:firstRow="1" w:lastRow="0" w:firstColumn="1" w:lastColumn="0" w:noHBand="0" w:noVBand="1"/>
        </w:tblPrEx>
        <w:trPr>
          <w:trHeight w:val="616"/>
        </w:trPr>
        <w:tc>
          <w:tcPr>
            <w:tcW w:w="4788" w:type="dxa"/>
            <w:shd w:val="clear" w:color="auto" w:fill="auto"/>
            <w:tcMar>
              <w:top w:w="0" w:type="dxa"/>
              <w:left w:w="108" w:type="dxa"/>
              <w:bottom w:w="0" w:type="dxa"/>
              <w:right w:w="108" w:type="dxa"/>
            </w:tcMar>
          </w:tcPr>
          <w:p w14:paraId="26651287"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Dubai Internet City (DIC)</w:t>
            </w:r>
          </w:p>
          <w:p w14:paraId="0E848CE7"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(Technology)</w:t>
            </w:r>
          </w:p>
          <w:p w14:paraId="0E1E34D1" w14:textId="77777777" w:rsidR="004E6FC1" w:rsidRPr="005A39C0" w:rsidRDefault="004E6FC1" w:rsidP="007722AB">
            <w:pPr>
              <w:spacing w:after="0"/>
              <w:jc w:val="both"/>
              <w:rPr>
                <w:rFonts w:ascii="Times New Roman" w:hAnsi="Times New Roman" w:cs="Times New Roman"/>
                <w:bCs/>
                <w:lang w:val="en-US"/>
              </w:rPr>
            </w:pPr>
          </w:p>
        </w:tc>
        <w:tc>
          <w:tcPr>
            <w:tcW w:w="4572" w:type="dxa"/>
            <w:shd w:val="clear" w:color="auto" w:fill="auto"/>
            <w:tcMar>
              <w:top w:w="0" w:type="dxa"/>
              <w:left w:w="108" w:type="dxa"/>
              <w:bottom w:w="0" w:type="dxa"/>
              <w:right w:w="108" w:type="dxa"/>
            </w:tcMar>
          </w:tcPr>
          <w:p w14:paraId="37DCE090"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Licensing Authority:</w:t>
            </w:r>
          </w:p>
          <w:p w14:paraId="2F9FB55A" w14:textId="77777777" w:rsidR="004E6FC1" w:rsidRPr="005A39C0" w:rsidRDefault="00022BD6" w:rsidP="007722AB">
            <w:pPr>
              <w:spacing w:after="0"/>
              <w:jc w:val="both"/>
              <w:rPr>
                <w:rFonts w:ascii="Times New Roman" w:hAnsi="Times New Roman" w:cs="Times New Roman"/>
                <w:bCs/>
                <w:lang w:val="en-US"/>
              </w:rPr>
            </w:pPr>
            <w:hyperlink r:id="rId164" w:history="1">
              <w:r w:rsidR="004E6FC1" w:rsidRPr="005A39C0">
                <w:rPr>
                  <w:rStyle w:val="Hyperlink"/>
                  <w:rFonts w:ascii="Times New Roman" w:hAnsi="Times New Roman" w:cs="Times New Roman"/>
                  <w:lang w:val="en-US"/>
                </w:rPr>
                <w:t>Dubai Development Authority</w:t>
              </w:r>
            </w:hyperlink>
          </w:p>
          <w:p w14:paraId="1CFD0AA6" w14:textId="77777777" w:rsidR="004E6FC1" w:rsidRPr="005A39C0" w:rsidRDefault="00022BD6" w:rsidP="007722AB">
            <w:pPr>
              <w:spacing w:after="0"/>
              <w:jc w:val="both"/>
              <w:rPr>
                <w:rFonts w:ascii="Times New Roman" w:hAnsi="Times New Roman" w:cs="Times New Roman"/>
                <w:bCs/>
                <w:lang w:val="en-US"/>
              </w:rPr>
            </w:pPr>
            <w:hyperlink r:id="rId165" w:history="1">
              <w:r w:rsidR="004E6FC1" w:rsidRPr="005A39C0">
                <w:rPr>
                  <w:rStyle w:val="Hyperlink"/>
                  <w:rFonts w:ascii="Times New Roman" w:hAnsi="Times New Roman" w:cs="Times New Roman"/>
                  <w:lang w:val="en-US"/>
                </w:rPr>
                <w:t>www.dubaiinternetcity.com</w:t>
              </w:r>
            </w:hyperlink>
            <w:r w:rsidR="004E6FC1" w:rsidRPr="005A39C0">
              <w:rPr>
                <w:rFonts w:ascii="Times New Roman" w:hAnsi="Times New Roman" w:cs="Times New Roman"/>
                <w:bCs/>
                <w:lang w:val="en-US"/>
              </w:rPr>
              <w:t xml:space="preserve">  </w:t>
            </w:r>
          </w:p>
        </w:tc>
      </w:tr>
      <w:tr w:rsidR="004E6FC1" w:rsidRPr="00022BD6" w14:paraId="1C48C45C" w14:textId="77777777" w:rsidTr="007722AB">
        <w:tblPrEx>
          <w:tblCellMar>
            <w:left w:w="10" w:type="dxa"/>
            <w:right w:w="10" w:type="dxa"/>
          </w:tblCellMar>
          <w:tblLook w:val="04A0" w:firstRow="1" w:lastRow="0" w:firstColumn="1" w:lastColumn="0" w:noHBand="0" w:noVBand="1"/>
        </w:tblPrEx>
        <w:trPr>
          <w:trHeight w:val="616"/>
        </w:trPr>
        <w:tc>
          <w:tcPr>
            <w:tcW w:w="4788" w:type="dxa"/>
            <w:shd w:val="clear" w:color="auto" w:fill="auto"/>
            <w:tcMar>
              <w:top w:w="0" w:type="dxa"/>
              <w:left w:w="108" w:type="dxa"/>
              <w:bottom w:w="0" w:type="dxa"/>
              <w:right w:w="108" w:type="dxa"/>
            </w:tcMar>
          </w:tcPr>
          <w:p w14:paraId="17D40740"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Dubai Outsource City (DOC)</w:t>
            </w:r>
          </w:p>
          <w:p w14:paraId="3C26D667"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(eCommerce &amp; Support Services)</w:t>
            </w:r>
          </w:p>
          <w:p w14:paraId="38FBF114" w14:textId="77777777" w:rsidR="004E6FC1" w:rsidRPr="005A39C0" w:rsidRDefault="004E6FC1" w:rsidP="007722AB">
            <w:pPr>
              <w:spacing w:after="0"/>
              <w:jc w:val="both"/>
              <w:rPr>
                <w:rFonts w:ascii="Times New Roman" w:hAnsi="Times New Roman" w:cs="Times New Roman"/>
                <w:bCs/>
                <w:lang w:val="en-US"/>
              </w:rPr>
            </w:pPr>
          </w:p>
        </w:tc>
        <w:tc>
          <w:tcPr>
            <w:tcW w:w="4572" w:type="dxa"/>
            <w:shd w:val="clear" w:color="auto" w:fill="auto"/>
            <w:tcMar>
              <w:top w:w="0" w:type="dxa"/>
              <w:left w:w="108" w:type="dxa"/>
              <w:bottom w:w="0" w:type="dxa"/>
              <w:right w:w="108" w:type="dxa"/>
            </w:tcMar>
          </w:tcPr>
          <w:p w14:paraId="345C66EE"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Licensing Authority:</w:t>
            </w:r>
          </w:p>
          <w:p w14:paraId="57E58A0F" w14:textId="77777777" w:rsidR="004E6FC1" w:rsidRPr="005A39C0" w:rsidRDefault="00022BD6" w:rsidP="007722AB">
            <w:pPr>
              <w:spacing w:after="0"/>
              <w:jc w:val="both"/>
              <w:rPr>
                <w:rFonts w:ascii="Times New Roman" w:hAnsi="Times New Roman" w:cs="Times New Roman"/>
                <w:bCs/>
                <w:lang w:val="en-US"/>
              </w:rPr>
            </w:pPr>
            <w:hyperlink r:id="rId166" w:history="1">
              <w:r w:rsidR="004E6FC1" w:rsidRPr="005A39C0">
                <w:rPr>
                  <w:rStyle w:val="Hyperlink"/>
                  <w:rFonts w:ascii="Times New Roman" w:hAnsi="Times New Roman" w:cs="Times New Roman"/>
                  <w:lang w:val="en-US"/>
                </w:rPr>
                <w:t>Dubai Development Authority</w:t>
              </w:r>
            </w:hyperlink>
          </w:p>
          <w:p w14:paraId="1BEE33DF" w14:textId="77777777" w:rsidR="004E6FC1" w:rsidRPr="005A39C0" w:rsidRDefault="00022BD6" w:rsidP="007722AB">
            <w:pPr>
              <w:spacing w:after="0"/>
              <w:jc w:val="both"/>
              <w:rPr>
                <w:rFonts w:ascii="Times New Roman" w:hAnsi="Times New Roman" w:cs="Times New Roman"/>
                <w:bCs/>
                <w:lang w:val="en-US"/>
              </w:rPr>
            </w:pPr>
            <w:hyperlink r:id="rId167" w:history="1">
              <w:r w:rsidR="004E6FC1" w:rsidRPr="005A39C0">
                <w:rPr>
                  <w:rStyle w:val="Hyperlink"/>
                  <w:rFonts w:ascii="Times New Roman" w:hAnsi="Times New Roman" w:cs="Times New Roman"/>
                  <w:lang w:val="en-US"/>
                </w:rPr>
                <w:t>http://www.dubaioutsourcecity.ae/</w:t>
              </w:r>
            </w:hyperlink>
            <w:r w:rsidR="004E6FC1" w:rsidRPr="005A39C0">
              <w:rPr>
                <w:rFonts w:ascii="Times New Roman" w:hAnsi="Times New Roman" w:cs="Times New Roman"/>
                <w:bCs/>
                <w:lang w:val="en-US"/>
              </w:rPr>
              <w:t xml:space="preserve"> </w:t>
            </w:r>
          </w:p>
        </w:tc>
      </w:tr>
      <w:tr w:rsidR="004E6FC1" w:rsidRPr="00022BD6" w14:paraId="20B70117" w14:textId="77777777" w:rsidTr="007722AB">
        <w:tblPrEx>
          <w:tblCellMar>
            <w:left w:w="10" w:type="dxa"/>
            <w:right w:w="10" w:type="dxa"/>
          </w:tblCellMar>
          <w:tblLook w:val="04A0" w:firstRow="1" w:lastRow="0" w:firstColumn="1" w:lastColumn="0" w:noHBand="0" w:noVBand="1"/>
        </w:tblPrEx>
        <w:trPr>
          <w:trHeight w:val="616"/>
        </w:trPr>
        <w:tc>
          <w:tcPr>
            <w:tcW w:w="4788" w:type="dxa"/>
            <w:shd w:val="clear" w:color="auto" w:fill="auto"/>
            <w:tcMar>
              <w:top w:w="0" w:type="dxa"/>
              <w:left w:w="108" w:type="dxa"/>
              <w:bottom w:w="0" w:type="dxa"/>
              <w:right w:w="108" w:type="dxa"/>
            </w:tcMar>
          </w:tcPr>
          <w:p w14:paraId="2EA1C8CD"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Dubai Media City</w:t>
            </w:r>
          </w:p>
          <w:p w14:paraId="0FA12FFA"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(Media)</w:t>
            </w:r>
          </w:p>
        </w:tc>
        <w:tc>
          <w:tcPr>
            <w:tcW w:w="4572" w:type="dxa"/>
            <w:shd w:val="clear" w:color="auto" w:fill="auto"/>
            <w:tcMar>
              <w:top w:w="0" w:type="dxa"/>
              <w:left w:w="108" w:type="dxa"/>
              <w:bottom w:w="0" w:type="dxa"/>
              <w:right w:w="108" w:type="dxa"/>
            </w:tcMar>
          </w:tcPr>
          <w:p w14:paraId="35BA3295"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Licensing Authority:</w:t>
            </w:r>
          </w:p>
          <w:p w14:paraId="433350C6" w14:textId="77777777" w:rsidR="004E6FC1" w:rsidRPr="005A39C0" w:rsidRDefault="00022BD6" w:rsidP="007722AB">
            <w:pPr>
              <w:spacing w:after="0"/>
              <w:jc w:val="both"/>
              <w:rPr>
                <w:rFonts w:ascii="Times New Roman" w:hAnsi="Times New Roman" w:cs="Times New Roman"/>
                <w:bCs/>
                <w:lang w:val="en-US"/>
              </w:rPr>
            </w:pPr>
            <w:hyperlink r:id="rId168" w:history="1">
              <w:r w:rsidR="004E6FC1" w:rsidRPr="005A39C0">
                <w:rPr>
                  <w:rStyle w:val="Hyperlink"/>
                  <w:rFonts w:ascii="Times New Roman" w:hAnsi="Times New Roman" w:cs="Times New Roman"/>
                  <w:lang w:val="en-US"/>
                </w:rPr>
                <w:t>Dubai Development Authority</w:t>
              </w:r>
            </w:hyperlink>
          </w:p>
          <w:p w14:paraId="22AEA32F" w14:textId="77777777" w:rsidR="004E6FC1" w:rsidRPr="005A39C0" w:rsidRDefault="00022BD6" w:rsidP="007722AB">
            <w:pPr>
              <w:spacing w:after="0"/>
              <w:jc w:val="both"/>
              <w:rPr>
                <w:rFonts w:ascii="Times New Roman" w:hAnsi="Times New Roman" w:cs="Times New Roman"/>
                <w:bCs/>
                <w:lang w:val="en-US"/>
              </w:rPr>
            </w:pPr>
            <w:hyperlink r:id="rId169" w:history="1">
              <w:r w:rsidR="004E6FC1" w:rsidRPr="005A39C0">
                <w:rPr>
                  <w:rStyle w:val="Hyperlink"/>
                  <w:rFonts w:ascii="Times New Roman" w:hAnsi="Times New Roman" w:cs="Times New Roman"/>
                  <w:lang w:val="en-US"/>
                </w:rPr>
                <w:t>https://dmc.ae/</w:t>
              </w:r>
            </w:hyperlink>
            <w:r w:rsidR="004E6FC1" w:rsidRPr="005A39C0">
              <w:rPr>
                <w:rFonts w:ascii="Times New Roman" w:hAnsi="Times New Roman" w:cs="Times New Roman"/>
                <w:bCs/>
                <w:lang w:val="en-US"/>
              </w:rPr>
              <w:t xml:space="preserve"> </w:t>
            </w:r>
          </w:p>
        </w:tc>
      </w:tr>
      <w:tr w:rsidR="004E6FC1" w:rsidRPr="00022BD6" w14:paraId="7DF02ACC" w14:textId="77777777" w:rsidTr="007722AB">
        <w:tblPrEx>
          <w:tblCellMar>
            <w:left w:w="10" w:type="dxa"/>
            <w:right w:w="10" w:type="dxa"/>
          </w:tblCellMar>
          <w:tblLook w:val="04A0" w:firstRow="1" w:lastRow="0" w:firstColumn="1" w:lastColumn="0" w:noHBand="0" w:noVBand="1"/>
        </w:tblPrEx>
        <w:trPr>
          <w:trHeight w:val="616"/>
        </w:trPr>
        <w:tc>
          <w:tcPr>
            <w:tcW w:w="4788" w:type="dxa"/>
            <w:shd w:val="clear" w:color="auto" w:fill="auto"/>
            <w:tcMar>
              <w:top w:w="0" w:type="dxa"/>
              <w:left w:w="108" w:type="dxa"/>
              <w:bottom w:w="0" w:type="dxa"/>
              <w:right w:w="108" w:type="dxa"/>
            </w:tcMar>
          </w:tcPr>
          <w:p w14:paraId="27B19FFB"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Dubai Production City</w:t>
            </w:r>
          </w:p>
          <w:p w14:paraId="645324BE"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(Media)</w:t>
            </w:r>
          </w:p>
        </w:tc>
        <w:tc>
          <w:tcPr>
            <w:tcW w:w="4572" w:type="dxa"/>
            <w:shd w:val="clear" w:color="auto" w:fill="auto"/>
            <w:tcMar>
              <w:top w:w="0" w:type="dxa"/>
              <w:left w:w="108" w:type="dxa"/>
              <w:bottom w:w="0" w:type="dxa"/>
              <w:right w:w="108" w:type="dxa"/>
            </w:tcMar>
          </w:tcPr>
          <w:p w14:paraId="64B56E94"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Licensing Authority:</w:t>
            </w:r>
          </w:p>
          <w:p w14:paraId="1F6010A4" w14:textId="77777777" w:rsidR="004E6FC1" w:rsidRPr="005A39C0" w:rsidRDefault="00022BD6" w:rsidP="007722AB">
            <w:pPr>
              <w:spacing w:after="0"/>
              <w:jc w:val="both"/>
              <w:rPr>
                <w:rFonts w:ascii="Times New Roman" w:hAnsi="Times New Roman" w:cs="Times New Roman"/>
                <w:bCs/>
                <w:lang w:val="en-US"/>
              </w:rPr>
            </w:pPr>
            <w:hyperlink r:id="rId170" w:history="1">
              <w:r w:rsidR="004E6FC1" w:rsidRPr="005A39C0">
                <w:rPr>
                  <w:rStyle w:val="Hyperlink"/>
                  <w:rFonts w:ascii="Times New Roman" w:hAnsi="Times New Roman" w:cs="Times New Roman"/>
                  <w:lang w:val="en-US"/>
                </w:rPr>
                <w:t>Dubai Development Authority</w:t>
              </w:r>
            </w:hyperlink>
          </w:p>
          <w:p w14:paraId="436B1422" w14:textId="77777777" w:rsidR="004E6FC1" w:rsidRPr="005A39C0" w:rsidRDefault="00022BD6" w:rsidP="007722AB">
            <w:pPr>
              <w:spacing w:after="0"/>
              <w:jc w:val="both"/>
              <w:rPr>
                <w:rFonts w:ascii="Times New Roman" w:hAnsi="Times New Roman" w:cs="Times New Roman"/>
                <w:bCs/>
                <w:lang w:val="en-US"/>
              </w:rPr>
            </w:pPr>
            <w:hyperlink r:id="rId171" w:history="1">
              <w:r w:rsidR="004E6FC1" w:rsidRPr="005A39C0">
                <w:rPr>
                  <w:rStyle w:val="Hyperlink"/>
                  <w:rFonts w:ascii="Times New Roman" w:hAnsi="Times New Roman" w:cs="Times New Roman"/>
                  <w:lang w:val="en-US"/>
                </w:rPr>
                <w:t>https://dpc.ae/</w:t>
              </w:r>
            </w:hyperlink>
            <w:r w:rsidR="004E6FC1" w:rsidRPr="005A39C0">
              <w:rPr>
                <w:rFonts w:ascii="Times New Roman" w:hAnsi="Times New Roman" w:cs="Times New Roman"/>
                <w:bCs/>
                <w:lang w:val="en-US"/>
              </w:rPr>
              <w:t xml:space="preserve"> </w:t>
            </w:r>
          </w:p>
        </w:tc>
      </w:tr>
      <w:tr w:rsidR="004E6FC1" w:rsidRPr="00022BD6" w14:paraId="27134D67" w14:textId="77777777" w:rsidTr="007722AB">
        <w:tblPrEx>
          <w:tblCellMar>
            <w:left w:w="10" w:type="dxa"/>
            <w:right w:w="10" w:type="dxa"/>
          </w:tblCellMar>
          <w:tblLook w:val="04A0" w:firstRow="1" w:lastRow="0" w:firstColumn="1" w:lastColumn="0" w:noHBand="0" w:noVBand="1"/>
        </w:tblPrEx>
        <w:trPr>
          <w:trHeight w:val="616"/>
        </w:trPr>
        <w:tc>
          <w:tcPr>
            <w:tcW w:w="4788" w:type="dxa"/>
            <w:shd w:val="clear" w:color="auto" w:fill="auto"/>
            <w:tcMar>
              <w:top w:w="0" w:type="dxa"/>
              <w:left w:w="108" w:type="dxa"/>
              <w:bottom w:w="0" w:type="dxa"/>
              <w:right w:w="108" w:type="dxa"/>
            </w:tcMar>
          </w:tcPr>
          <w:p w14:paraId="01A6DB22"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Dubai Studio City (DSC)</w:t>
            </w:r>
          </w:p>
          <w:p w14:paraId="7931671D"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(Media)</w:t>
            </w:r>
          </w:p>
        </w:tc>
        <w:tc>
          <w:tcPr>
            <w:tcW w:w="4572" w:type="dxa"/>
            <w:shd w:val="clear" w:color="auto" w:fill="auto"/>
            <w:tcMar>
              <w:top w:w="0" w:type="dxa"/>
              <w:left w:w="108" w:type="dxa"/>
              <w:bottom w:w="0" w:type="dxa"/>
              <w:right w:w="108" w:type="dxa"/>
            </w:tcMar>
          </w:tcPr>
          <w:p w14:paraId="774DB37A"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Licensing Authority:</w:t>
            </w:r>
          </w:p>
          <w:p w14:paraId="7AEB42EE" w14:textId="77777777" w:rsidR="004E6FC1" w:rsidRPr="005A39C0" w:rsidRDefault="00022BD6" w:rsidP="007722AB">
            <w:pPr>
              <w:spacing w:after="0"/>
              <w:jc w:val="both"/>
              <w:rPr>
                <w:rFonts w:ascii="Times New Roman" w:hAnsi="Times New Roman" w:cs="Times New Roman"/>
                <w:bCs/>
                <w:lang w:val="en-US"/>
              </w:rPr>
            </w:pPr>
            <w:hyperlink r:id="rId172" w:history="1">
              <w:r w:rsidR="004E6FC1" w:rsidRPr="005A39C0">
                <w:rPr>
                  <w:rStyle w:val="Hyperlink"/>
                  <w:rFonts w:ascii="Times New Roman" w:hAnsi="Times New Roman" w:cs="Times New Roman"/>
                  <w:lang w:val="en-US"/>
                </w:rPr>
                <w:t>Dubai Development Authority</w:t>
              </w:r>
            </w:hyperlink>
          </w:p>
          <w:p w14:paraId="2E73AF28" w14:textId="77777777" w:rsidR="004E6FC1" w:rsidRPr="005A39C0" w:rsidRDefault="00022BD6" w:rsidP="007722AB">
            <w:pPr>
              <w:spacing w:after="0"/>
              <w:jc w:val="both"/>
              <w:rPr>
                <w:rFonts w:ascii="Times New Roman" w:hAnsi="Times New Roman" w:cs="Times New Roman"/>
                <w:bCs/>
                <w:lang w:val="en-US"/>
              </w:rPr>
            </w:pPr>
            <w:hyperlink r:id="rId173" w:history="1">
              <w:r w:rsidR="004E6FC1" w:rsidRPr="005A39C0">
                <w:rPr>
                  <w:rStyle w:val="Hyperlink"/>
                  <w:rFonts w:ascii="Times New Roman" w:hAnsi="Times New Roman" w:cs="Times New Roman"/>
                  <w:lang w:val="en-US"/>
                </w:rPr>
                <w:t>www.dubaistudiocity.ae</w:t>
              </w:r>
            </w:hyperlink>
            <w:r w:rsidR="004E6FC1" w:rsidRPr="005A39C0">
              <w:rPr>
                <w:rFonts w:ascii="Times New Roman" w:hAnsi="Times New Roman" w:cs="Times New Roman"/>
                <w:bCs/>
                <w:lang w:val="en-US"/>
              </w:rPr>
              <w:t xml:space="preserve"> </w:t>
            </w:r>
          </w:p>
        </w:tc>
      </w:tr>
      <w:tr w:rsidR="004E6FC1" w:rsidRPr="00022BD6" w14:paraId="7356EF1C" w14:textId="77777777" w:rsidTr="007722AB">
        <w:tblPrEx>
          <w:tblCellMar>
            <w:left w:w="10" w:type="dxa"/>
            <w:right w:w="10" w:type="dxa"/>
          </w:tblCellMar>
          <w:tblLook w:val="04A0" w:firstRow="1" w:lastRow="0" w:firstColumn="1" w:lastColumn="0" w:noHBand="0" w:noVBand="1"/>
        </w:tblPrEx>
        <w:trPr>
          <w:trHeight w:val="616"/>
        </w:trPr>
        <w:tc>
          <w:tcPr>
            <w:tcW w:w="4788" w:type="dxa"/>
            <w:shd w:val="clear" w:color="auto" w:fill="auto"/>
            <w:tcMar>
              <w:top w:w="0" w:type="dxa"/>
              <w:left w:w="108" w:type="dxa"/>
              <w:bottom w:w="0" w:type="dxa"/>
              <w:right w:w="108" w:type="dxa"/>
            </w:tcMar>
          </w:tcPr>
          <w:p w14:paraId="2A8D20EA"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Dubai Knowledge Park (DKP)</w:t>
            </w:r>
          </w:p>
          <w:p w14:paraId="03348934" w14:textId="77777777" w:rsidR="004E6FC1" w:rsidRPr="005A39C0" w:rsidRDefault="004E6FC1" w:rsidP="007722AB">
            <w:pPr>
              <w:spacing w:after="0"/>
              <w:jc w:val="both"/>
              <w:rPr>
                <w:rFonts w:ascii="Times New Roman" w:hAnsi="Times New Roman" w:cs="Times New Roman"/>
                <w:bCs/>
                <w:lang w:val="en-US"/>
              </w:rPr>
            </w:pPr>
          </w:p>
        </w:tc>
        <w:tc>
          <w:tcPr>
            <w:tcW w:w="4572" w:type="dxa"/>
            <w:shd w:val="clear" w:color="auto" w:fill="auto"/>
            <w:tcMar>
              <w:top w:w="0" w:type="dxa"/>
              <w:left w:w="108" w:type="dxa"/>
              <w:bottom w:w="0" w:type="dxa"/>
              <w:right w:w="108" w:type="dxa"/>
            </w:tcMar>
          </w:tcPr>
          <w:p w14:paraId="11803B5A"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Licensing Authority:</w:t>
            </w:r>
          </w:p>
          <w:p w14:paraId="7F71ACA8" w14:textId="77777777" w:rsidR="004E6FC1" w:rsidRPr="005A39C0" w:rsidRDefault="00022BD6" w:rsidP="007722AB">
            <w:pPr>
              <w:spacing w:after="0"/>
              <w:jc w:val="both"/>
              <w:rPr>
                <w:rFonts w:ascii="Times New Roman" w:hAnsi="Times New Roman" w:cs="Times New Roman"/>
                <w:bCs/>
                <w:lang w:val="en-US"/>
              </w:rPr>
            </w:pPr>
            <w:hyperlink r:id="rId174" w:history="1">
              <w:r w:rsidR="004E6FC1" w:rsidRPr="005A39C0">
                <w:rPr>
                  <w:rStyle w:val="Hyperlink"/>
                  <w:rFonts w:ascii="Times New Roman" w:hAnsi="Times New Roman" w:cs="Times New Roman"/>
                  <w:lang w:val="en-US"/>
                </w:rPr>
                <w:t>Dubai Development Authority</w:t>
              </w:r>
            </w:hyperlink>
          </w:p>
          <w:p w14:paraId="46F9AC61" w14:textId="77777777" w:rsidR="004E6FC1" w:rsidRPr="005A39C0" w:rsidRDefault="00022BD6" w:rsidP="007722AB">
            <w:pPr>
              <w:spacing w:after="0"/>
              <w:jc w:val="both"/>
              <w:rPr>
                <w:rFonts w:ascii="Times New Roman" w:hAnsi="Times New Roman" w:cs="Times New Roman"/>
                <w:bCs/>
                <w:lang w:val="en-US"/>
              </w:rPr>
            </w:pPr>
            <w:hyperlink r:id="rId175" w:history="1">
              <w:r w:rsidR="004E6FC1" w:rsidRPr="005A39C0">
                <w:rPr>
                  <w:rStyle w:val="Hyperlink"/>
                  <w:rFonts w:ascii="Times New Roman" w:hAnsi="Times New Roman" w:cs="Times New Roman"/>
                  <w:lang w:val="en-US"/>
                </w:rPr>
                <w:t>http://www.dkp.ae/</w:t>
              </w:r>
            </w:hyperlink>
            <w:r w:rsidR="004E6FC1" w:rsidRPr="005A39C0">
              <w:rPr>
                <w:rFonts w:ascii="Times New Roman" w:hAnsi="Times New Roman" w:cs="Times New Roman"/>
                <w:bCs/>
                <w:lang w:val="en-US"/>
              </w:rPr>
              <w:t xml:space="preserve"> </w:t>
            </w:r>
          </w:p>
        </w:tc>
      </w:tr>
      <w:tr w:rsidR="004E6FC1" w:rsidRPr="00022BD6" w14:paraId="1C023398" w14:textId="77777777" w:rsidTr="007722AB">
        <w:tblPrEx>
          <w:tblCellMar>
            <w:left w:w="10" w:type="dxa"/>
            <w:right w:w="10" w:type="dxa"/>
          </w:tblCellMar>
          <w:tblLook w:val="04A0" w:firstRow="1" w:lastRow="0" w:firstColumn="1" w:lastColumn="0" w:noHBand="0" w:noVBand="1"/>
        </w:tblPrEx>
        <w:trPr>
          <w:trHeight w:val="616"/>
        </w:trPr>
        <w:tc>
          <w:tcPr>
            <w:tcW w:w="4788" w:type="dxa"/>
            <w:shd w:val="clear" w:color="auto" w:fill="auto"/>
            <w:tcMar>
              <w:top w:w="0" w:type="dxa"/>
              <w:left w:w="108" w:type="dxa"/>
              <w:bottom w:w="0" w:type="dxa"/>
              <w:right w:w="108" w:type="dxa"/>
            </w:tcMar>
          </w:tcPr>
          <w:p w14:paraId="691FF842"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Dubai International Academic City (DIAC)</w:t>
            </w:r>
          </w:p>
          <w:p w14:paraId="0A83FC2F"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(Academic)</w:t>
            </w:r>
          </w:p>
          <w:p w14:paraId="046E4263" w14:textId="77777777" w:rsidR="004E6FC1" w:rsidRPr="005A39C0" w:rsidRDefault="004E6FC1" w:rsidP="007722AB">
            <w:pPr>
              <w:spacing w:after="0"/>
              <w:jc w:val="both"/>
              <w:rPr>
                <w:rFonts w:ascii="Times New Roman" w:hAnsi="Times New Roman" w:cs="Times New Roman"/>
                <w:bCs/>
                <w:lang w:val="en-US"/>
              </w:rPr>
            </w:pPr>
          </w:p>
        </w:tc>
        <w:tc>
          <w:tcPr>
            <w:tcW w:w="4572" w:type="dxa"/>
            <w:shd w:val="clear" w:color="auto" w:fill="auto"/>
            <w:tcMar>
              <w:top w:w="0" w:type="dxa"/>
              <w:left w:w="108" w:type="dxa"/>
              <w:bottom w:w="0" w:type="dxa"/>
              <w:right w:w="108" w:type="dxa"/>
            </w:tcMar>
          </w:tcPr>
          <w:p w14:paraId="14F582FE"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Licensing Authority:</w:t>
            </w:r>
          </w:p>
          <w:p w14:paraId="29AF1880" w14:textId="77777777" w:rsidR="004E6FC1" w:rsidRPr="005A39C0" w:rsidRDefault="00022BD6" w:rsidP="007722AB">
            <w:pPr>
              <w:spacing w:after="0"/>
              <w:jc w:val="both"/>
              <w:rPr>
                <w:rFonts w:ascii="Times New Roman" w:hAnsi="Times New Roman" w:cs="Times New Roman"/>
                <w:bCs/>
                <w:lang w:val="en-US"/>
              </w:rPr>
            </w:pPr>
            <w:hyperlink r:id="rId176" w:history="1">
              <w:r w:rsidR="004E6FC1" w:rsidRPr="005A39C0">
                <w:rPr>
                  <w:rStyle w:val="Hyperlink"/>
                  <w:rFonts w:ascii="Times New Roman" w:hAnsi="Times New Roman" w:cs="Times New Roman"/>
                  <w:lang w:val="en-US"/>
                </w:rPr>
                <w:t>Dubai Development Authority</w:t>
              </w:r>
            </w:hyperlink>
          </w:p>
          <w:p w14:paraId="3D4BB241" w14:textId="77777777" w:rsidR="004E6FC1" w:rsidRPr="005A39C0" w:rsidRDefault="00022BD6" w:rsidP="007722AB">
            <w:pPr>
              <w:spacing w:after="0"/>
              <w:jc w:val="both"/>
              <w:rPr>
                <w:rFonts w:ascii="Times New Roman" w:hAnsi="Times New Roman" w:cs="Times New Roman"/>
                <w:bCs/>
                <w:lang w:val="en-US"/>
              </w:rPr>
            </w:pPr>
            <w:hyperlink r:id="rId177" w:history="1">
              <w:r w:rsidR="004E6FC1" w:rsidRPr="005A39C0">
                <w:rPr>
                  <w:rStyle w:val="Hyperlink"/>
                  <w:rFonts w:ascii="Times New Roman" w:hAnsi="Times New Roman" w:cs="Times New Roman"/>
                  <w:lang w:val="en-US"/>
                </w:rPr>
                <w:t>www.diacedu.ae</w:t>
              </w:r>
            </w:hyperlink>
            <w:r w:rsidR="004E6FC1" w:rsidRPr="005A39C0">
              <w:rPr>
                <w:rFonts w:ascii="Times New Roman" w:hAnsi="Times New Roman" w:cs="Times New Roman"/>
                <w:bCs/>
                <w:lang w:val="en-US"/>
              </w:rPr>
              <w:t xml:space="preserve">  </w:t>
            </w:r>
          </w:p>
        </w:tc>
      </w:tr>
      <w:tr w:rsidR="004E6FC1" w:rsidRPr="00022BD6" w14:paraId="67FE6125" w14:textId="77777777" w:rsidTr="007722AB">
        <w:tblPrEx>
          <w:tblCellMar>
            <w:left w:w="10" w:type="dxa"/>
            <w:right w:w="10" w:type="dxa"/>
          </w:tblCellMar>
          <w:tblLook w:val="04A0" w:firstRow="1" w:lastRow="0" w:firstColumn="1" w:lastColumn="0" w:noHBand="0" w:noVBand="1"/>
        </w:tblPrEx>
        <w:trPr>
          <w:trHeight w:val="616"/>
        </w:trPr>
        <w:tc>
          <w:tcPr>
            <w:tcW w:w="4788" w:type="dxa"/>
            <w:shd w:val="clear" w:color="auto" w:fill="auto"/>
            <w:tcMar>
              <w:top w:w="0" w:type="dxa"/>
              <w:left w:w="108" w:type="dxa"/>
              <w:bottom w:w="0" w:type="dxa"/>
              <w:right w:w="108" w:type="dxa"/>
            </w:tcMar>
          </w:tcPr>
          <w:p w14:paraId="1B8208BE"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Dubai Science Park</w:t>
            </w:r>
          </w:p>
          <w:p w14:paraId="66960F2D"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(Scientific Research)</w:t>
            </w:r>
          </w:p>
          <w:p w14:paraId="25D12D5B" w14:textId="77777777" w:rsidR="004E6FC1" w:rsidRPr="005A39C0" w:rsidRDefault="004E6FC1" w:rsidP="007722AB">
            <w:pPr>
              <w:spacing w:after="0"/>
              <w:jc w:val="both"/>
              <w:rPr>
                <w:rFonts w:ascii="Times New Roman" w:hAnsi="Times New Roman" w:cs="Times New Roman"/>
                <w:bCs/>
                <w:lang w:val="en-US"/>
              </w:rPr>
            </w:pPr>
          </w:p>
        </w:tc>
        <w:tc>
          <w:tcPr>
            <w:tcW w:w="4572" w:type="dxa"/>
            <w:shd w:val="clear" w:color="auto" w:fill="auto"/>
            <w:tcMar>
              <w:top w:w="0" w:type="dxa"/>
              <w:left w:w="108" w:type="dxa"/>
              <w:bottom w:w="0" w:type="dxa"/>
              <w:right w:w="108" w:type="dxa"/>
            </w:tcMar>
          </w:tcPr>
          <w:p w14:paraId="64C5C723"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Licensing Authority:</w:t>
            </w:r>
          </w:p>
          <w:p w14:paraId="127563B5" w14:textId="77777777" w:rsidR="004E6FC1" w:rsidRPr="005A39C0" w:rsidRDefault="00022BD6" w:rsidP="007722AB">
            <w:pPr>
              <w:spacing w:after="0"/>
              <w:jc w:val="both"/>
              <w:rPr>
                <w:rFonts w:ascii="Times New Roman" w:hAnsi="Times New Roman" w:cs="Times New Roman"/>
                <w:bCs/>
                <w:lang w:val="en-US"/>
              </w:rPr>
            </w:pPr>
            <w:hyperlink r:id="rId178" w:history="1">
              <w:r w:rsidR="004E6FC1" w:rsidRPr="005A39C0">
                <w:rPr>
                  <w:rStyle w:val="Hyperlink"/>
                  <w:rFonts w:ascii="Times New Roman" w:hAnsi="Times New Roman" w:cs="Times New Roman"/>
                  <w:lang w:val="en-US"/>
                </w:rPr>
                <w:t>Dubai Development Authority</w:t>
              </w:r>
            </w:hyperlink>
          </w:p>
          <w:p w14:paraId="3C7ED000"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 xml:space="preserve">Email: </w:t>
            </w:r>
            <w:hyperlink r:id="rId179" w:history="1">
              <w:r w:rsidRPr="005A39C0">
                <w:rPr>
                  <w:rStyle w:val="Hyperlink"/>
                  <w:rFonts w:ascii="Times New Roman" w:hAnsi="Times New Roman" w:cs="Times New Roman"/>
                  <w:lang w:val="en-US"/>
                </w:rPr>
                <w:t>info@dsp.ae</w:t>
              </w:r>
            </w:hyperlink>
            <w:r w:rsidRPr="005A39C0">
              <w:rPr>
                <w:rFonts w:ascii="Times New Roman" w:hAnsi="Times New Roman" w:cs="Times New Roman"/>
                <w:bCs/>
                <w:lang w:val="en-US"/>
              </w:rPr>
              <w:t xml:space="preserve">, </w:t>
            </w:r>
            <w:hyperlink r:id="rId180" w:history="1">
              <w:r w:rsidRPr="005A39C0">
                <w:rPr>
                  <w:rStyle w:val="Hyperlink"/>
                  <w:rFonts w:ascii="Times New Roman" w:hAnsi="Times New Roman" w:cs="Times New Roman"/>
                  <w:lang w:val="en-US"/>
                </w:rPr>
                <w:t>http://www.dsp.ae/</w:t>
              </w:r>
            </w:hyperlink>
            <w:r w:rsidRPr="005A39C0">
              <w:rPr>
                <w:rFonts w:ascii="Times New Roman" w:hAnsi="Times New Roman" w:cs="Times New Roman"/>
                <w:bCs/>
                <w:lang w:val="en-US"/>
              </w:rPr>
              <w:t xml:space="preserve">  </w:t>
            </w:r>
          </w:p>
        </w:tc>
      </w:tr>
      <w:tr w:rsidR="004E6FC1" w:rsidRPr="005A39C0" w14:paraId="311CA16D" w14:textId="77777777" w:rsidTr="007722AB">
        <w:tblPrEx>
          <w:tblCellMar>
            <w:left w:w="10" w:type="dxa"/>
            <w:right w:w="10" w:type="dxa"/>
          </w:tblCellMar>
          <w:tblLook w:val="04A0" w:firstRow="1" w:lastRow="0" w:firstColumn="1" w:lastColumn="0" w:noHBand="0" w:noVBand="1"/>
        </w:tblPrEx>
        <w:trPr>
          <w:trHeight w:val="616"/>
        </w:trPr>
        <w:tc>
          <w:tcPr>
            <w:tcW w:w="47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E1BDC8"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Dubai Design District d3 (2013)</w:t>
            </w:r>
          </w:p>
          <w:p w14:paraId="033A665F"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 xml:space="preserve">(Creative Design) </w:t>
            </w:r>
          </w:p>
        </w:tc>
        <w:tc>
          <w:tcPr>
            <w:tcW w:w="45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75ED47" w14:textId="77777777" w:rsidR="004E6FC1" w:rsidRPr="005A39C0" w:rsidRDefault="00022BD6" w:rsidP="007722AB">
            <w:pPr>
              <w:spacing w:after="0"/>
              <w:jc w:val="both"/>
              <w:rPr>
                <w:rFonts w:ascii="Times New Roman" w:hAnsi="Times New Roman" w:cs="Times New Roman"/>
                <w:bCs/>
                <w:lang w:val="en-US"/>
              </w:rPr>
            </w:pPr>
            <w:hyperlink r:id="rId181" w:history="1">
              <w:r w:rsidR="004E6FC1" w:rsidRPr="005A39C0">
                <w:rPr>
                  <w:rStyle w:val="Hyperlink"/>
                  <w:rFonts w:ascii="Times New Roman" w:hAnsi="Times New Roman" w:cs="Times New Roman"/>
                  <w:lang w:val="en-US"/>
                </w:rPr>
                <w:t>https://dubaidesigndistrict.com/</w:t>
              </w:r>
            </w:hyperlink>
            <w:r w:rsidR="004E6FC1" w:rsidRPr="005A39C0">
              <w:rPr>
                <w:rFonts w:ascii="Times New Roman" w:hAnsi="Times New Roman" w:cs="Times New Roman"/>
                <w:bCs/>
                <w:lang w:val="en-US"/>
              </w:rPr>
              <w:t xml:space="preserve"> </w:t>
            </w:r>
          </w:p>
        </w:tc>
      </w:tr>
      <w:tr w:rsidR="004E6FC1" w:rsidRPr="00022BD6" w14:paraId="26050ED3" w14:textId="77777777" w:rsidTr="007722AB">
        <w:tblPrEx>
          <w:tblCellMar>
            <w:left w:w="10" w:type="dxa"/>
            <w:right w:w="10" w:type="dxa"/>
          </w:tblCellMar>
          <w:tblLook w:val="04A0" w:firstRow="1" w:lastRow="0" w:firstColumn="1" w:lastColumn="0" w:noHBand="0" w:noVBand="1"/>
        </w:tblPrEx>
        <w:trPr>
          <w:trHeight w:val="616"/>
        </w:trPr>
        <w:tc>
          <w:tcPr>
            <w:tcW w:w="4788" w:type="dxa"/>
            <w:shd w:val="clear" w:color="auto" w:fill="auto"/>
            <w:tcMar>
              <w:top w:w="0" w:type="dxa"/>
              <w:left w:w="108" w:type="dxa"/>
              <w:bottom w:w="0" w:type="dxa"/>
              <w:right w:w="108" w:type="dxa"/>
            </w:tcMar>
          </w:tcPr>
          <w:p w14:paraId="32699AE8"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Dubai Health Care City (DHCC)</w:t>
            </w:r>
          </w:p>
          <w:p w14:paraId="186874A0"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(Health Care)</w:t>
            </w:r>
          </w:p>
          <w:p w14:paraId="7A4ED665" w14:textId="77777777" w:rsidR="004E6FC1" w:rsidRPr="005A39C0" w:rsidRDefault="004E6FC1" w:rsidP="007722AB">
            <w:pPr>
              <w:spacing w:after="0"/>
              <w:jc w:val="both"/>
              <w:rPr>
                <w:rFonts w:ascii="Times New Roman" w:hAnsi="Times New Roman" w:cs="Times New Roman"/>
                <w:bCs/>
                <w:lang w:val="en-US"/>
              </w:rPr>
            </w:pPr>
          </w:p>
        </w:tc>
        <w:tc>
          <w:tcPr>
            <w:tcW w:w="4572" w:type="dxa"/>
            <w:shd w:val="clear" w:color="auto" w:fill="auto"/>
            <w:tcMar>
              <w:top w:w="0" w:type="dxa"/>
              <w:left w:w="108" w:type="dxa"/>
              <w:bottom w:w="0" w:type="dxa"/>
              <w:right w:w="108" w:type="dxa"/>
            </w:tcMar>
          </w:tcPr>
          <w:p w14:paraId="3D83CA57"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Licensing Authority:</w:t>
            </w:r>
          </w:p>
          <w:p w14:paraId="03F649F2"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Dubai Healthcare City FZ LLC</w:t>
            </w:r>
          </w:p>
          <w:p w14:paraId="1A7F7054"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 xml:space="preserve">Email: </w:t>
            </w:r>
            <w:hyperlink r:id="rId182" w:history="1">
              <w:r w:rsidRPr="005A39C0">
                <w:rPr>
                  <w:rStyle w:val="Hyperlink"/>
                  <w:rFonts w:ascii="Times New Roman" w:hAnsi="Times New Roman" w:cs="Times New Roman"/>
                  <w:lang w:val="en-US"/>
                </w:rPr>
                <w:t>info@dhcc.ae</w:t>
              </w:r>
            </w:hyperlink>
            <w:r w:rsidRPr="005A39C0">
              <w:rPr>
                <w:rFonts w:ascii="Times New Roman" w:hAnsi="Times New Roman" w:cs="Times New Roman"/>
                <w:bCs/>
                <w:lang w:val="en-US"/>
              </w:rPr>
              <w:t xml:space="preserve">, </w:t>
            </w:r>
            <w:hyperlink r:id="rId183" w:history="1">
              <w:r w:rsidRPr="005A39C0">
                <w:rPr>
                  <w:rStyle w:val="Hyperlink"/>
                  <w:rFonts w:ascii="Times New Roman" w:hAnsi="Times New Roman" w:cs="Times New Roman"/>
                  <w:lang w:val="en-US"/>
                </w:rPr>
                <w:t>www.dhcc.ae</w:t>
              </w:r>
            </w:hyperlink>
            <w:r w:rsidRPr="005A39C0">
              <w:rPr>
                <w:rFonts w:ascii="Times New Roman" w:hAnsi="Times New Roman" w:cs="Times New Roman"/>
                <w:bCs/>
                <w:lang w:val="en-US"/>
              </w:rPr>
              <w:t xml:space="preserve">  </w:t>
            </w:r>
          </w:p>
        </w:tc>
      </w:tr>
      <w:tr w:rsidR="004E6FC1" w:rsidRPr="00022BD6" w14:paraId="3F3E9525" w14:textId="77777777" w:rsidTr="007722AB">
        <w:tblPrEx>
          <w:tblCellMar>
            <w:left w:w="10" w:type="dxa"/>
            <w:right w:w="10" w:type="dxa"/>
          </w:tblCellMar>
          <w:tblLook w:val="04A0" w:firstRow="1" w:lastRow="0" w:firstColumn="1" w:lastColumn="0" w:noHBand="0" w:noVBand="1"/>
        </w:tblPrEx>
        <w:trPr>
          <w:trHeight w:val="616"/>
        </w:trPr>
        <w:tc>
          <w:tcPr>
            <w:tcW w:w="47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1672FF"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Dubai South</w:t>
            </w:r>
          </w:p>
          <w:p w14:paraId="174658E9"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(Aviation, Logistics)</w:t>
            </w:r>
          </w:p>
        </w:tc>
        <w:tc>
          <w:tcPr>
            <w:tcW w:w="45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CDA5EF"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 xml:space="preserve">Email: </w:t>
            </w:r>
            <w:hyperlink r:id="rId184" w:history="1">
              <w:r w:rsidRPr="005A39C0">
                <w:rPr>
                  <w:rStyle w:val="Hyperlink"/>
                  <w:rFonts w:ascii="Times New Roman" w:hAnsi="Times New Roman" w:cs="Times New Roman"/>
                  <w:lang w:val="en-US"/>
                </w:rPr>
                <w:t>INFO@DUBAISOUTH.AE</w:t>
              </w:r>
            </w:hyperlink>
          </w:p>
          <w:p w14:paraId="6C6379A5" w14:textId="77777777" w:rsidR="004E6FC1" w:rsidRPr="005A39C0" w:rsidRDefault="00022BD6" w:rsidP="007722AB">
            <w:pPr>
              <w:spacing w:after="0"/>
              <w:jc w:val="both"/>
              <w:rPr>
                <w:rFonts w:ascii="Times New Roman" w:hAnsi="Times New Roman" w:cs="Times New Roman"/>
                <w:bCs/>
                <w:lang w:val="en-US"/>
              </w:rPr>
            </w:pPr>
            <w:hyperlink r:id="rId185" w:history="1">
              <w:r w:rsidR="004E6FC1" w:rsidRPr="005A39C0">
                <w:rPr>
                  <w:rStyle w:val="Hyperlink"/>
                  <w:rFonts w:ascii="Times New Roman" w:hAnsi="Times New Roman" w:cs="Times New Roman"/>
                  <w:lang w:val="en-US"/>
                </w:rPr>
                <w:t>https://www.dubaisouth.ae/</w:t>
              </w:r>
            </w:hyperlink>
            <w:r w:rsidR="004E6FC1" w:rsidRPr="005A39C0">
              <w:rPr>
                <w:rFonts w:ascii="Times New Roman" w:hAnsi="Times New Roman" w:cs="Times New Roman"/>
                <w:bCs/>
                <w:lang w:val="en-US"/>
              </w:rPr>
              <w:t xml:space="preserve"> </w:t>
            </w:r>
          </w:p>
        </w:tc>
      </w:tr>
      <w:tr w:rsidR="004E6FC1" w:rsidRPr="00022BD6" w14:paraId="69FD8116" w14:textId="77777777" w:rsidTr="007722AB">
        <w:tblPrEx>
          <w:tblCellMar>
            <w:left w:w="10" w:type="dxa"/>
            <w:right w:w="10" w:type="dxa"/>
          </w:tblCellMar>
          <w:tblLook w:val="04A0" w:firstRow="1" w:lastRow="0" w:firstColumn="1" w:lastColumn="0" w:noHBand="0" w:noVBand="1"/>
        </w:tblPrEx>
        <w:trPr>
          <w:trHeight w:val="616"/>
        </w:trPr>
        <w:tc>
          <w:tcPr>
            <w:tcW w:w="47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EC8887"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Gold&amp;Diamond Park</w:t>
            </w:r>
          </w:p>
          <w:p w14:paraId="333E85F3" w14:textId="77777777" w:rsidR="004E6FC1" w:rsidRPr="005A39C0" w:rsidRDefault="004E6FC1" w:rsidP="007722AB">
            <w:pPr>
              <w:spacing w:after="0"/>
              <w:jc w:val="both"/>
              <w:rPr>
                <w:rFonts w:ascii="Times New Roman" w:hAnsi="Times New Roman" w:cs="Times New Roman"/>
                <w:bCs/>
                <w:lang w:val="en-GB"/>
              </w:rPr>
            </w:pPr>
            <w:r w:rsidRPr="005A39C0">
              <w:rPr>
                <w:rFonts w:ascii="Times New Roman" w:hAnsi="Times New Roman" w:cs="Times New Roman"/>
                <w:bCs/>
                <w:lang w:val="en-US"/>
              </w:rPr>
              <w:t>(</w:t>
            </w:r>
            <w:r w:rsidRPr="005A39C0">
              <w:rPr>
                <w:rFonts w:ascii="Times New Roman" w:hAnsi="Times New Roman" w:cs="Times New Roman"/>
                <w:bCs/>
                <w:lang w:val="en-GB"/>
              </w:rPr>
              <w:t>Jewelry)</w:t>
            </w:r>
          </w:p>
        </w:tc>
        <w:tc>
          <w:tcPr>
            <w:tcW w:w="45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A58C21" w14:textId="77777777" w:rsidR="004E6FC1" w:rsidRPr="005A39C0" w:rsidRDefault="00022BD6" w:rsidP="007722AB">
            <w:pPr>
              <w:spacing w:after="0"/>
              <w:jc w:val="both"/>
              <w:rPr>
                <w:rFonts w:ascii="Times New Roman" w:hAnsi="Times New Roman" w:cs="Times New Roman"/>
                <w:bCs/>
                <w:lang w:val="en-US"/>
              </w:rPr>
            </w:pPr>
            <w:hyperlink r:id="rId186" w:history="1">
              <w:r w:rsidR="004E6FC1" w:rsidRPr="005A39C0">
                <w:rPr>
                  <w:rStyle w:val="Hyperlink"/>
                  <w:rFonts w:ascii="Times New Roman" w:hAnsi="Times New Roman" w:cs="Times New Roman"/>
                  <w:lang w:val="en-US"/>
                </w:rPr>
                <w:t>https://www.goldanddiamondpark.com/about/</w:t>
              </w:r>
            </w:hyperlink>
            <w:r w:rsidR="004E6FC1" w:rsidRPr="005A39C0">
              <w:rPr>
                <w:rFonts w:ascii="Times New Roman" w:hAnsi="Times New Roman" w:cs="Times New Roman"/>
                <w:bCs/>
                <w:lang w:val="en-US"/>
              </w:rPr>
              <w:t xml:space="preserve"> </w:t>
            </w:r>
          </w:p>
        </w:tc>
      </w:tr>
      <w:tr w:rsidR="004E6FC1" w:rsidRPr="005A39C0" w14:paraId="00B2F648" w14:textId="77777777" w:rsidTr="007722AB">
        <w:tblPrEx>
          <w:tblCellMar>
            <w:left w:w="10" w:type="dxa"/>
            <w:right w:w="10" w:type="dxa"/>
          </w:tblCellMar>
          <w:tblLook w:val="04A0" w:firstRow="1" w:lastRow="0" w:firstColumn="1" w:lastColumn="0" w:noHBand="0" w:noVBand="1"/>
        </w:tblPrEx>
        <w:trPr>
          <w:trHeight w:val="616"/>
        </w:trPr>
        <w:tc>
          <w:tcPr>
            <w:tcW w:w="47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4E248D"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Meydan Free Zone</w:t>
            </w:r>
          </w:p>
          <w:p w14:paraId="79DD0851"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(Mixed-use)</w:t>
            </w:r>
          </w:p>
        </w:tc>
        <w:tc>
          <w:tcPr>
            <w:tcW w:w="45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94F620" w14:textId="77777777" w:rsidR="004E6FC1" w:rsidRPr="005A39C0" w:rsidRDefault="00022BD6" w:rsidP="007722AB">
            <w:pPr>
              <w:spacing w:after="0"/>
              <w:jc w:val="both"/>
              <w:rPr>
                <w:rFonts w:ascii="Times New Roman" w:hAnsi="Times New Roman" w:cs="Times New Roman"/>
                <w:bCs/>
                <w:lang w:val="en-US"/>
              </w:rPr>
            </w:pPr>
            <w:hyperlink r:id="rId187" w:history="1">
              <w:r w:rsidR="004E6FC1" w:rsidRPr="005A39C0">
                <w:rPr>
                  <w:rStyle w:val="Hyperlink"/>
                  <w:rFonts w:ascii="Times New Roman" w:hAnsi="Times New Roman" w:cs="Times New Roman"/>
                  <w:lang w:val="en-US"/>
                </w:rPr>
                <w:t>https://www.meydanfz.ae/</w:t>
              </w:r>
            </w:hyperlink>
            <w:r w:rsidR="004E6FC1" w:rsidRPr="005A39C0">
              <w:rPr>
                <w:rFonts w:ascii="Times New Roman" w:hAnsi="Times New Roman" w:cs="Times New Roman"/>
                <w:bCs/>
                <w:lang w:val="en-US"/>
              </w:rPr>
              <w:t xml:space="preserve"> </w:t>
            </w:r>
          </w:p>
        </w:tc>
      </w:tr>
      <w:tr w:rsidR="004E6FC1" w:rsidRPr="00022BD6" w14:paraId="09D7ABB2" w14:textId="77777777" w:rsidTr="007722AB">
        <w:tblPrEx>
          <w:tblCellMar>
            <w:left w:w="10" w:type="dxa"/>
            <w:right w:w="10" w:type="dxa"/>
          </w:tblCellMar>
          <w:tblLook w:val="04A0" w:firstRow="1" w:lastRow="0" w:firstColumn="1" w:lastColumn="0" w:noHBand="0" w:noVBand="1"/>
        </w:tblPrEx>
        <w:trPr>
          <w:trHeight w:val="616"/>
        </w:trPr>
        <w:tc>
          <w:tcPr>
            <w:tcW w:w="47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C9ED4A9"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Dragon Mart</w:t>
            </w:r>
          </w:p>
          <w:p w14:paraId="2451538E" w14:textId="77777777" w:rsidR="004E6FC1" w:rsidRPr="005A39C0" w:rsidRDefault="004E6FC1" w:rsidP="007722AB">
            <w:pPr>
              <w:spacing w:after="0"/>
              <w:jc w:val="both"/>
              <w:rPr>
                <w:rFonts w:ascii="Times New Roman" w:hAnsi="Times New Roman" w:cs="Times New Roman"/>
                <w:bCs/>
                <w:lang w:val="en-US"/>
              </w:rPr>
            </w:pPr>
          </w:p>
        </w:tc>
        <w:tc>
          <w:tcPr>
            <w:tcW w:w="45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FF2CDA"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Licensing Authority: PCFC - Trakhees</w:t>
            </w:r>
          </w:p>
          <w:p w14:paraId="7E687EDC"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 xml:space="preserve">Email: </w:t>
            </w:r>
            <w:hyperlink r:id="rId188" w:history="1">
              <w:r w:rsidRPr="005A39C0">
                <w:rPr>
                  <w:rStyle w:val="Hyperlink"/>
                  <w:rFonts w:ascii="Times New Roman" w:hAnsi="Times New Roman" w:cs="Times New Roman"/>
                  <w:lang w:val="en-US"/>
                </w:rPr>
                <w:t>info@dragonmart.ae</w:t>
              </w:r>
            </w:hyperlink>
            <w:r w:rsidRPr="005A39C0">
              <w:rPr>
                <w:rFonts w:ascii="Times New Roman" w:hAnsi="Times New Roman" w:cs="Times New Roman"/>
                <w:bCs/>
                <w:lang w:val="en-US"/>
              </w:rPr>
              <w:t xml:space="preserve">, </w:t>
            </w:r>
            <w:hyperlink r:id="rId189" w:history="1">
              <w:r w:rsidRPr="005A39C0">
                <w:rPr>
                  <w:rStyle w:val="Hyperlink"/>
                  <w:rFonts w:ascii="Times New Roman" w:hAnsi="Times New Roman" w:cs="Times New Roman"/>
                  <w:lang w:val="en-US"/>
                </w:rPr>
                <w:t>www.dragonmart.ae</w:t>
              </w:r>
            </w:hyperlink>
            <w:r w:rsidRPr="005A39C0">
              <w:rPr>
                <w:rFonts w:ascii="Times New Roman" w:hAnsi="Times New Roman" w:cs="Times New Roman"/>
                <w:bCs/>
                <w:lang w:val="en-US"/>
              </w:rPr>
              <w:t xml:space="preserve"> </w:t>
            </w:r>
          </w:p>
        </w:tc>
      </w:tr>
      <w:tr w:rsidR="004E6FC1" w:rsidRPr="00022BD6" w14:paraId="46561AF9" w14:textId="77777777" w:rsidTr="007722AB">
        <w:tblPrEx>
          <w:tblCellMar>
            <w:left w:w="10" w:type="dxa"/>
            <w:right w:w="10" w:type="dxa"/>
          </w:tblCellMar>
          <w:tblLook w:val="04A0" w:firstRow="1" w:lastRow="0" w:firstColumn="1" w:lastColumn="0" w:noHBand="0" w:noVBand="1"/>
        </w:tblPrEx>
        <w:trPr>
          <w:trHeight w:val="616"/>
        </w:trPr>
        <w:tc>
          <w:tcPr>
            <w:tcW w:w="4788" w:type="dxa"/>
            <w:tcBorders>
              <w:bottom w:val="single" w:sz="4" w:space="0" w:color="auto"/>
            </w:tcBorders>
            <w:shd w:val="clear" w:color="auto" w:fill="auto"/>
            <w:tcMar>
              <w:top w:w="0" w:type="dxa"/>
              <w:left w:w="108" w:type="dxa"/>
              <w:bottom w:w="0" w:type="dxa"/>
              <w:right w:w="108" w:type="dxa"/>
            </w:tcMar>
          </w:tcPr>
          <w:p w14:paraId="31E28330"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International Humanitarian City (IHC)</w:t>
            </w:r>
          </w:p>
          <w:p w14:paraId="59CF92C4"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(Humanitarian Hub)</w:t>
            </w:r>
          </w:p>
          <w:p w14:paraId="0B3E4A3D" w14:textId="77777777" w:rsidR="004E6FC1" w:rsidRPr="005A39C0" w:rsidRDefault="004E6FC1" w:rsidP="007722AB">
            <w:pPr>
              <w:spacing w:after="0"/>
              <w:jc w:val="both"/>
              <w:rPr>
                <w:rFonts w:ascii="Times New Roman" w:hAnsi="Times New Roman" w:cs="Times New Roman"/>
                <w:bCs/>
                <w:lang w:val="en-US"/>
              </w:rPr>
            </w:pPr>
          </w:p>
        </w:tc>
        <w:tc>
          <w:tcPr>
            <w:tcW w:w="4572" w:type="dxa"/>
            <w:tcBorders>
              <w:bottom w:val="single" w:sz="4" w:space="0" w:color="auto"/>
            </w:tcBorders>
            <w:shd w:val="clear" w:color="auto" w:fill="auto"/>
            <w:tcMar>
              <w:top w:w="0" w:type="dxa"/>
              <w:left w:w="108" w:type="dxa"/>
              <w:bottom w:w="0" w:type="dxa"/>
              <w:right w:w="108" w:type="dxa"/>
            </w:tcMar>
          </w:tcPr>
          <w:p w14:paraId="6FB2C240"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Licensing Authority:</w:t>
            </w:r>
          </w:p>
          <w:p w14:paraId="37D30504"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International Humanitarian City Authority</w:t>
            </w:r>
          </w:p>
          <w:p w14:paraId="3574365B"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 xml:space="preserve">Email: </w:t>
            </w:r>
            <w:hyperlink r:id="rId190" w:history="1">
              <w:r w:rsidRPr="005A39C0">
                <w:rPr>
                  <w:rStyle w:val="Hyperlink"/>
                  <w:rFonts w:ascii="Times New Roman" w:hAnsi="Times New Roman" w:cs="Times New Roman"/>
                  <w:lang w:val="en-US"/>
                </w:rPr>
                <w:t>info@ihc.ae</w:t>
              </w:r>
            </w:hyperlink>
            <w:r w:rsidRPr="005A39C0">
              <w:rPr>
                <w:rFonts w:ascii="Times New Roman" w:hAnsi="Times New Roman" w:cs="Times New Roman"/>
                <w:bCs/>
                <w:lang w:val="en-US"/>
              </w:rPr>
              <w:t xml:space="preserve">, </w:t>
            </w:r>
            <w:hyperlink r:id="rId191" w:history="1">
              <w:r w:rsidRPr="005A39C0">
                <w:rPr>
                  <w:rStyle w:val="Hyperlink"/>
                  <w:rFonts w:ascii="Times New Roman" w:hAnsi="Times New Roman" w:cs="Times New Roman"/>
                  <w:lang w:val="en-US"/>
                </w:rPr>
                <w:t>www.ihc.ae</w:t>
              </w:r>
            </w:hyperlink>
            <w:r w:rsidRPr="005A39C0">
              <w:rPr>
                <w:rFonts w:ascii="Times New Roman" w:hAnsi="Times New Roman" w:cs="Times New Roman"/>
                <w:bCs/>
                <w:lang w:val="en-US"/>
              </w:rPr>
              <w:t xml:space="preserve"> </w:t>
            </w:r>
          </w:p>
        </w:tc>
      </w:tr>
      <w:tr w:rsidR="004E6FC1" w:rsidRPr="005A39C0" w14:paraId="1F2BE35A" w14:textId="77777777" w:rsidTr="007722AB">
        <w:tblPrEx>
          <w:tblCellMar>
            <w:left w:w="10" w:type="dxa"/>
            <w:right w:w="10" w:type="dxa"/>
          </w:tblCellMar>
          <w:tblLook w:val="04A0" w:firstRow="1" w:lastRow="0" w:firstColumn="1" w:lastColumn="0" w:noHBand="0" w:noVBand="1"/>
        </w:tblPrEx>
        <w:trPr>
          <w:trHeight w:val="211"/>
        </w:trPr>
        <w:tc>
          <w:tcPr>
            <w:tcW w:w="9360" w:type="dxa"/>
            <w:gridSpan w:val="2"/>
            <w:shd w:val="clear" w:color="auto" w:fill="D9D9D9" w:themeFill="background1" w:themeFillShade="D9"/>
            <w:tcMar>
              <w:top w:w="0" w:type="dxa"/>
              <w:left w:w="108" w:type="dxa"/>
              <w:bottom w:w="0" w:type="dxa"/>
              <w:right w:w="108" w:type="dxa"/>
            </w:tcMar>
          </w:tcPr>
          <w:p w14:paraId="70559B18" w14:textId="77777777" w:rsidR="004E6FC1" w:rsidRPr="005A39C0" w:rsidRDefault="004E6FC1" w:rsidP="007722AB">
            <w:pPr>
              <w:spacing w:after="0"/>
              <w:jc w:val="both"/>
              <w:rPr>
                <w:rFonts w:ascii="Times New Roman" w:hAnsi="Times New Roman" w:cs="Times New Roman"/>
                <w:b/>
                <w:bCs/>
                <w:u w:val="single"/>
                <w:lang w:val="en-US"/>
              </w:rPr>
            </w:pPr>
            <w:r w:rsidRPr="005A39C0">
              <w:rPr>
                <w:rFonts w:ascii="Times New Roman" w:hAnsi="Times New Roman" w:cs="Times New Roman"/>
                <w:b/>
                <w:bCs/>
                <w:u w:val="single"/>
              </w:rPr>
              <w:t xml:space="preserve">Ε3) </w:t>
            </w:r>
            <w:r w:rsidRPr="005A39C0">
              <w:rPr>
                <w:rFonts w:ascii="Times New Roman" w:hAnsi="Times New Roman" w:cs="Times New Roman"/>
                <w:b/>
                <w:bCs/>
                <w:u w:val="single"/>
                <w:lang w:val="en-US"/>
              </w:rPr>
              <w:t>Sharjah (4)</w:t>
            </w:r>
          </w:p>
        </w:tc>
      </w:tr>
      <w:tr w:rsidR="004E6FC1" w:rsidRPr="00022BD6" w14:paraId="57CB0280" w14:textId="77777777" w:rsidTr="007722AB">
        <w:tblPrEx>
          <w:tblCellMar>
            <w:left w:w="10" w:type="dxa"/>
            <w:right w:w="10" w:type="dxa"/>
          </w:tblCellMar>
          <w:tblLook w:val="04A0" w:firstRow="1" w:lastRow="0" w:firstColumn="1" w:lastColumn="0" w:noHBand="0" w:noVBand="1"/>
        </w:tblPrEx>
        <w:trPr>
          <w:trHeight w:val="616"/>
        </w:trPr>
        <w:tc>
          <w:tcPr>
            <w:tcW w:w="4788" w:type="dxa"/>
            <w:shd w:val="clear" w:color="auto" w:fill="auto"/>
            <w:tcMar>
              <w:top w:w="0" w:type="dxa"/>
              <w:left w:w="108" w:type="dxa"/>
              <w:bottom w:w="0" w:type="dxa"/>
              <w:right w:w="108" w:type="dxa"/>
            </w:tcMar>
          </w:tcPr>
          <w:p w14:paraId="71BDC271"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Sharjah Airport International Free Zone (SAIF Zone)</w:t>
            </w:r>
          </w:p>
          <w:p w14:paraId="17D96596"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(Mixed-Use)</w:t>
            </w:r>
          </w:p>
          <w:p w14:paraId="0A1ADAC7" w14:textId="77777777" w:rsidR="004E6FC1" w:rsidRPr="005A39C0" w:rsidRDefault="004E6FC1" w:rsidP="007722AB">
            <w:pPr>
              <w:spacing w:after="0"/>
              <w:jc w:val="both"/>
              <w:rPr>
                <w:rFonts w:ascii="Times New Roman" w:hAnsi="Times New Roman" w:cs="Times New Roman"/>
                <w:bCs/>
                <w:lang w:val="en-US"/>
              </w:rPr>
            </w:pPr>
          </w:p>
        </w:tc>
        <w:tc>
          <w:tcPr>
            <w:tcW w:w="4572" w:type="dxa"/>
            <w:shd w:val="clear" w:color="auto" w:fill="auto"/>
            <w:tcMar>
              <w:top w:w="0" w:type="dxa"/>
              <w:left w:w="108" w:type="dxa"/>
              <w:bottom w:w="0" w:type="dxa"/>
              <w:right w:w="108" w:type="dxa"/>
            </w:tcMar>
          </w:tcPr>
          <w:p w14:paraId="4347A902"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Licensing Authority:</w:t>
            </w:r>
          </w:p>
          <w:p w14:paraId="2F2B8BB7"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Sharjah Airport International Free Zone</w:t>
            </w:r>
          </w:p>
          <w:p w14:paraId="349BCB17"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 xml:space="preserve">Authority, Email: </w:t>
            </w:r>
            <w:hyperlink r:id="rId192" w:history="1">
              <w:r w:rsidRPr="005A39C0">
                <w:rPr>
                  <w:rStyle w:val="Hyperlink"/>
                  <w:rFonts w:ascii="Times New Roman" w:hAnsi="Times New Roman" w:cs="Times New Roman"/>
                  <w:lang w:val="en-US"/>
                </w:rPr>
                <w:t>info@saif-zone.com</w:t>
              </w:r>
            </w:hyperlink>
            <w:r w:rsidRPr="005A39C0">
              <w:rPr>
                <w:rFonts w:ascii="Times New Roman" w:hAnsi="Times New Roman" w:cs="Times New Roman"/>
                <w:bCs/>
                <w:lang w:val="en-US"/>
              </w:rPr>
              <w:t xml:space="preserve">, </w:t>
            </w:r>
            <w:hyperlink r:id="rId193" w:history="1">
              <w:r w:rsidRPr="005A39C0">
                <w:rPr>
                  <w:rStyle w:val="Hyperlink"/>
                  <w:rFonts w:ascii="Times New Roman" w:hAnsi="Times New Roman" w:cs="Times New Roman"/>
                  <w:lang w:val="en-US"/>
                </w:rPr>
                <w:t>www.saif-zone.com</w:t>
              </w:r>
            </w:hyperlink>
            <w:r w:rsidRPr="005A39C0">
              <w:rPr>
                <w:rFonts w:ascii="Times New Roman" w:hAnsi="Times New Roman" w:cs="Times New Roman"/>
                <w:bCs/>
                <w:lang w:val="en-US"/>
              </w:rPr>
              <w:t xml:space="preserve">  </w:t>
            </w:r>
          </w:p>
        </w:tc>
      </w:tr>
      <w:tr w:rsidR="004E6FC1" w:rsidRPr="00022BD6" w14:paraId="4DF22B6D" w14:textId="77777777" w:rsidTr="007722AB">
        <w:tblPrEx>
          <w:tblCellMar>
            <w:left w:w="10" w:type="dxa"/>
            <w:right w:w="10" w:type="dxa"/>
          </w:tblCellMar>
          <w:tblLook w:val="04A0" w:firstRow="1" w:lastRow="0" w:firstColumn="1" w:lastColumn="0" w:noHBand="0" w:noVBand="1"/>
        </w:tblPrEx>
        <w:trPr>
          <w:trHeight w:val="422"/>
        </w:trPr>
        <w:tc>
          <w:tcPr>
            <w:tcW w:w="4788" w:type="dxa"/>
            <w:shd w:val="clear" w:color="auto" w:fill="auto"/>
            <w:tcMar>
              <w:top w:w="0" w:type="dxa"/>
              <w:left w:w="108" w:type="dxa"/>
              <w:bottom w:w="0" w:type="dxa"/>
              <w:right w:w="108" w:type="dxa"/>
            </w:tcMar>
          </w:tcPr>
          <w:p w14:paraId="222BDDD7"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 xml:space="preserve">Hamriyah Free Zone </w:t>
            </w:r>
          </w:p>
          <w:p w14:paraId="07EA45D2"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(Industrial Activities)</w:t>
            </w:r>
          </w:p>
          <w:p w14:paraId="41852C0E" w14:textId="77777777" w:rsidR="004E6FC1" w:rsidRPr="005A39C0" w:rsidRDefault="004E6FC1" w:rsidP="007722AB">
            <w:pPr>
              <w:spacing w:after="0"/>
              <w:jc w:val="both"/>
              <w:rPr>
                <w:rFonts w:ascii="Times New Roman" w:hAnsi="Times New Roman" w:cs="Times New Roman"/>
                <w:bCs/>
                <w:lang w:val="en-US"/>
              </w:rPr>
            </w:pPr>
          </w:p>
        </w:tc>
        <w:tc>
          <w:tcPr>
            <w:tcW w:w="4572" w:type="dxa"/>
            <w:shd w:val="clear" w:color="auto" w:fill="auto"/>
            <w:tcMar>
              <w:top w:w="0" w:type="dxa"/>
              <w:left w:w="108" w:type="dxa"/>
              <w:bottom w:w="0" w:type="dxa"/>
              <w:right w:w="108" w:type="dxa"/>
            </w:tcMar>
          </w:tcPr>
          <w:p w14:paraId="2CF7F9B7"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Licensing Authority:</w:t>
            </w:r>
          </w:p>
          <w:p w14:paraId="4033B926"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Hamriyah Free Zone Authority</w:t>
            </w:r>
          </w:p>
          <w:p w14:paraId="1B52AE37"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 xml:space="preserve">Email: </w:t>
            </w:r>
            <w:hyperlink r:id="rId194" w:history="1">
              <w:r w:rsidRPr="005A39C0">
                <w:rPr>
                  <w:rStyle w:val="Hyperlink"/>
                  <w:rFonts w:ascii="Times New Roman" w:hAnsi="Times New Roman" w:cs="Times New Roman"/>
                  <w:lang w:val="en-US"/>
                </w:rPr>
                <w:t>sales@hfza.ae</w:t>
              </w:r>
            </w:hyperlink>
            <w:r w:rsidRPr="005A39C0">
              <w:rPr>
                <w:rFonts w:ascii="Times New Roman" w:hAnsi="Times New Roman" w:cs="Times New Roman"/>
                <w:bCs/>
                <w:lang w:val="en-US"/>
              </w:rPr>
              <w:t xml:space="preserve">, </w:t>
            </w:r>
            <w:hyperlink r:id="rId195" w:history="1">
              <w:r w:rsidRPr="005A39C0">
                <w:rPr>
                  <w:rStyle w:val="Hyperlink"/>
                  <w:rFonts w:ascii="Times New Roman" w:hAnsi="Times New Roman" w:cs="Times New Roman"/>
                  <w:lang w:val="en-US"/>
                </w:rPr>
                <w:t>www.hfza.ae</w:t>
              </w:r>
            </w:hyperlink>
          </w:p>
        </w:tc>
      </w:tr>
      <w:tr w:rsidR="004E6FC1" w:rsidRPr="005A39C0" w14:paraId="31532EC6" w14:textId="77777777" w:rsidTr="007722AB">
        <w:tblPrEx>
          <w:tblCellMar>
            <w:left w:w="10" w:type="dxa"/>
            <w:right w:w="10" w:type="dxa"/>
          </w:tblCellMar>
          <w:tblLook w:val="04A0" w:firstRow="1" w:lastRow="0" w:firstColumn="1" w:lastColumn="0" w:noHBand="0" w:noVBand="1"/>
        </w:tblPrEx>
        <w:trPr>
          <w:trHeight w:val="422"/>
        </w:trPr>
        <w:tc>
          <w:tcPr>
            <w:tcW w:w="4788" w:type="dxa"/>
            <w:shd w:val="clear" w:color="auto" w:fill="auto"/>
            <w:tcMar>
              <w:top w:w="0" w:type="dxa"/>
              <w:left w:w="108" w:type="dxa"/>
              <w:bottom w:w="0" w:type="dxa"/>
              <w:right w:w="108" w:type="dxa"/>
            </w:tcMar>
          </w:tcPr>
          <w:p w14:paraId="5E78DE52"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Sharjah Media City – SHAMS (2017)</w:t>
            </w:r>
          </w:p>
          <w:p w14:paraId="5DF5D4F1" w14:textId="77777777" w:rsidR="004E6FC1" w:rsidRPr="005A39C0" w:rsidRDefault="004E6FC1" w:rsidP="007722AB">
            <w:pPr>
              <w:spacing w:after="0"/>
              <w:jc w:val="both"/>
              <w:rPr>
                <w:rFonts w:ascii="Times New Roman" w:hAnsi="Times New Roman" w:cs="Times New Roman"/>
                <w:bCs/>
                <w:lang w:val="en-GB"/>
              </w:rPr>
            </w:pPr>
            <w:r w:rsidRPr="005A39C0">
              <w:rPr>
                <w:rFonts w:ascii="Times New Roman" w:hAnsi="Times New Roman" w:cs="Times New Roman"/>
                <w:bCs/>
                <w:lang w:val="en-US"/>
              </w:rPr>
              <w:t>(</w:t>
            </w:r>
            <w:r w:rsidRPr="005A39C0">
              <w:rPr>
                <w:rFonts w:ascii="Times New Roman" w:hAnsi="Times New Roman" w:cs="Times New Roman"/>
                <w:bCs/>
                <w:lang w:val="en-GB"/>
              </w:rPr>
              <w:t>Media)</w:t>
            </w:r>
          </w:p>
        </w:tc>
        <w:tc>
          <w:tcPr>
            <w:tcW w:w="4572" w:type="dxa"/>
            <w:shd w:val="clear" w:color="auto" w:fill="auto"/>
            <w:tcMar>
              <w:top w:w="0" w:type="dxa"/>
              <w:left w:w="108" w:type="dxa"/>
              <w:bottom w:w="0" w:type="dxa"/>
              <w:right w:w="108" w:type="dxa"/>
            </w:tcMar>
          </w:tcPr>
          <w:p w14:paraId="3AF703A2" w14:textId="77777777" w:rsidR="004E6FC1" w:rsidRPr="005A39C0" w:rsidRDefault="00022BD6" w:rsidP="007722AB">
            <w:pPr>
              <w:spacing w:after="0"/>
              <w:jc w:val="both"/>
              <w:rPr>
                <w:rFonts w:ascii="Times New Roman" w:hAnsi="Times New Roman" w:cs="Times New Roman"/>
                <w:bCs/>
                <w:lang w:val="en-US"/>
              </w:rPr>
            </w:pPr>
            <w:hyperlink r:id="rId196" w:history="1">
              <w:r w:rsidR="004E6FC1" w:rsidRPr="005A39C0">
                <w:rPr>
                  <w:rStyle w:val="Hyperlink"/>
                  <w:rFonts w:ascii="Times New Roman" w:hAnsi="Times New Roman" w:cs="Times New Roman"/>
                  <w:lang w:val="en-US"/>
                </w:rPr>
                <w:t>https://www.shams.ae/</w:t>
              </w:r>
            </w:hyperlink>
            <w:r w:rsidR="004E6FC1" w:rsidRPr="005A39C0">
              <w:rPr>
                <w:rFonts w:ascii="Times New Roman" w:hAnsi="Times New Roman" w:cs="Times New Roman"/>
                <w:bCs/>
                <w:lang w:val="en-US"/>
              </w:rPr>
              <w:t xml:space="preserve"> </w:t>
            </w:r>
          </w:p>
        </w:tc>
      </w:tr>
      <w:tr w:rsidR="004E6FC1" w:rsidRPr="005A39C0" w14:paraId="7AB951ED" w14:textId="77777777" w:rsidTr="007722AB">
        <w:tblPrEx>
          <w:tblCellMar>
            <w:left w:w="10" w:type="dxa"/>
            <w:right w:w="10" w:type="dxa"/>
          </w:tblCellMar>
          <w:tblLook w:val="04A0" w:firstRow="1" w:lastRow="0" w:firstColumn="1" w:lastColumn="0" w:noHBand="0" w:noVBand="1"/>
        </w:tblPrEx>
        <w:trPr>
          <w:trHeight w:val="422"/>
        </w:trPr>
        <w:tc>
          <w:tcPr>
            <w:tcW w:w="4788" w:type="dxa"/>
            <w:shd w:val="clear" w:color="auto" w:fill="auto"/>
            <w:tcMar>
              <w:top w:w="0" w:type="dxa"/>
              <w:left w:w="108" w:type="dxa"/>
              <w:bottom w:w="0" w:type="dxa"/>
              <w:right w:w="108" w:type="dxa"/>
            </w:tcMar>
          </w:tcPr>
          <w:p w14:paraId="5F36425C"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Sharjah Publishing City Free Zone</w:t>
            </w:r>
          </w:p>
        </w:tc>
        <w:tc>
          <w:tcPr>
            <w:tcW w:w="4572" w:type="dxa"/>
            <w:shd w:val="clear" w:color="auto" w:fill="auto"/>
            <w:tcMar>
              <w:top w:w="0" w:type="dxa"/>
              <w:left w:w="108" w:type="dxa"/>
              <w:bottom w:w="0" w:type="dxa"/>
              <w:right w:w="108" w:type="dxa"/>
            </w:tcMar>
          </w:tcPr>
          <w:p w14:paraId="3F9CBADC" w14:textId="77777777" w:rsidR="004E6FC1" w:rsidRPr="005A39C0" w:rsidRDefault="00022BD6" w:rsidP="007722AB">
            <w:pPr>
              <w:spacing w:after="0"/>
              <w:jc w:val="both"/>
              <w:rPr>
                <w:rFonts w:ascii="Times New Roman" w:hAnsi="Times New Roman" w:cs="Times New Roman"/>
                <w:bCs/>
                <w:lang w:val="en-US"/>
              </w:rPr>
            </w:pPr>
            <w:hyperlink r:id="rId197" w:history="1">
              <w:r w:rsidR="004E6FC1" w:rsidRPr="005A39C0">
                <w:rPr>
                  <w:rStyle w:val="Hyperlink"/>
                  <w:rFonts w:ascii="Times New Roman" w:hAnsi="Times New Roman" w:cs="Times New Roman"/>
                  <w:lang w:val="en-US"/>
                </w:rPr>
                <w:t>https://spcfz.ae/</w:t>
              </w:r>
            </w:hyperlink>
            <w:r w:rsidR="004E6FC1" w:rsidRPr="005A39C0">
              <w:rPr>
                <w:rFonts w:ascii="Times New Roman" w:hAnsi="Times New Roman" w:cs="Times New Roman"/>
                <w:bCs/>
                <w:lang w:val="en-US"/>
              </w:rPr>
              <w:t xml:space="preserve"> </w:t>
            </w:r>
          </w:p>
        </w:tc>
      </w:tr>
      <w:tr w:rsidR="004E6FC1" w:rsidRPr="005A39C0" w14:paraId="48116600" w14:textId="77777777" w:rsidTr="007722AB">
        <w:tblPrEx>
          <w:tblCellMar>
            <w:left w:w="10" w:type="dxa"/>
            <w:right w:w="10" w:type="dxa"/>
          </w:tblCellMar>
          <w:tblLook w:val="04A0" w:firstRow="1" w:lastRow="0" w:firstColumn="1" w:lastColumn="0" w:noHBand="0" w:noVBand="1"/>
        </w:tblPrEx>
        <w:trPr>
          <w:trHeight w:val="166"/>
        </w:trPr>
        <w:tc>
          <w:tcPr>
            <w:tcW w:w="9360" w:type="dxa"/>
            <w:gridSpan w:val="2"/>
            <w:shd w:val="clear" w:color="auto" w:fill="D9D9D9" w:themeFill="background1" w:themeFillShade="D9"/>
            <w:tcMar>
              <w:top w:w="0" w:type="dxa"/>
              <w:left w:w="108" w:type="dxa"/>
              <w:bottom w:w="0" w:type="dxa"/>
              <w:right w:w="108" w:type="dxa"/>
            </w:tcMar>
          </w:tcPr>
          <w:p w14:paraId="3288E04B" w14:textId="77777777" w:rsidR="004E6FC1" w:rsidRPr="005A39C0" w:rsidRDefault="004E6FC1" w:rsidP="007722AB">
            <w:pPr>
              <w:spacing w:after="0"/>
              <w:jc w:val="both"/>
              <w:rPr>
                <w:rFonts w:ascii="Times New Roman" w:hAnsi="Times New Roman" w:cs="Times New Roman"/>
                <w:b/>
                <w:bCs/>
                <w:u w:val="single"/>
                <w:lang w:val="en-US"/>
              </w:rPr>
            </w:pPr>
            <w:r>
              <w:rPr>
                <w:rFonts w:ascii="Times New Roman" w:hAnsi="Times New Roman" w:cs="Times New Roman"/>
                <w:b/>
                <w:bCs/>
                <w:u w:val="single"/>
              </w:rPr>
              <w:t xml:space="preserve">Ε4) </w:t>
            </w:r>
            <w:r w:rsidRPr="005A39C0">
              <w:rPr>
                <w:rFonts w:ascii="Times New Roman" w:hAnsi="Times New Roman" w:cs="Times New Roman"/>
                <w:b/>
                <w:bCs/>
                <w:u w:val="single"/>
                <w:lang w:val="en-US"/>
              </w:rPr>
              <w:t>A</w:t>
            </w:r>
            <w:r>
              <w:rPr>
                <w:rFonts w:ascii="Times New Roman" w:hAnsi="Times New Roman" w:cs="Times New Roman"/>
                <w:b/>
                <w:bCs/>
                <w:u w:val="single"/>
                <w:lang w:val="en-US"/>
              </w:rPr>
              <w:t>jman</w:t>
            </w:r>
            <w:r w:rsidRPr="005A39C0">
              <w:rPr>
                <w:rFonts w:ascii="Times New Roman" w:hAnsi="Times New Roman" w:cs="Times New Roman"/>
                <w:b/>
                <w:bCs/>
                <w:u w:val="single"/>
                <w:lang w:val="en-US"/>
              </w:rPr>
              <w:t xml:space="preserve"> (2)</w:t>
            </w:r>
          </w:p>
        </w:tc>
      </w:tr>
      <w:tr w:rsidR="004E6FC1" w:rsidRPr="005A39C0" w14:paraId="5B6D6F3A" w14:textId="77777777" w:rsidTr="007722AB">
        <w:tblPrEx>
          <w:tblCellMar>
            <w:left w:w="10" w:type="dxa"/>
            <w:right w:w="10" w:type="dxa"/>
          </w:tblCellMar>
          <w:tblLook w:val="04A0" w:firstRow="1" w:lastRow="0" w:firstColumn="1" w:lastColumn="0" w:noHBand="0" w:noVBand="1"/>
        </w:tblPrEx>
        <w:trPr>
          <w:trHeight w:val="247"/>
        </w:trPr>
        <w:tc>
          <w:tcPr>
            <w:tcW w:w="4788" w:type="dxa"/>
            <w:shd w:val="clear" w:color="auto" w:fill="auto"/>
            <w:tcMar>
              <w:top w:w="0" w:type="dxa"/>
              <w:left w:w="108" w:type="dxa"/>
              <w:bottom w:w="0" w:type="dxa"/>
              <w:right w:w="108" w:type="dxa"/>
            </w:tcMar>
          </w:tcPr>
          <w:p w14:paraId="5E82F626"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Ajman Free Zone</w:t>
            </w:r>
          </w:p>
          <w:p w14:paraId="6129FC13"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(Trade)</w:t>
            </w:r>
          </w:p>
          <w:p w14:paraId="22B850CD" w14:textId="77777777" w:rsidR="004E6FC1" w:rsidRPr="005A39C0" w:rsidRDefault="004E6FC1" w:rsidP="007722AB">
            <w:pPr>
              <w:spacing w:after="0"/>
              <w:jc w:val="both"/>
              <w:rPr>
                <w:rFonts w:ascii="Times New Roman" w:hAnsi="Times New Roman" w:cs="Times New Roman"/>
                <w:bCs/>
                <w:lang w:val="en-US"/>
              </w:rPr>
            </w:pPr>
          </w:p>
        </w:tc>
        <w:tc>
          <w:tcPr>
            <w:tcW w:w="4572" w:type="dxa"/>
            <w:shd w:val="clear" w:color="auto" w:fill="auto"/>
            <w:tcMar>
              <w:top w:w="0" w:type="dxa"/>
              <w:left w:w="108" w:type="dxa"/>
              <w:bottom w:w="0" w:type="dxa"/>
              <w:right w:w="108" w:type="dxa"/>
            </w:tcMar>
          </w:tcPr>
          <w:p w14:paraId="14009188"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Licensing Authority:</w:t>
            </w:r>
          </w:p>
          <w:p w14:paraId="74DBC5B3"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Ajman Free Zone Authority</w:t>
            </w:r>
          </w:p>
          <w:p w14:paraId="2E3C662E"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 xml:space="preserve">Email: </w:t>
            </w:r>
            <w:hyperlink r:id="rId198" w:history="1">
              <w:r w:rsidRPr="005A39C0">
                <w:rPr>
                  <w:rStyle w:val="Hyperlink"/>
                  <w:rFonts w:ascii="Times New Roman" w:hAnsi="Times New Roman" w:cs="Times New Roman"/>
                  <w:lang w:val="en-US"/>
                </w:rPr>
                <w:t>info@afza.gov.ae</w:t>
              </w:r>
            </w:hyperlink>
            <w:r w:rsidRPr="005A39C0">
              <w:rPr>
                <w:rFonts w:ascii="Times New Roman" w:hAnsi="Times New Roman" w:cs="Times New Roman"/>
                <w:bCs/>
                <w:lang w:val="en-US"/>
              </w:rPr>
              <w:t>,</w:t>
            </w:r>
          </w:p>
          <w:p w14:paraId="5E28B9D1"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 xml:space="preserve"> </w:t>
            </w:r>
            <w:hyperlink r:id="rId199" w:history="1">
              <w:r w:rsidRPr="005A39C0">
                <w:rPr>
                  <w:rStyle w:val="Hyperlink"/>
                  <w:rFonts w:ascii="Times New Roman" w:hAnsi="Times New Roman" w:cs="Times New Roman"/>
                  <w:lang w:val="en-US"/>
                </w:rPr>
                <w:t>www.afza.gov.ae</w:t>
              </w:r>
            </w:hyperlink>
            <w:r w:rsidRPr="005A39C0">
              <w:rPr>
                <w:rFonts w:ascii="Times New Roman" w:hAnsi="Times New Roman" w:cs="Times New Roman"/>
                <w:bCs/>
                <w:lang w:val="en-US"/>
              </w:rPr>
              <w:t xml:space="preserve">  </w:t>
            </w:r>
          </w:p>
        </w:tc>
      </w:tr>
      <w:tr w:rsidR="004E6FC1" w:rsidRPr="00022BD6" w14:paraId="205188EF" w14:textId="77777777" w:rsidTr="007722AB">
        <w:tblPrEx>
          <w:tblCellMar>
            <w:left w:w="10" w:type="dxa"/>
            <w:right w:w="10" w:type="dxa"/>
          </w:tblCellMar>
          <w:tblLook w:val="04A0" w:firstRow="1" w:lastRow="0" w:firstColumn="1" w:lastColumn="0" w:noHBand="0" w:noVBand="1"/>
        </w:tblPrEx>
        <w:trPr>
          <w:trHeight w:val="247"/>
        </w:trPr>
        <w:tc>
          <w:tcPr>
            <w:tcW w:w="4788" w:type="dxa"/>
            <w:shd w:val="clear" w:color="auto" w:fill="auto"/>
            <w:tcMar>
              <w:top w:w="0" w:type="dxa"/>
              <w:left w:w="108" w:type="dxa"/>
              <w:bottom w:w="0" w:type="dxa"/>
              <w:right w:w="108" w:type="dxa"/>
            </w:tcMar>
          </w:tcPr>
          <w:p w14:paraId="1050D7EB"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Ajman Media City Free Zone</w:t>
            </w:r>
          </w:p>
          <w:p w14:paraId="08780FAB" w14:textId="77777777" w:rsidR="004E6FC1" w:rsidRPr="005A39C0" w:rsidRDefault="004E6FC1" w:rsidP="007722AB">
            <w:pPr>
              <w:spacing w:after="0"/>
              <w:jc w:val="both"/>
              <w:rPr>
                <w:rFonts w:ascii="Times New Roman" w:hAnsi="Times New Roman" w:cs="Times New Roman"/>
                <w:bCs/>
                <w:lang w:val="en-GB"/>
              </w:rPr>
            </w:pPr>
            <w:r w:rsidRPr="005A39C0">
              <w:rPr>
                <w:rFonts w:ascii="Times New Roman" w:hAnsi="Times New Roman" w:cs="Times New Roman"/>
                <w:bCs/>
                <w:lang w:val="en-US"/>
              </w:rPr>
              <w:t>(</w:t>
            </w:r>
            <w:r w:rsidRPr="005A39C0">
              <w:rPr>
                <w:rFonts w:ascii="Times New Roman" w:hAnsi="Times New Roman" w:cs="Times New Roman"/>
                <w:bCs/>
                <w:lang w:val="en-GB"/>
              </w:rPr>
              <w:t>Media)</w:t>
            </w:r>
          </w:p>
        </w:tc>
        <w:tc>
          <w:tcPr>
            <w:tcW w:w="4572" w:type="dxa"/>
            <w:shd w:val="clear" w:color="auto" w:fill="auto"/>
            <w:tcMar>
              <w:top w:w="0" w:type="dxa"/>
              <w:left w:w="108" w:type="dxa"/>
              <w:bottom w:w="0" w:type="dxa"/>
              <w:right w:w="108" w:type="dxa"/>
            </w:tcMar>
          </w:tcPr>
          <w:p w14:paraId="00FDB691" w14:textId="77777777" w:rsidR="004E6FC1" w:rsidRPr="005A39C0" w:rsidRDefault="00022BD6" w:rsidP="007722AB">
            <w:pPr>
              <w:spacing w:after="0"/>
              <w:jc w:val="both"/>
              <w:rPr>
                <w:rFonts w:ascii="Times New Roman" w:hAnsi="Times New Roman" w:cs="Times New Roman"/>
                <w:bCs/>
                <w:lang w:val="en-US"/>
              </w:rPr>
            </w:pPr>
            <w:hyperlink r:id="rId200" w:history="1">
              <w:r w:rsidR="004E6FC1" w:rsidRPr="005A39C0">
                <w:rPr>
                  <w:rStyle w:val="Hyperlink"/>
                  <w:rFonts w:ascii="Times New Roman" w:hAnsi="Times New Roman" w:cs="Times New Roman"/>
                  <w:lang w:val="en-US"/>
                </w:rPr>
                <w:t>https://www.amcfz.ae/en/</w:t>
              </w:r>
            </w:hyperlink>
            <w:r w:rsidR="004E6FC1" w:rsidRPr="005A39C0">
              <w:rPr>
                <w:rFonts w:ascii="Times New Roman" w:hAnsi="Times New Roman" w:cs="Times New Roman"/>
                <w:bCs/>
                <w:lang w:val="en-US"/>
              </w:rPr>
              <w:t xml:space="preserve"> </w:t>
            </w:r>
          </w:p>
        </w:tc>
      </w:tr>
      <w:tr w:rsidR="004E6FC1" w:rsidRPr="005A39C0" w14:paraId="3899A4B3" w14:textId="77777777" w:rsidTr="007722AB">
        <w:tblPrEx>
          <w:tblCellMar>
            <w:left w:w="10" w:type="dxa"/>
            <w:right w:w="10" w:type="dxa"/>
          </w:tblCellMar>
          <w:tblLook w:val="04A0" w:firstRow="1" w:lastRow="0" w:firstColumn="1" w:lastColumn="0" w:noHBand="0" w:noVBand="1"/>
        </w:tblPrEx>
        <w:trPr>
          <w:trHeight w:val="301"/>
        </w:trPr>
        <w:tc>
          <w:tcPr>
            <w:tcW w:w="9360" w:type="dxa"/>
            <w:gridSpan w:val="2"/>
            <w:shd w:val="clear" w:color="auto" w:fill="D9D9D9" w:themeFill="background1" w:themeFillShade="D9"/>
            <w:tcMar>
              <w:top w:w="0" w:type="dxa"/>
              <w:left w:w="108" w:type="dxa"/>
              <w:bottom w:w="0" w:type="dxa"/>
              <w:right w:w="108" w:type="dxa"/>
            </w:tcMar>
          </w:tcPr>
          <w:p w14:paraId="72FEEB66" w14:textId="77777777" w:rsidR="004E6FC1" w:rsidRPr="005A39C0" w:rsidRDefault="004E6FC1" w:rsidP="007722AB">
            <w:pPr>
              <w:spacing w:after="0"/>
              <w:jc w:val="both"/>
              <w:rPr>
                <w:rFonts w:ascii="Times New Roman" w:hAnsi="Times New Roman" w:cs="Times New Roman"/>
                <w:b/>
                <w:bCs/>
                <w:u w:val="single"/>
                <w:lang w:val="en-US"/>
              </w:rPr>
            </w:pPr>
            <w:r w:rsidRPr="005A39C0">
              <w:rPr>
                <w:rFonts w:ascii="Times New Roman" w:hAnsi="Times New Roman" w:cs="Times New Roman"/>
                <w:b/>
                <w:bCs/>
                <w:u w:val="single"/>
                <w:lang w:val="en-US"/>
              </w:rPr>
              <w:t>E5) Umm Al Quwain (1)</w:t>
            </w:r>
          </w:p>
        </w:tc>
      </w:tr>
      <w:tr w:rsidR="004E6FC1" w:rsidRPr="00022BD6" w14:paraId="2C99230D" w14:textId="77777777" w:rsidTr="007722AB">
        <w:tblPrEx>
          <w:tblCellMar>
            <w:left w:w="10" w:type="dxa"/>
            <w:right w:w="10" w:type="dxa"/>
          </w:tblCellMar>
          <w:tblLook w:val="04A0" w:firstRow="1" w:lastRow="0" w:firstColumn="1" w:lastColumn="0" w:noHBand="0" w:noVBand="1"/>
        </w:tblPrEx>
        <w:trPr>
          <w:trHeight w:val="616"/>
        </w:trPr>
        <w:tc>
          <w:tcPr>
            <w:tcW w:w="4788" w:type="dxa"/>
            <w:shd w:val="clear" w:color="auto" w:fill="auto"/>
            <w:tcMar>
              <w:top w:w="0" w:type="dxa"/>
              <w:left w:w="108" w:type="dxa"/>
              <w:bottom w:w="0" w:type="dxa"/>
              <w:right w:w="108" w:type="dxa"/>
            </w:tcMar>
          </w:tcPr>
          <w:p w14:paraId="795033D3"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Umm Al Quwain Free Trade Zone (UAQ FTZ) </w:t>
            </w:r>
          </w:p>
          <w:p w14:paraId="14E12CD3"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(Mixed-use)</w:t>
            </w:r>
          </w:p>
        </w:tc>
        <w:tc>
          <w:tcPr>
            <w:tcW w:w="4572" w:type="dxa"/>
            <w:shd w:val="clear" w:color="auto" w:fill="auto"/>
            <w:tcMar>
              <w:top w:w="0" w:type="dxa"/>
              <w:left w:w="108" w:type="dxa"/>
              <w:bottom w:w="0" w:type="dxa"/>
              <w:right w:w="108" w:type="dxa"/>
            </w:tcMar>
          </w:tcPr>
          <w:p w14:paraId="1D816835"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Licensing Authority:</w:t>
            </w:r>
          </w:p>
          <w:p w14:paraId="08876CA9"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UAQ Free Trade Zone Authority</w:t>
            </w:r>
          </w:p>
          <w:p w14:paraId="4E6033BC"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 xml:space="preserve">Email: </w:t>
            </w:r>
            <w:hyperlink r:id="rId201" w:history="1">
              <w:r w:rsidRPr="005A39C0">
                <w:rPr>
                  <w:rStyle w:val="Hyperlink"/>
                  <w:rFonts w:ascii="Times New Roman" w:hAnsi="Times New Roman" w:cs="Times New Roman"/>
                  <w:lang w:val="en-US"/>
                </w:rPr>
                <w:t>info@uaqftz.com</w:t>
              </w:r>
            </w:hyperlink>
            <w:r w:rsidRPr="005A39C0">
              <w:rPr>
                <w:rFonts w:ascii="Times New Roman" w:hAnsi="Times New Roman" w:cs="Times New Roman"/>
                <w:bCs/>
                <w:lang w:val="en-US"/>
              </w:rPr>
              <w:t>,</w:t>
            </w:r>
          </w:p>
          <w:p w14:paraId="5BAD90CE" w14:textId="77777777" w:rsidR="004E6FC1" w:rsidRPr="005A39C0" w:rsidRDefault="00022BD6" w:rsidP="007722AB">
            <w:pPr>
              <w:spacing w:after="0"/>
              <w:jc w:val="both"/>
              <w:rPr>
                <w:rFonts w:ascii="Times New Roman" w:hAnsi="Times New Roman" w:cs="Times New Roman"/>
                <w:bCs/>
                <w:lang w:val="en-US"/>
              </w:rPr>
            </w:pPr>
            <w:hyperlink r:id="rId202" w:history="1">
              <w:r w:rsidR="004E6FC1" w:rsidRPr="005A39C0">
                <w:rPr>
                  <w:rStyle w:val="Hyperlink"/>
                  <w:rFonts w:ascii="Times New Roman" w:hAnsi="Times New Roman" w:cs="Times New Roman"/>
                  <w:lang w:val="en-US"/>
                </w:rPr>
                <w:t>https://uaqftz.com/</w:t>
              </w:r>
            </w:hyperlink>
            <w:r w:rsidR="004E6FC1" w:rsidRPr="005A39C0">
              <w:rPr>
                <w:rFonts w:ascii="Times New Roman" w:hAnsi="Times New Roman" w:cs="Times New Roman"/>
                <w:bCs/>
                <w:lang w:val="en-US"/>
              </w:rPr>
              <w:t xml:space="preserve">  </w:t>
            </w:r>
          </w:p>
        </w:tc>
      </w:tr>
      <w:tr w:rsidR="004E6FC1" w:rsidRPr="005A39C0" w14:paraId="5048AF38" w14:textId="77777777" w:rsidTr="007722AB">
        <w:tblPrEx>
          <w:tblCellMar>
            <w:left w:w="10" w:type="dxa"/>
            <w:right w:w="10" w:type="dxa"/>
          </w:tblCellMar>
          <w:tblLook w:val="04A0" w:firstRow="1" w:lastRow="0" w:firstColumn="1" w:lastColumn="0" w:noHBand="0" w:noVBand="1"/>
        </w:tblPrEx>
        <w:trPr>
          <w:trHeight w:val="202"/>
        </w:trPr>
        <w:tc>
          <w:tcPr>
            <w:tcW w:w="9360" w:type="dxa"/>
            <w:gridSpan w:val="2"/>
            <w:shd w:val="clear" w:color="auto" w:fill="D9D9D9" w:themeFill="background1" w:themeFillShade="D9"/>
            <w:tcMar>
              <w:top w:w="0" w:type="dxa"/>
              <w:left w:w="108" w:type="dxa"/>
              <w:bottom w:w="0" w:type="dxa"/>
              <w:right w:w="108" w:type="dxa"/>
            </w:tcMar>
          </w:tcPr>
          <w:p w14:paraId="09E27900" w14:textId="77777777" w:rsidR="004E6FC1" w:rsidRPr="005A39C0" w:rsidRDefault="004E6FC1" w:rsidP="007722AB">
            <w:pPr>
              <w:spacing w:after="0"/>
              <w:jc w:val="both"/>
              <w:rPr>
                <w:rFonts w:ascii="Times New Roman" w:hAnsi="Times New Roman" w:cs="Times New Roman"/>
                <w:b/>
                <w:bCs/>
                <w:u w:val="single"/>
                <w:lang w:val="en-US"/>
              </w:rPr>
            </w:pPr>
            <w:r w:rsidRPr="005A39C0">
              <w:rPr>
                <w:rFonts w:ascii="Times New Roman" w:hAnsi="Times New Roman" w:cs="Times New Roman"/>
                <w:b/>
                <w:bCs/>
                <w:u w:val="single"/>
              </w:rPr>
              <w:t xml:space="preserve">Ε6) </w:t>
            </w:r>
            <w:r w:rsidRPr="005A39C0">
              <w:rPr>
                <w:rFonts w:ascii="Times New Roman" w:hAnsi="Times New Roman" w:cs="Times New Roman"/>
                <w:b/>
                <w:bCs/>
                <w:u w:val="single"/>
                <w:lang w:val="en-US"/>
              </w:rPr>
              <w:t>Ras Al Khaimah (2)</w:t>
            </w:r>
          </w:p>
        </w:tc>
      </w:tr>
      <w:tr w:rsidR="004E6FC1" w:rsidRPr="00022BD6" w14:paraId="689A083B" w14:textId="77777777" w:rsidTr="007722AB">
        <w:tblPrEx>
          <w:tblCellMar>
            <w:left w:w="10" w:type="dxa"/>
            <w:right w:w="10" w:type="dxa"/>
          </w:tblCellMar>
          <w:tblLook w:val="04A0" w:firstRow="1" w:lastRow="0" w:firstColumn="1" w:lastColumn="0" w:noHBand="0" w:noVBand="1"/>
        </w:tblPrEx>
        <w:trPr>
          <w:trHeight w:val="616"/>
        </w:trPr>
        <w:tc>
          <w:tcPr>
            <w:tcW w:w="4788" w:type="dxa"/>
            <w:shd w:val="clear" w:color="auto" w:fill="auto"/>
            <w:tcMar>
              <w:top w:w="0" w:type="dxa"/>
              <w:left w:w="108" w:type="dxa"/>
              <w:bottom w:w="0" w:type="dxa"/>
              <w:right w:w="108" w:type="dxa"/>
            </w:tcMar>
          </w:tcPr>
          <w:p w14:paraId="0F76D65B"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RAK Maritime City</w:t>
            </w:r>
          </w:p>
        </w:tc>
        <w:tc>
          <w:tcPr>
            <w:tcW w:w="4572" w:type="dxa"/>
            <w:shd w:val="clear" w:color="auto" w:fill="auto"/>
            <w:tcMar>
              <w:top w:w="0" w:type="dxa"/>
              <w:left w:w="108" w:type="dxa"/>
              <w:bottom w:w="0" w:type="dxa"/>
              <w:right w:w="108" w:type="dxa"/>
            </w:tcMar>
          </w:tcPr>
          <w:p w14:paraId="5D0A20D2" w14:textId="77777777" w:rsidR="004E6FC1" w:rsidRPr="005A39C0" w:rsidRDefault="00022BD6" w:rsidP="007722AB">
            <w:pPr>
              <w:spacing w:after="0"/>
              <w:jc w:val="both"/>
              <w:rPr>
                <w:rFonts w:ascii="Times New Roman" w:hAnsi="Times New Roman" w:cs="Times New Roman"/>
                <w:bCs/>
                <w:lang w:val="en-US"/>
              </w:rPr>
            </w:pPr>
            <w:hyperlink r:id="rId203" w:history="1">
              <w:r w:rsidR="004E6FC1" w:rsidRPr="005A39C0">
                <w:rPr>
                  <w:rStyle w:val="Hyperlink"/>
                  <w:rFonts w:ascii="Times New Roman" w:hAnsi="Times New Roman" w:cs="Times New Roman"/>
                  <w:lang w:val="en-US"/>
                </w:rPr>
                <w:t>https://rakports.ae/ports/saqr-port-and-free-zone/</w:t>
              </w:r>
            </w:hyperlink>
            <w:r w:rsidR="004E6FC1" w:rsidRPr="005A39C0">
              <w:rPr>
                <w:rFonts w:ascii="Times New Roman" w:hAnsi="Times New Roman" w:cs="Times New Roman"/>
                <w:bCs/>
                <w:lang w:val="en-US"/>
              </w:rPr>
              <w:t xml:space="preserve"> </w:t>
            </w:r>
          </w:p>
        </w:tc>
      </w:tr>
      <w:tr w:rsidR="004E6FC1" w:rsidRPr="00022BD6" w14:paraId="4C25CDA1" w14:textId="77777777" w:rsidTr="007722AB">
        <w:tblPrEx>
          <w:tblCellMar>
            <w:left w:w="10" w:type="dxa"/>
            <w:right w:w="10" w:type="dxa"/>
          </w:tblCellMar>
          <w:tblLook w:val="04A0" w:firstRow="1" w:lastRow="0" w:firstColumn="1" w:lastColumn="0" w:noHBand="0" w:noVBand="1"/>
        </w:tblPrEx>
        <w:trPr>
          <w:trHeight w:val="616"/>
        </w:trPr>
        <w:tc>
          <w:tcPr>
            <w:tcW w:w="4788" w:type="dxa"/>
            <w:shd w:val="clear" w:color="auto" w:fill="auto"/>
            <w:tcMar>
              <w:top w:w="0" w:type="dxa"/>
              <w:left w:w="108" w:type="dxa"/>
              <w:bottom w:w="0" w:type="dxa"/>
              <w:right w:w="108" w:type="dxa"/>
            </w:tcMar>
          </w:tcPr>
          <w:p w14:paraId="783AA782" w14:textId="77777777" w:rsidR="004E6FC1" w:rsidRPr="0095052A" w:rsidRDefault="004E6FC1" w:rsidP="007722AB">
            <w:pPr>
              <w:spacing w:after="0"/>
              <w:jc w:val="both"/>
              <w:rPr>
                <w:rFonts w:ascii="Times New Roman" w:hAnsi="Times New Roman" w:cs="Times New Roman"/>
                <w:bCs/>
                <w:lang w:val="fr-FR"/>
              </w:rPr>
            </w:pPr>
            <w:r w:rsidRPr="0095052A">
              <w:rPr>
                <w:rFonts w:ascii="Times New Roman" w:hAnsi="Times New Roman" w:cs="Times New Roman"/>
                <w:bCs/>
                <w:lang w:val="fr-FR"/>
              </w:rPr>
              <w:t>Ras Al Khaimah Economic Zone (RAKEZ)</w:t>
            </w:r>
          </w:p>
          <w:p w14:paraId="7D390B87"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Ras Al Khaimah Free Trade Zone (RAK FTZ)</w:t>
            </w:r>
          </w:p>
          <w:p w14:paraId="107C2A10" w14:textId="77777777" w:rsidR="004E6FC1" w:rsidRPr="005A39C0" w:rsidRDefault="004E6FC1" w:rsidP="007722AB">
            <w:pPr>
              <w:spacing w:after="0"/>
              <w:jc w:val="both"/>
              <w:rPr>
                <w:rFonts w:ascii="Times New Roman" w:hAnsi="Times New Roman" w:cs="Times New Roman"/>
                <w:bCs/>
                <w:lang w:val="en-US"/>
              </w:rPr>
            </w:pPr>
          </w:p>
        </w:tc>
        <w:tc>
          <w:tcPr>
            <w:tcW w:w="4572" w:type="dxa"/>
            <w:shd w:val="clear" w:color="auto" w:fill="auto"/>
            <w:tcMar>
              <w:top w:w="0" w:type="dxa"/>
              <w:left w:w="108" w:type="dxa"/>
              <w:bottom w:w="0" w:type="dxa"/>
              <w:right w:w="108" w:type="dxa"/>
            </w:tcMar>
          </w:tcPr>
          <w:p w14:paraId="06667092"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Licensing Authority:</w:t>
            </w:r>
          </w:p>
          <w:p w14:paraId="22F952D4"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RAK Economic Zone Authority</w:t>
            </w:r>
          </w:p>
          <w:p w14:paraId="51EB54EC"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 xml:space="preserve">Email: </w:t>
            </w:r>
            <w:hyperlink r:id="rId204" w:history="1">
              <w:r w:rsidRPr="005A39C0">
                <w:rPr>
                  <w:rStyle w:val="Hyperlink"/>
                  <w:rFonts w:ascii="Times New Roman" w:hAnsi="Times New Roman" w:cs="Times New Roman"/>
                  <w:lang w:val="en-US"/>
                </w:rPr>
                <w:t>info@rakez.com</w:t>
              </w:r>
            </w:hyperlink>
            <w:r w:rsidRPr="005A39C0">
              <w:rPr>
                <w:rFonts w:ascii="Times New Roman" w:hAnsi="Times New Roman" w:cs="Times New Roman"/>
                <w:bCs/>
                <w:lang w:val="en-US"/>
              </w:rPr>
              <w:t xml:space="preserve">, </w:t>
            </w:r>
            <w:hyperlink r:id="rId205" w:history="1">
              <w:r w:rsidRPr="005A39C0">
                <w:rPr>
                  <w:rStyle w:val="Hyperlink"/>
                  <w:rFonts w:ascii="Times New Roman" w:hAnsi="Times New Roman" w:cs="Times New Roman"/>
                  <w:lang w:val="en-US"/>
                </w:rPr>
                <w:t>www.rakez.com</w:t>
              </w:r>
            </w:hyperlink>
            <w:r w:rsidRPr="005A39C0">
              <w:rPr>
                <w:rFonts w:ascii="Times New Roman" w:hAnsi="Times New Roman" w:cs="Times New Roman"/>
                <w:bCs/>
                <w:lang w:val="en-US"/>
              </w:rPr>
              <w:t xml:space="preserve"> </w:t>
            </w:r>
          </w:p>
        </w:tc>
      </w:tr>
      <w:tr w:rsidR="004E6FC1" w:rsidRPr="005A39C0" w14:paraId="1CE709F2" w14:textId="77777777" w:rsidTr="007722AB">
        <w:tblPrEx>
          <w:tblCellMar>
            <w:left w:w="10" w:type="dxa"/>
            <w:right w:w="10" w:type="dxa"/>
          </w:tblCellMar>
          <w:tblLook w:val="04A0" w:firstRow="1" w:lastRow="0" w:firstColumn="1" w:lastColumn="0" w:noHBand="0" w:noVBand="1"/>
        </w:tblPrEx>
        <w:trPr>
          <w:trHeight w:val="256"/>
        </w:trPr>
        <w:tc>
          <w:tcPr>
            <w:tcW w:w="9360" w:type="dxa"/>
            <w:gridSpan w:val="2"/>
            <w:shd w:val="clear" w:color="auto" w:fill="D9D9D9" w:themeFill="background1" w:themeFillShade="D9"/>
            <w:tcMar>
              <w:top w:w="0" w:type="dxa"/>
              <w:left w:w="108" w:type="dxa"/>
              <w:bottom w:w="0" w:type="dxa"/>
              <w:right w:w="108" w:type="dxa"/>
            </w:tcMar>
          </w:tcPr>
          <w:p w14:paraId="614E88E8" w14:textId="77777777" w:rsidR="004E6FC1" w:rsidRPr="005A39C0" w:rsidRDefault="004E6FC1" w:rsidP="007722AB">
            <w:pPr>
              <w:spacing w:after="0"/>
              <w:jc w:val="both"/>
              <w:rPr>
                <w:rFonts w:ascii="Times New Roman" w:hAnsi="Times New Roman" w:cs="Times New Roman"/>
                <w:b/>
                <w:bCs/>
                <w:u w:val="single"/>
                <w:lang w:val="en-US"/>
              </w:rPr>
            </w:pPr>
            <w:r w:rsidRPr="005A39C0">
              <w:rPr>
                <w:rFonts w:ascii="Times New Roman" w:hAnsi="Times New Roman" w:cs="Times New Roman"/>
                <w:b/>
                <w:bCs/>
                <w:u w:val="single"/>
              </w:rPr>
              <w:t xml:space="preserve">Ε7) </w:t>
            </w:r>
            <w:r w:rsidRPr="005A39C0">
              <w:rPr>
                <w:rFonts w:ascii="Times New Roman" w:hAnsi="Times New Roman" w:cs="Times New Roman"/>
                <w:b/>
                <w:bCs/>
                <w:u w:val="single"/>
                <w:lang w:val="en-US"/>
              </w:rPr>
              <w:t>Fujairah (2)</w:t>
            </w:r>
          </w:p>
        </w:tc>
      </w:tr>
      <w:tr w:rsidR="004E6FC1" w:rsidRPr="005A39C0" w14:paraId="7E66B206" w14:textId="77777777" w:rsidTr="007722AB">
        <w:tblPrEx>
          <w:tblCellMar>
            <w:left w:w="10" w:type="dxa"/>
            <w:right w:w="10" w:type="dxa"/>
          </w:tblCellMar>
          <w:tblLook w:val="04A0" w:firstRow="1" w:lastRow="0" w:firstColumn="1" w:lastColumn="0" w:noHBand="0" w:noVBand="1"/>
        </w:tblPrEx>
        <w:trPr>
          <w:trHeight w:val="616"/>
        </w:trPr>
        <w:tc>
          <w:tcPr>
            <w:tcW w:w="4788" w:type="dxa"/>
            <w:shd w:val="clear" w:color="auto" w:fill="auto"/>
            <w:tcMar>
              <w:top w:w="0" w:type="dxa"/>
              <w:left w:w="108" w:type="dxa"/>
              <w:bottom w:w="0" w:type="dxa"/>
              <w:right w:w="108" w:type="dxa"/>
            </w:tcMar>
          </w:tcPr>
          <w:p w14:paraId="66753E56"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Fujairah Free Zone</w:t>
            </w:r>
          </w:p>
          <w:p w14:paraId="3AE556A3" w14:textId="77777777" w:rsidR="004E6FC1" w:rsidRPr="005A39C0" w:rsidRDefault="004E6FC1" w:rsidP="007722AB">
            <w:pPr>
              <w:spacing w:after="0"/>
              <w:jc w:val="both"/>
              <w:rPr>
                <w:rFonts w:ascii="Times New Roman" w:hAnsi="Times New Roman" w:cs="Times New Roman"/>
                <w:bCs/>
                <w:lang w:val="en-GB"/>
              </w:rPr>
            </w:pPr>
            <w:r w:rsidRPr="005A39C0">
              <w:rPr>
                <w:rFonts w:ascii="Times New Roman" w:hAnsi="Times New Roman" w:cs="Times New Roman"/>
                <w:bCs/>
                <w:lang w:val="en-US"/>
              </w:rPr>
              <w:t>(Trade &amp; Logistics)</w:t>
            </w:r>
          </w:p>
        </w:tc>
        <w:tc>
          <w:tcPr>
            <w:tcW w:w="4572" w:type="dxa"/>
            <w:shd w:val="clear" w:color="auto" w:fill="auto"/>
            <w:tcMar>
              <w:top w:w="0" w:type="dxa"/>
              <w:left w:w="108" w:type="dxa"/>
              <w:bottom w:w="0" w:type="dxa"/>
              <w:right w:w="108" w:type="dxa"/>
            </w:tcMar>
          </w:tcPr>
          <w:p w14:paraId="0B398C8D"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Licensing Authority:</w:t>
            </w:r>
          </w:p>
          <w:p w14:paraId="39D1AED3"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Fujairah Free Zone Authority</w:t>
            </w:r>
          </w:p>
          <w:p w14:paraId="3C2CB7EF" w14:textId="77777777" w:rsidR="004E6FC1" w:rsidRPr="0095052A" w:rsidRDefault="004E6FC1" w:rsidP="007722AB">
            <w:pPr>
              <w:spacing w:after="0"/>
              <w:jc w:val="both"/>
              <w:rPr>
                <w:rFonts w:ascii="Times New Roman" w:hAnsi="Times New Roman" w:cs="Times New Roman"/>
                <w:bCs/>
                <w:lang w:val="fr-FR"/>
              </w:rPr>
            </w:pPr>
            <w:r w:rsidRPr="0095052A">
              <w:rPr>
                <w:rFonts w:ascii="Times New Roman" w:hAnsi="Times New Roman" w:cs="Times New Roman"/>
                <w:bCs/>
                <w:lang w:val="fr-FR"/>
              </w:rPr>
              <w:t xml:space="preserve">E-mail : </w:t>
            </w:r>
            <w:hyperlink r:id="rId206" w:history="1">
              <w:r w:rsidRPr="0095052A">
                <w:rPr>
                  <w:rStyle w:val="Hyperlink"/>
                  <w:rFonts w:ascii="Times New Roman" w:hAnsi="Times New Roman" w:cs="Times New Roman"/>
                  <w:lang w:val="fr-FR"/>
                </w:rPr>
                <w:t>freezone@emirates.net.ae</w:t>
              </w:r>
            </w:hyperlink>
          </w:p>
          <w:p w14:paraId="1A991927" w14:textId="77777777" w:rsidR="004E6FC1" w:rsidRPr="005A39C0" w:rsidRDefault="00022BD6" w:rsidP="007722AB">
            <w:pPr>
              <w:spacing w:after="0"/>
              <w:jc w:val="both"/>
              <w:rPr>
                <w:rFonts w:ascii="Times New Roman" w:hAnsi="Times New Roman" w:cs="Times New Roman"/>
                <w:bCs/>
                <w:lang w:val="en-US"/>
              </w:rPr>
            </w:pPr>
            <w:hyperlink r:id="rId207" w:history="1">
              <w:r w:rsidR="004E6FC1" w:rsidRPr="005A39C0">
                <w:rPr>
                  <w:rStyle w:val="Hyperlink"/>
                  <w:rFonts w:ascii="Times New Roman" w:hAnsi="Times New Roman" w:cs="Times New Roman"/>
                  <w:lang w:val="en-US"/>
                </w:rPr>
                <w:t>www.fujairahfreezone.com</w:t>
              </w:r>
            </w:hyperlink>
            <w:r w:rsidR="004E6FC1" w:rsidRPr="005A39C0">
              <w:rPr>
                <w:rFonts w:ascii="Times New Roman" w:hAnsi="Times New Roman" w:cs="Times New Roman"/>
                <w:bCs/>
                <w:lang w:val="en-US"/>
              </w:rPr>
              <w:t xml:space="preserve"> </w:t>
            </w:r>
          </w:p>
        </w:tc>
      </w:tr>
      <w:tr w:rsidR="004E6FC1" w:rsidRPr="005A39C0" w14:paraId="5A2FD9CB" w14:textId="77777777" w:rsidTr="007722AB">
        <w:tblPrEx>
          <w:tblCellMar>
            <w:left w:w="10" w:type="dxa"/>
            <w:right w:w="10" w:type="dxa"/>
          </w:tblCellMar>
          <w:tblLook w:val="04A0" w:firstRow="1" w:lastRow="0" w:firstColumn="1" w:lastColumn="0" w:noHBand="0" w:noVBand="1"/>
        </w:tblPrEx>
        <w:trPr>
          <w:trHeight w:val="616"/>
        </w:trPr>
        <w:tc>
          <w:tcPr>
            <w:tcW w:w="4788" w:type="dxa"/>
            <w:shd w:val="clear" w:color="auto" w:fill="auto"/>
            <w:tcMar>
              <w:top w:w="0" w:type="dxa"/>
              <w:left w:w="108" w:type="dxa"/>
              <w:bottom w:w="0" w:type="dxa"/>
              <w:right w:w="108" w:type="dxa"/>
            </w:tcMar>
          </w:tcPr>
          <w:p w14:paraId="44C88D9C"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Creative City Free Zone (2007)</w:t>
            </w:r>
          </w:p>
          <w:p w14:paraId="5CED7635" w14:textId="77777777" w:rsidR="004E6FC1" w:rsidRPr="005A39C0" w:rsidRDefault="004E6FC1" w:rsidP="007722AB">
            <w:pPr>
              <w:spacing w:after="0"/>
              <w:jc w:val="both"/>
              <w:rPr>
                <w:rFonts w:ascii="Times New Roman" w:hAnsi="Times New Roman" w:cs="Times New Roman"/>
                <w:bCs/>
                <w:lang w:val="en-US"/>
              </w:rPr>
            </w:pPr>
            <w:r w:rsidRPr="005A39C0">
              <w:rPr>
                <w:rFonts w:ascii="Times New Roman" w:hAnsi="Times New Roman" w:cs="Times New Roman"/>
                <w:bCs/>
                <w:lang w:val="en-US"/>
              </w:rPr>
              <w:t>(Creative Design)</w:t>
            </w:r>
          </w:p>
        </w:tc>
        <w:tc>
          <w:tcPr>
            <w:tcW w:w="4572" w:type="dxa"/>
            <w:shd w:val="clear" w:color="auto" w:fill="auto"/>
            <w:tcMar>
              <w:top w:w="0" w:type="dxa"/>
              <w:left w:w="108" w:type="dxa"/>
              <w:bottom w:w="0" w:type="dxa"/>
              <w:right w:w="108" w:type="dxa"/>
            </w:tcMar>
          </w:tcPr>
          <w:p w14:paraId="1CDCB59C" w14:textId="77777777" w:rsidR="004E6FC1" w:rsidRPr="005A39C0" w:rsidRDefault="00022BD6" w:rsidP="007722AB">
            <w:pPr>
              <w:spacing w:after="0"/>
              <w:jc w:val="both"/>
              <w:rPr>
                <w:rFonts w:ascii="Times New Roman" w:hAnsi="Times New Roman" w:cs="Times New Roman"/>
                <w:bCs/>
                <w:lang w:val="en-US"/>
              </w:rPr>
            </w:pPr>
            <w:hyperlink r:id="rId208" w:history="1">
              <w:r w:rsidR="004E6FC1" w:rsidRPr="005A39C0">
                <w:rPr>
                  <w:rStyle w:val="Hyperlink"/>
                  <w:rFonts w:ascii="Times New Roman" w:hAnsi="Times New Roman" w:cs="Times New Roman"/>
                  <w:lang w:val="en-US"/>
                </w:rPr>
                <w:t>https://creativecity.ae/</w:t>
              </w:r>
            </w:hyperlink>
            <w:r w:rsidR="004E6FC1" w:rsidRPr="005A39C0">
              <w:rPr>
                <w:rFonts w:ascii="Times New Roman" w:hAnsi="Times New Roman" w:cs="Times New Roman"/>
                <w:bCs/>
                <w:lang w:val="en-US"/>
              </w:rPr>
              <w:t xml:space="preserve"> </w:t>
            </w:r>
          </w:p>
        </w:tc>
      </w:tr>
    </w:tbl>
    <w:p w14:paraId="78C31C75" w14:textId="77777777" w:rsidR="004E6FC1" w:rsidRPr="00D074C6" w:rsidRDefault="004E6FC1" w:rsidP="004E6FC1">
      <w:pPr>
        <w:spacing w:after="0"/>
        <w:jc w:val="both"/>
        <w:rPr>
          <w:rFonts w:ascii="Times New Roman" w:hAnsi="Times New Roman" w:cs="Times New Roman"/>
          <w:bCs/>
          <w:sz w:val="24"/>
          <w:szCs w:val="24"/>
          <w:lang w:val="en-US"/>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482"/>
      </w:tblGrid>
      <w:tr w:rsidR="004E6FC1" w:rsidRPr="007645CB" w14:paraId="3A6F81FD" w14:textId="77777777" w:rsidTr="004E6FC1">
        <w:trPr>
          <w:trHeight w:hRule="exact" w:val="622"/>
        </w:trPr>
        <w:tc>
          <w:tcPr>
            <w:tcW w:w="9360" w:type="dxa"/>
            <w:gridSpan w:val="2"/>
            <w:shd w:val="pct15" w:color="auto" w:fill="FFFFFF"/>
            <w:vAlign w:val="center"/>
          </w:tcPr>
          <w:p w14:paraId="70279AEE" w14:textId="585A1312" w:rsidR="004E6FC1" w:rsidRPr="00B86CFF" w:rsidRDefault="004E6FC1" w:rsidP="00B86CFF">
            <w:pPr>
              <w:rPr>
                <w:rFonts w:asciiTheme="majorHAnsi" w:hAnsiTheme="majorHAnsi"/>
                <w:b/>
                <w:color w:val="548DD4" w:themeColor="text2" w:themeTint="99"/>
                <w:sz w:val="26"/>
                <w:szCs w:val="26"/>
              </w:rPr>
            </w:pPr>
            <w:r w:rsidRPr="00B86CFF">
              <w:rPr>
                <w:rFonts w:asciiTheme="majorHAnsi" w:hAnsiTheme="majorHAnsi"/>
                <w:b/>
                <w:color w:val="548DD4" w:themeColor="text2" w:themeTint="99"/>
                <w:sz w:val="26"/>
                <w:szCs w:val="26"/>
              </w:rPr>
              <w:br w:type="page"/>
            </w:r>
            <w:r w:rsidRPr="00B86CFF">
              <w:rPr>
                <w:rFonts w:asciiTheme="majorHAnsi" w:hAnsiTheme="majorHAnsi"/>
                <w:b/>
                <w:color w:val="548DD4" w:themeColor="text2" w:themeTint="99"/>
                <w:sz w:val="26"/>
                <w:szCs w:val="26"/>
              </w:rPr>
              <w:br w:type="page"/>
            </w:r>
            <w:bookmarkStart w:id="59" w:name="_Toc136423635"/>
            <w:r w:rsidR="00B86CFF">
              <w:rPr>
                <w:rFonts w:asciiTheme="majorHAnsi" w:hAnsiTheme="majorHAnsi"/>
                <w:b/>
                <w:color w:val="548DD4" w:themeColor="text2" w:themeTint="99"/>
                <w:sz w:val="26"/>
                <w:szCs w:val="26"/>
              </w:rPr>
              <w:t xml:space="preserve">5.3 </w:t>
            </w:r>
            <w:r w:rsidRPr="00B86CFF">
              <w:rPr>
                <w:rFonts w:asciiTheme="majorHAnsi" w:hAnsiTheme="majorHAnsi"/>
                <w:b/>
                <w:color w:val="548DD4" w:themeColor="text2" w:themeTint="99"/>
                <w:sz w:val="26"/>
                <w:szCs w:val="26"/>
              </w:rPr>
              <w:t>Δικηγορικά Γραφεία</w:t>
            </w:r>
            <w:bookmarkEnd w:id="59"/>
          </w:p>
        </w:tc>
      </w:tr>
      <w:tr w:rsidR="004E6FC1" w:rsidRPr="0086625D" w14:paraId="1D04FCA1"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62DAA58B" w14:textId="77777777" w:rsidR="004E6FC1" w:rsidRPr="0086625D" w:rsidRDefault="004E6FC1" w:rsidP="007722AB">
            <w:pPr>
              <w:spacing w:after="0"/>
              <w:jc w:val="both"/>
              <w:rPr>
                <w:rFonts w:ascii="Times New Roman" w:hAnsi="Times New Roman" w:cs="Times New Roman"/>
                <w:bCs/>
                <w:lang w:val="en-US"/>
              </w:rPr>
            </w:pPr>
            <w:r w:rsidRPr="0086625D">
              <w:rPr>
                <w:rFonts w:ascii="Times New Roman" w:hAnsi="Times New Roman" w:cs="Times New Roman"/>
                <w:bCs/>
              </w:rPr>
              <w:t>A R Hilal &amp; Associates</w:t>
            </w:r>
          </w:p>
        </w:tc>
        <w:tc>
          <w:tcPr>
            <w:tcW w:w="44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0DAF24" w14:textId="77777777" w:rsidR="004E6FC1" w:rsidRPr="0086625D" w:rsidRDefault="00022BD6" w:rsidP="007722AB">
            <w:pPr>
              <w:spacing w:after="0"/>
              <w:jc w:val="both"/>
              <w:rPr>
                <w:rFonts w:ascii="Times New Roman" w:hAnsi="Times New Roman" w:cs="Times New Roman"/>
                <w:bCs/>
                <w:u w:val="single"/>
                <w:lang w:val="en-US"/>
              </w:rPr>
            </w:pPr>
            <w:hyperlink r:id="rId209" w:history="1">
              <w:r w:rsidR="004E6FC1" w:rsidRPr="0086625D">
                <w:rPr>
                  <w:rStyle w:val="Hyperlink"/>
                  <w:rFonts w:ascii="Times New Roman" w:hAnsi="Times New Roman" w:cs="Times New Roman"/>
                </w:rPr>
                <w:t>http://www.hilalassociates.com</w:t>
              </w:r>
            </w:hyperlink>
          </w:p>
        </w:tc>
      </w:tr>
      <w:tr w:rsidR="004E6FC1" w:rsidRPr="0086625D" w14:paraId="7A26EAA7"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635C6C66" w14:textId="77777777" w:rsidR="004E6FC1" w:rsidRPr="0086625D" w:rsidRDefault="004E6FC1" w:rsidP="007722AB">
            <w:pPr>
              <w:spacing w:after="0"/>
              <w:jc w:val="both"/>
              <w:rPr>
                <w:rFonts w:ascii="Times New Roman" w:hAnsi="Times New Roman" w:cs="Times New Roman"/>
                <w:bCs/>
                <w:lang w:val="en-US"/>
              </w:rPr>
            </w:pPr>
            <w:r w:rsidRPr="0086625D">
              <w:rPr>
                <w:rFonts w:ascii="Times New Roman" w:hAnsi="Times New Roman" w:cs="Times New Roman"/>
                <w:bCs/>
                <w:lang w:val="en-US"/>
              </w:rPr>
              <w:t>Abbas Al Hawai &amp; Associates Advocates &amp; Legal Consultants</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B782EF" w14:textId="77777777" w:rsidR="004E6FC1" w:rsidRPr="0086625D" w:rsidRDefault="00022BD6" w:rsidP="007722AB">
            <w:pPr>
              <w:spacing w:after="0"/>
              <w:jc w:val="both"/>
              <w:rPr>
                <w:rFonts w:ascii="Times New Roman" w:hAnsi="Times New Roman" w:cs="Times New Roman"/>
                <w:bCs/>
                <w:u w:val="single"/>
              </w:rPr>
            </w:pPr>
            <w:hyperlink r:id="rId210" w:history="1">
              <w:r w:rsidR="004E6FC1" w:rsidRPr="0086625D">
                <w:rPr>
                  <w:rStyle w:val="Hyperlink"/>
                  <w:rFonts w:ascii="Times New Roman" w:hAnsi="Times New Roman" w:cs="Times New Roman"/>
                </w:rPr>
                <w:t>http://www.abbasalhwaiassociates.ae</w:t>
              </w:r>
            </w:hyperlink>
          </w:p>
        </w:tc>
      </w:tr>
      <w:tr w:rsidR="004E6FC1" w:rsidRPr="0086625D" w14:paraId="01D4DCE8"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42051529"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Abu Ghazaleh Intellectual Property</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098F8C" w14:textId="77777777" w:rsidR="004E6FC1" w:rsidRPr="0086625D" w:rsidRDefault="00022BD6" w:rsidP="007722AB">
            <w:pPr>
              <w:spacing w:after="0"/>
              <w:jc w:val="both"/>
              <w:rPr>
                <w:rFonts w:ascii="Times New Roman" w:hAnsi="Times New Roman" w:cs="Times New Roman"/>
                <w:bCs/>
              </w:rPr>
            </w:pPr>
            <w:hyperlink r:id="rId211" w:history="1">
              <w:r w:rsidR="004E6FC1" w:rsidRPr="0086625D">
                <w:rPr>
                  <w:rStyle w:val="Hyperlink"/>
                  <w:rFonts w:ascii="Times New Roman" w:hAnsi="Times New Roman" w:cs="Times New Roman"/>
                </w:rPr>
                <w:t>http://www.agip.com/</w:t>
              </w:r>
            </w:hyperlink>
          </w:p>
        </w:tc>
      </w:tr>
      <w:tr w:rsidR="004E6FC1" w:rsidRPr="0086625D" w14:paraId="3D3EBA7C"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5E2B6B19"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Afridi &amp; Angell</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2B88E7A" w14:textId="77777777" w:rsidR="004E6FC1" w:rsidRPr="0086625D" w:rsidRDefault="00022BD6" w:rsidP="007722AB">
            <w:pPr>
              <w:spacing w:after="0"/>
              <w:jc w:val="both"/>
              <w:rPr>
                <w:rFonts w:ascii="Times New Roman" w:hAnsi="Times New Roman" w:cs="Times New Roman"/>
                <w:bCs/>
                <w:u w:val="single"/>
              </w:rPr>
            </w:pPr>
            <w:hyperlink r:id="rId212" w:history="1">
              <w:r w:rsidR="004E6FC1" w:rsidRPr="0086625D">
                <w:rPr>
                  <w:rStyle w:val="Hyperlink"/>
                  <w:rFonts w:ascii="Times New Roman" w:hAnsi="Times New Roman" w:cs="Times New Roman"/>
                </w:rPr>
                <w:t>http://www.afridi-angell.com</w:t>
              </w:r>
            </w:hyperlink>
          </w:p>
        </w:tc>
      </w:tr>
      <w:tr w:rsidR="004E6FC1" w:rsidRPr="0086625D" w14:paraId="244F92B0"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2A84EA8F"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Al Bahar &amp; Associates</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8273CAD" w14:textId="77777777" w:rsidR="004E6FC1" w:rsidRPr="0086625D" w:rsidRDefault="00022BD6" w:rsidP="007722AB">
            <w:pPr>
              <w:spacing w:after="0"/>
              <w:jc w:val="both"/>
              <w:rPr>
                <w:rFonts w:ascii="Times New Roman" w:hAnsi="Times New Roman" w:cs="Times New Roman"/>
                <w:bCs/>
              </w:rPr>
            </w:pPr>
            <w:hyperlink r:id="rId213" w:history="1">
              <w:r w:rsidR="004E6FC1" w:rsidRPr="0086625D">
                <w:rPr>
                  <w:rStyle w:val="Hyperlink"/>
                  <w:rFonts w:ascii="Times New Roman" w:hAnsi="Times New Roman" w:cs="Times New Roman"/>
                </w:rPr>
                <w:t>http://www.albaharadvocates.ae</w:t>
              </w:r>
            </w:hyperlink>
          </w:p>
        </w:tc>
      </w:tr>
      <w:tr w:rsidR="004E6FC1" w:rsidRPr="0086625D" w14:paraId="5D649909"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1BBB3B9D" w14:textId="77777777" w:rsidR="004E6FC1" w:rsidRPr="0086625D" w:rsidRDefault="004E6FC1" w:rsidP="007722AB">
            <w:pPr>
              <w:spacing w:after="0"/>
              <w:jc w:val="both"/>
              <w:rPr>
                <w:rFonts w:ascii="Times New Roman" w:hAnsi="Times New Roman" w:cs="Times New Roman"/>
                <w:bCs/>
                <w:lang w:val="en-US"/>
              </w:rPr>
            </w:pPr>
            <w:r w:rsidRPr="0086625D">
              <w:rPr>
                <w:rFonts w:ascii="Times New Roman" w:hAnsi="Times New Roman" w:cs="Times New Roman"/>
                <w:bCs/>
                <w:lang w:val="en-US"/>
              </w:rPr>
              <w:t>Al Jasmi Advocates &amp; Legal Consultants</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EAA90F" w14:textId="77777777" w:rsidR="004E6FC1" w:rsidRPr="0086625D" w:rsidRDefault="00022BD6" w:rsidP="007722AB">
            <w:pPr>
              <w:spacing w:after="0"/>
              <w:jc w:val="both"/>
              <w:rPr>
                <w:rFonts w:ascii="Times New Roman" w:hAnsi="Times New Roman" w:cs="Times New Roman"/>
                <w:bCs/>
              </w:rPr>
            </w:pPr>
            <w:hyperlink r:id="rId214" w:history="1">
              <w:r w:rsidR="004E6FC1" w:rsidRPr="0086625D">
                <w:rPr>
                  <w:rStyle w:val="Hyperlink"/>
                  <w:rFonts w:ascii="Times New Roman" w:hAnsi="Times New Roman" w:cs="Times New Roman"/>
                </w:rPr>
                <w:t>http://www.aljasmilaw.com</w:t>
              </w:r>
            </w:hyperlink>
          </w:p>
        </w:tc>
      </w:tr>
      <w:tr w:rsidR="004E6FC1" w:rsidRPr="0086625D" w14:paraId="54375B95"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774FE062"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Al Masa Advocates</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6001F1" w14:textId="77777777" w:rsidR="004E6FC1" w:rsidRPr="0086625D" w:rsidRDefault="004E6FC1" w:rsidP="007722AB">
            <w:pPr>
              <w:spacing w:after="0"/>
              <w:jc w:val="both"/>
              <w:rPr>
                <w:rFonts w:ascii="Times New Roman" w:hAnsi="Times New Roman" w:cs="Times New Roman"/>
                <w:bCs/>
                <w:u w:val="single"/>
              </w:rPr>
            </w:pPr>
            <w:r w:rsidRPr="0086625D">
              <w:rPr>
                <w:rFonts w:ascii="Times New Roman" w:hAnsi="Times New Roman" w:cs="Times New Roman"/>
                <w:bCs/>
                <w:u w:val="single"/>
              </w:rPr>
              <w:t>http://almasaadvocates.com/en/</w:t>
            </w:r>
          </w:p>
        </w:tc>
      </w:tr>
      <w:tr w:rsidR="004E6FC1" w:rsidRPr="0086625D" w14:paraId="303A1505"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6AC14595" w14:textId="77777777" w:rsidR="004E6FC1" w:rsidRPr="0086625D" w:rsidRDefault="004E6FC1" w:rsidP="007722AB">
            <w:pPr>
              <w:spacing w:after="0"/>
              <w:jc w:val="both"/>
              <w:rPr>
                <w:rFonts w:ascii="Times New Roman" w:hAnsi="Times New Roman" w:cs="Times New Roman"/>
                <w:bCs/>
                <w:lang w:val="en-US"/>
              </w:rPr>
            </w:pPr>
            <w:r w:rsidRPr="0086625D">
              <w:rPr>
                <w:rFonts w:ascii="Times New Roman" w:hAnsi="Times New Roman" w:cs="Times New Roman"/>
                <w:bCs/>
                <w:lang w:val="en-US"/>
              </w:rPr>
              <w:t>Al Shamsi &amp; Partners - Advocates &amp; Legal Consultants</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39758E5" w14:textId="77777777" w:rsidR="004E6FC1" w:rsidRPr="0086625D" w:rsidRDefault="004E6FC1" w:rsidP="007722AB">
            <w:pPr>
              <w:spacing w:after="0"/>
              <w:jc w:val="both"/>
              <w:rPr>
                <w:rFonts w:ascii="Times New Roman" w:hAnsi="Times New Roman" w:cs="Times New Roman"/>
                <w:bCs/>
                <w:u w:val="single"/>
              </w:rPr>
            </w:pPr>
            <w:r w:rsidRPr="0086625D">
              <w:rPr>
                <w:rFonts w:ascii="Times New Roman" w:hAnsi="Times New Roman" w:cs="Times New Roman"/>
                <w:bCs/>
                <w:u w:val="single"/>
              </w:rPr>
              <w:t>http://lawuae.net/en/</w:t>
            </w:r>
          </w:p>
        </w:tc>
      </w:tr>
      <w:tr w:rsidR="004E6FC1" w:rsidRPr="0086625D" w14:paraId="098794D8"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3F4533C3" w14:textId="77777777" w:rsidR="004E6FC1" w:rsidRPr="0086625D" w:rsidRDefault="004E6FC1" w:rsidP="007722AB">
            <w:pPr>
              <w:spacing w:after="0"/>
              <w:jc w:val="both"/>
              <w:rPr>
                <w:rFonts w:ascii="Times New Roman" w:hAnsi="Times New Roman" w:cs="Times New Roman"/>
                <w:bCs/>
                <w:lang w:val="en-US"/>
              </w:rPr>
            </w:pPr>
            <w:r w:rsidRPr="0086625D">
              <w:rPr>
                <w:rFonts w:ascii="Times New Roman" w:hAnsi="Times New Roman" w:cs="Times New Roman"/>
                <w:bCs/>
                <w:lang w:val="en-US"/>
              </w:rPr>
              <w:t>Al Sharif Advocates &amp; Legal Consultants</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DF9C9A" w14:textId="77777777" w:rsidR="004E6FC1" w:rsidRPr="0086625D" w:rsidRDefault="00022BD6" w:rsidP="007722AB">
            <w:pPr>
              <w:spacing w:after="0"/>
              <w:jc w:val="both"/>
              <w:rPr>
                <w:rFonts w:ascii="Times New Roman" w:hAnsi="Times New Roman" w:cs="Times New Roman"/>
                <w:bCs/>
                <w:u w:val="single"/>
              </w:rPr>
            </w:pPr>
            <w:hyperlink r:id="rId215" w:history="1">
              <w:r w:rsidR="004E6FC1" w:rsidRPr="0086625D">
                <w:rPr>
                  <w:rStyle w:val="Hyperlink"/>
                  <w:rFonts w:ascii="Times New Roman" w:hAnsi="Times New Roman" w:cs="Times New Roman"/>
                </w:rPr>
                <w:t>http://www.dubailaw.com</w:t>
              </w:r>
            </w:hyperlink>
          </w:p>
        </w:tc>
      </w:tr>
      <w:tr w:rsidR="004E6FC1" w:rsidRPr="0086625D" w14:paraId="48F69725"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3165CE3A"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Al Tamimi &amp; Company</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A563E8" w14:textId="77777777" w:rsidR="004E6FC1" w:rsidRPr="0086625D" w:rsidRDefault="00022BD6" w:rsidP="007722AB">
            <w:pPr>
              <w:spacing w:after="0"/>
              <w:jc w:val="both"/>
              <w:rPr>
                <w:rFonts w:ascii="Times New Roman" w:hAnsi="Times New Roman" w:cs="Times New Roman"/>
                <w:bCs/>
              </w:rPr>
            </w:pPr>
            <w:hyperlink r:id="rId216" w:history="1">
              <w:r w:rsidR="004E6FC1" w:rsidRPr="0086625D">
                <w:rPr>
                  <w:rStyle w:val="Hyperlink"/>
                  <w:rFonts w:ascii="Times New Roman" w:hAnsi="Times New Roman" w:cs="Times New Roman"/>
                </w:rPr>
                <w:t>http://www.tamimi.com</w:t>
              </w:r>
            </w:hyperlink>
          </w:p>
        </w:tc>
      </w:tr>
      <w:tr w:rsidR="004E6FC1" w:rsidRPr="0086625D" w14:paraId="1D17D2AF"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37113471" w14:textId="77777777" w:rsidR="004E6FC1" w:rsidRPr="0086625D" w:rsidRDefault="004E6FC1" w:rsidP="007722AB">
            <w:pPr>
              <w:spacing w:after="0"/>
              <w:jc w:val="both"/>
              <w:rPr>
                <w:rFonts w:ascii="Times New Roman" w:hAnsi="Times New Roman" w:cs="Times New Roman"/>
                <w:bCs/>
                <w:lang w:val="en-US"/>
              </w:rPr>
            </w:pPr>
            <w:r w:rsidRPr="0086625D">
              <w:rPr>
                <w:rFonts w:ascii="Times New Roman" w:hAnsi="Times New Roman" w:cs="Times New Roman"/>
                <w:bCs/>
                <w:lang w:val="en-US"/>
              </w:rPr>
              <w:t>Al Wasl International Group Advocates &amp; Legal Consultants</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15B043" w14:textId="77777777" w:rsidR="004E6FC1" w:rsidRPr="0086625D" w:rsidRDefault="00022BD6" w:rsidP="007722AB">
            <w:pPr>
              <w:spacing w:after="0"/>
              <w:jc w:val="both"/>
              <w:rPr>
                <w:rFonts w:ascii="Times New Roman" w:hAnsi="Times New Roman" w:cs="Times New Roman"/>
                <w:bCs/>
                <w:u w:val="single"/>
              </w:rPr>
            </w:pPr>
            <w:hyperlink r:id="rId217" w:history="1">
              <w:r w:rsidR="004E6FC1" w:rsidRPr="0086625D">
                <w:rPr>
                  <w:rStyle w:val="Hyperlink"/>
                  <w:rFonts w:ascii="Times New Roman" w:hAnsi="Times New Roman" w:cs="Times New Roman"/>
                </w:rPr>
                <w:t>http://www.awiglaw.ae</w:t>
              </w:r>
            </w:hyperlink>
          </w:p>
        </w:tc>
      </w:tr>
      <w:tr w:rsidR="004E6FC1" w:rsidRPr="0086625D" w14:paraId="4D5C0C71"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35FA3CF8"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Allen &amp; Overy LLP</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01D52D" w14:textId="77777777" w:rsidR="004E6FC1" w:rsidRPr="0086625D" w:rsidRDefault="00022BD6" w:rsidP="007722AB">
            <w:pPr>
              <w:spacing w:after="0"/>
              <w:jc w:val="both"/>
              <w:rPr>
                <w:rFonts w:ascii="Times New Roman" w:hAnsi="Times New Roman" w:cs="Times New Roman"/>
                <w:bCs/>
                <w:u w:val="single"/>
              </w:rPr>
            </w:pPr>
            <w:hyperlink r:id="rId218" w:history="1">
              <w:r w:rsidR="004E6FC1" w:rsidRPr="0086625D">
                <w:rPr>
                  <w:rStyle w:val="Hyperlink"/>
                  <w:rFonts w:ascii="Times New Roman" w:hAnsi="Times New Roman" w:cs="Times New Roman"/>
                </w:rPr>
                <w:t>http://www.allenovery.com</w:t>
              </w:r>
            </w:hyperlink>
          </w:p>
        </w:tc>
      </w:tr>
      <w:tr w:rsidR="004E6FC1" w:rsidRPr="0086625D" w14:paraId="25D31DA7"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5F5636DF" w14:textId="77777777" w:rsidR="004E6FC1" w:rsidRPr="0086625D" w:rsidRDefault="004E6FC1" w:rsidP="007722AB">
            <w:pPr>
              <w:spacing w:after="0"/>
              <w:jc w:val="both"/>
              <w:rPr>
                <w:rFonts w:ascii="Times New Roman" w:hAnsi="Times New Roman" w:cs="Times New Roman"/>
                <w:bCs/>
                <w:lang w:val="en-US"/>
              </w:rPr>
            </w:pPr>
            <w:r w:rsidRPr="0086625D">
              <w:rPr>
                <w:rFonts w:ascii="Times New Roman" w:hAnsi="Times New Roman" w:cs="Times New Roman"/>
                <w:bCs/>
                <w:lang w:val="en-US"/>
              </w:rPr>
              <w:t>Attorneys, The - Advocates &amp; Legal Consultants</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83F177" w14:textId="77777777" w:rsidR="004E6FC1" w:rsidRPr="0086625D" w:rsidRDefault="004E6FC1" w:rsidP="007722AB">
            <w:pPr>
              <w:spacing w:after="0"/>
              <w:jc w:val="both"/>
              <w:rPr>
                <w:rFonts w:ascii="Times New Roman" w:hAnsi="Times New Roman" w:cs="Times New Roman"/>
                <w:bCs/>
                <w:u w:val="single"/>
              </w:rPr>
            </w:pPr>
            <w:r w:rsidRPr="0086625D">
              <w:rPr>
                <w:rFonts w:ascii="Times New Roman" w:hAnsi="Times New Roman" w:cs="Times New Roman"/>
                <w:bCs/>
                <w:u w:val="single"/>
              </w:rPr>
              <w:t>http://www.theattorneys.ae</w:t>
            </w:r>
          </w:p>
        </w:tc>
      </w:tr>
      <w:tr w:rsidR="004E6FC1" w:rsidRPr="00022BD6" w14:paraId="3A0A45A1"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2F2544B8" w14:textId="77777777" w:rsidR="004E6FC1" w:rsidRPr="0086625D" w:rsidRDefault="004E6FC1" w:rsidP="007722AB">
            <w:pPr>
              <w:spacing w:after="0"/>
              <w:jc w:val="both"/>
              <w:rPr>
                <w:rFonts w:ascii="Times New Roman" w:hAnsi="Times New Roman" w:cs="Times New Roman"/>
                <w:bCs/>
                <w:lang w:val="en-US"/>
              </w:rPr>
            </w:pPr>
            <w:r w:rsidRPr="0086625D">
              <w:rPr>
                <w:rFonts w:ascii="Times New Roman" w:hAnsi="Times New Roman" w:cs="Times New Roman"/>
                <w:bCs/>
                <w:lang w:val="en-US"/>
              </w:rPr>
              <w:t>Baker &amp; McKenzie Habib Al Mulla</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3CA1166" w14:textId="77777777" w:rsidR="004E6FC1" w:rsidRPr="0086625D" w:rsidRDefault="004E6FC1" w:rsidP="007722AB">
            <w:pPr>
              <w:spacing w:after="0"/>
              <w:jc w:val="both"/>
              <w:rPr>
                <w:rFonts w:ascii="Times New Roman" w:hAnsi="Times New Roman" w:cs="Times New Roman"/>
                <w:bCs/>
                <w:u w:val="single"/>
                <w:lang w:val="en-US"/>
              </w:rPr>
            </w:pPr>
            <w:r w:rsidRPr="0086625D">
              <w:rPr>
                <w:rFonts w:ascii="Times New Roman" w:hAnsi="Times New Roman" w:cs="Times New Roman"/>
                <w:bCs/>
                <w:u w:val="single"/>
                <w:lang w:val="en-US"/>
              </w:rPr>
              <w:t>https://www.bakermckenzie.com/en/locations/emea/united-arab-emirates</w:t>
            </w:r>
          </w:p>
        </w:tc>
      </w:tr>
      <w:tr w:rsidR="004E6FC1" w:rsidRPr="0086625D" w14:paraId="58B3C74B"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371E0795"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Bracewell &amp; Giuliani LLP</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615ADA8" w14:textId="77777777" w:rsidR="004E6FC1" w:rsidRPr="0086625D" w:rsidRDefault="00022BD6" w:rsidP="007722AB">
            <w:pPr>
              <w:spacing w:after="0"/>
              <w:jc w:val="both"/>
              <w:rPr>
                <w:rFonts w:ascii="Times New Roman" w:hAnsi="Times New Roman" w:cs="Times New Roman"/>
                <w:bCs/>
              </w:rPr>
            </w:pPr>
            <w:hyperlink r:id="rId219" w:history="1">
              <w:r w:rsidR="004E6FC1" w:rsidRPr="0086625D">
                <w:rPr>
                  <w:rStyle w:val="Hyperlink"/>
                  <w:rFonts w:ascii="Times New Roman" w:hAnsi="Times New Roman" w:cs="Times New Roman"/>
                </w:rPr>
                <w:t>https://bracewell.com/</w:t>
              </w:r>
            </w:hyperlink>
          </w:p>
        </w:tc>
      </w:tr>
      <w:tr w:rsidR="004E6FC1" w:rsidRPr="0086625D" w14:paraId="579D1072"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03F16A1B" w14:textId="77777777" w:rsidR="004E6FC1" w:rsidRPr="0086625D" w:rsidRDefault="004E6FC1" w:rsidP="007722AB">
            <w:pPr>
              <w:spacing w:after="0"/>
              <w:jc w:val="both"/>
              <w:rPr>
                <w:rFonts w:ascii="Times New Roman" w:hAnsi="Times New Roman" w:cs="Times New Roman"/>
                <w:bCs/>
                <w:lang w:val="en-US"/>
              </w:rPr>
            </w:pPr>
            <w:r w:rsidRPr="0086625D">
              <w:rPr>
                <w:rFonts w:ascii="Times New Roman" w:hAnsi="Times New Roman" w:cs="Times New Roman"/>
                <w:bCs/>
                <w:lang w:val="en-US"/>
              </w:rPr>
              <w:t>BSA Ahmad Bin Hezeem &amp; Associates LLP</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8049D3" w14:textId="77777777" w:rsidR="004E6FC1" w:rsidRPr="0086625D" w:rsidRDefault="00022BD6" w:rsidP="007722AB">
            <w:pPr>
              <w:spacing w:after="0"/>
              <w:jc w:val="both"/>
              <w:rPr>
                <w:rFonts w:ascii="Times New Roman" w:hAnsi="Times New Roman" w:cs="Times New Roman"/>
                <w:bCs/>
              </w:rPr>
            </w:pPr>
            <w:hyperlink r:id="rId220" w:history="1">
              <w:r w:rsidR="004E6FC1" w:rsidRPr="0086625D">
                <w:rPr>
                  <w:rStyle w:val="Hyperlink"/>
                  <w:rFonts w:ascii="Times New Roman" w:hAnsi="Times New Roman" w:cs="Times New Roman"/>
                </w:rPr>
                <w:t>http://www.bsabh.com</w:t>
              </w:r>
            </w:hyperlink>
          </w:p>
        </w:tc>
      </w:tr>
      <w:tr w:rsidR="004E6FC1" w:rsidRPr="0086625D" w14:paraId="4B8DE25C" w14:textId="77777777" w:rsidTr="007722AB">
        <w:tblPrEx>
          <w:tblCellMar>
            <w:left w:w="10" w:type="dxa"/>
            <w:right w:w="10" w:type="dxa"/>
          </w:tblCellMar>
          <w:tblLook w:val="04A0" w:firstRow="1" w:lastRow="0" w:firstColumn="1" w:lastColumn="0" w:noHBand="0" w:noVBand="1"/>
        </w:tblPrEx>
        <w:trPr>
          <w:trHeight w:val="516"/>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3F8CDBBA"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Busit</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D64125" w14:textId="77777777" w:rsidR="004E6FC1" w:rsidRPr="0086625D" w:rsidRDefault="00022BD6" w:rsidP="007722AB">
            <w:pPr>
              <w:spacing w:after="0"/>
              <w:jc w:val="both"/>
              <w:rPr>
                <w:rFonts w:ascii="Times New Roman" w:hAnsi="Times New Roman" w:cs="Times New Roman"/>
                <w:bCs/>
                <w:u w:val="single"/>
              </w:rPr>
            </w:pPr>
            <w:hyperlink r:id="rId221" w:history="1">
              <w:r w:rsidR="004E6FC1" w:rsidRPr="0086625D">
                <w:rPr>
                  <w:rStyle w:val="Hyperlink"/>
                  <w:rFonts w:ascii="Times New Roman" w:hAnsi="Times New Roman" w:cs="Times New Roman"/>
                </w:rPr>
                <w:t>www.busitlegal.com</w:t>
              </w:r>
            </w:hyperlink>
          </w:p>
        </w:tc>
      </w:tr>
      <w:tr w:rsidR="004E6FC1" w:rsidRPr="0086625D" w14:paraId="061610A2"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1D31CCEC"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Clifford Chance</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8F49FC" w14:textId="77777777" w:rsidR="004E6FC1" w:rsidRPr="0086625D" w:rsidRDefault="00022BD6" w:rsidP="007722AB">
            <w:pPr>
              <w:spacing w:after="0"/>
              <w:jc w:val="both"/>
              <w:rPr>
                <w:rFonts w:ascii="Times New Roman" w:hAnsi="Times New Roman" w:cs="Times New Roman"/>
                <w:bCs/>
              </w:rPr>
            </w:pPr>
            <w:hyperlink r:id="rId222" w:history="1">
              <w:r w:rsidR="004E6FC1" w:rsidRPr="0086625D">
                <w:rPr>
                  <w:rStyle w:val="Hyperlink"/>
                  <w:rFonts w:ascii="Times New Roman" w:hAnsi="Times New Roman" w:cs="Times New Roman"/>
                </w:rPr>
                <w:t>http://www.cliffordchance.com</w:t>
              </w:r>
            </w:hyperlink>
          </w:p>
        </w:tc>
      </w:tr>
      <w:tr w:rsidR="004E6FC1" w:rsidRPr="0086625D" w14:paraId="2D6BFF7B"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1788C04A"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Clyde &amp; Co.</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459B84" w14:textId="77777777" w:rsidR="004E6FC1" w:rsidRPr="0086625D" w:rsidRDefault="00022BD6" w:rsidP="007722AB">
            <w:pPr>
              <w:spacing w:after="0"/>
              <w:jc w:val="both"/>
              <w:rPr>
                <w:rFonts w:ascii="Times New Roman" w:hAnsi="Times New Roman" w:cs="Times New Roman"/>
                <w:bCs/>
              </w:rPr>
            </w:pPr>
            <w:hyperlink r:id="rId223" w:history="1">
              <w:r w:rsidR="004E6FC1" w:rsidRPr="0086625D">
                <w:rPr>
                  <w:rStyle w:val="Hyperlink"/>
                  <w:rFonts w:ascii="Times New Roman" w:hAnsi="Times New Roman" w:cs="Times New Roman"/>
                </w:rPr>
                <w:t>http://www.clydeco.com</w:t>
              </w:r>
            </w:hyperlink>
          </w:p>
        </w:tc>
      </w:tr>
      <w:tr w:rsidR="004E6FC1" w:rsidRPr="0086625D" w14:paraId="7D6C5932"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2334D426"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Clyde &amp; Co.</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BB6DB4" w14:textId="77777777" w:rsidR="004E6FC1" w:rsidRPr="0086625D" w:rsidRDefault="00022BD6" w:rsidP="007722AB">
            <w:pPr>
              <w:spacing w:after="0"/>
              <w:jc w:val="both"/>
              <w:rPr>
                <w:rFonts w:ascii="Times New Roman" w:hAnsi="Times New Roman" w:cs="Times New Roman"/>
                <w:bCs/>
              </w:rPr>
            </w:pPr>
            <w:hyperlink r:id="rId224" w:history="1">
              <w:r w:rsidR="004E6FC1" w:rsidRPr="0086625D">
                <w:rPr>
                  <w:rStyle w:val="Hyperlink"/>
                  <w:rFonts w:ascii="Times New Roman" w:hAnsi="Times New Roman" w:cs="Times New Roman"/>
                </w:rPr>
                <w:t>https://www.clydeco.com/locations/office/abu-dhabi/location</w:t>
              </w:r>
            </w:hyperlink>
          </w:p>
        </w:tc>
      </w:tr>
      <w:tr w:rsidR="004E6FC1" w:rsidRPr="0086625D" w14:paraId="30C2DD40"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40A6C5F4"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Dentons &amp; Co</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0505F8" w14:textId="77777777" w:rsidR="004E6FC1" w:rsidRPr="0086625D" w:rsidRDefault="004E6FC1" w:rsidP="007722AB">
            <w:pPr>
              <w:spacing w:after="0"/>
              <w:jc w:val="both"/>
              <w:rPr>
                <w:rFonts w:ascii="Times New Roman" w:hAnsi="Times New Roman" w:cs="Times New Roman"/>
                <w:bCs/>
                <w:u w:val="single"/>
              </w:rPr>
            </w:pPr>
            <w:r w:rsidRPr="0086625D">
              <w:rPr>
                <w:rFonts w:ascii="Times New Roman" w:hAnsi="Times New Roman" w:cs="Times New Roman"/>
                <w:bCs/>
                <w:u w:val="single"/>
              </w:rPr>
              <w:t>www.dentons.com</w:t>
            </w:r>
          </w:p>
        </w:tc>
      </w:tr>
      <w:tr w:rsidR="004E6FC1" w:rsidRPr="0086625D" w14:paraId="2369E2C7"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3EAEB824"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Emirates Advocates</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DB1964" w14:textId="77777777" w:rsidR="004E6FC1" w:rsidRPr="0086625D" w:rsidRDefault="00022BD6" w:rsidP="007722AB">
            <w:pPr>
              <w:spacing w:after="0"/>
              <w:jc w:val="both"/>
              <w:rPr>
                <w:rFonts w:ascii="Times New Roman" w:hAnsi="Times New Roman" w:cs="Times New Roman"/>
                <w:bCs/>
                <w:u w:val="single"/>
              </w:rPr>
            </w:pPr>
            <w:hyperlink r:id="rId225" w:history="1">
              <w:r w:rsidR="004E6FC1" w:rsidRPr="0086625D">
                <w:rPr>
                  <w:rStyle w:val="Hyperlink"/>
                  <w:rFonts w:ascii="Times New Roman" w:hAnsi="Times New Roman" w:cs="Times New Roman"/>
                </w:rPr>
                <w:t>http://www.emiratesadvocates.com</w:t>
              </w:r>
            </w:hyperlink>
          </w:p>
        </w:tc>
      </w:tr>
      <w:tr w:rsidR="004E6FC1" w:rsidRPr="0086625D" w14:paraId="2E0654BB"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302DB0C7" w14:textId="77777777" w:rsidR="004E6FC1" w:rsidRPr="0086625D" w:rsidRDefault="004E6FC1" w:rsidP="007722AB">
            <w:pPr>
              <w:spacing w:after="0"/>
              <w:jc w:val="both"/>
              <w:rPr>
                <w:rFonts w:ascii="Times New Roman" w:hAnsi="Times New Roman" w:cs="Times New Roman"/>
                <w:bCs/>
                <w:lang w:val="en-US"/>
              </w:rPr>
            </w:pPr>
            <w:r w:rsidRPr="0086625D">
              <w:rPr>
                <w:rFonts w:ascii="Times New Roman" w:hAnsi="Times New Roman" w:cs="Times New Roman"/>
                <w:bCs/>
                <w:lang w:val="en-US"/>
              </w:rPr>
              <w:t>Galadari &amp; Associates (Advocate &amp; Legal Consultants)</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E39CE1" w14:textId="77777777" w:rsidR="004E6FC1" w:rsidRPr="0086625D" w:rsidRDefault="00022BD6" w:rsidP="007722AB">
            <w:pPr>
              <w:spacing w:after="0"/>
              <w:jc w:val="both"/>
              <w:rPr>
                <w:rFonts w:ascii="Times New Roman" w:hAnsi="Times New Roman" w:cs="Times New Roman"/>
                <w:bCs/>
                <w:u w:val="single"/>
              </w:rPr>
            </w:pPr>
            <w:hyperlink r:id="rId226" w:history="1">
              <w:r w:rsidR="004E6FC1" w:rsidRPr="0086625D">
                <w:rPr>
                  <w:rStyle w:val="Hyperlink"/>
                  <w:rFonts w:ascii="Times New Roman" w:hAnsi="Times New Roman" w:cs="Times New Roman"/>
                </w:rPr>
                <w:t>http://www.galadarilaw.com</w:t>
              </w:r>
            </w:hyperlink>
          </w:p>
        </w:tc>
      </w:tr>
      <w:tr w:rsidR="004E6FC1" w:rsidRPr="0086625D" w14:paraId="4880DE25"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43ED607A"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 xml:space="preserve">HA ADVOCATES &amp; Legal consultants </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9AFA4C" w14:textId="77777777" w:rsidR="004E6FC1" w:rsidRPr="0086625D" w:rsidRDefault="00022BD6" w:rsidP="007722AB">
            <w:pPr>
              <w:spacing w:after="0"/>
              <w:jc w:val="both"/>
              <w:rPr>
                <w:rFonts w:ascii="Times New Roman" w:hAnsi="Times New Roman" w:cs="Times New Roman"/>
                <w:bCs/>
                <w:u w:val="single"/>
              </w:rPr>
            </w:pPr>
            <w:hyperlink r:id="rId227" w:history="1">
              <w:r w:rsidR="004E6FC1" w:rsidRPr="0086625D">
                <w:rPr>
                  <w:rStyle w:val="Hyperlink"/>
                  <w:rFonts w:ascii="Times New Roman" w:hAnsi="Times New Roman" w:cs="Times New Roman"/>
                </w:rPr>
                <w:t>www.ha-lawfirm.net</w:t>
              </w:r>
            </w:hyperlink>
          </w:p>
        </w:tc>
      </w:tr>
      <w:tr w:rsidR="004E6FC1" w:rsidRPr="0086625D" w14:paraId="3A673B6D"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12D7158C"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Hadef &amp; Partners LLC </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062691C" w14:textId="77777777" w:rsidR="004E6FC1" w:rsidRPr="0086625D" w:rsidRDefault="004E6FC1" w:rsidP="007722AB">
            <w:pPr>
              <w:spacing w:after="0"/>
              <w:jc w:val="both"/>
              <w:rPr>
                <w:rFonts w:ascii="Times New Roman" w:hAnsi="Times New Roman" w:cs="Times New Roman"/>
                <w:bCs/>
                <w:u w:val="single"/>
              </w:rPr>
            </w:pPr>
            <w:r w:rsidRPr="0086625D">
              <w:rPr>
                <w:rFonts w:ascii="Times New Roman" w:hAnsi="Times New Roman" w:cs="Times New Roman"/>
                <w:bCs/>
                <w:u w:val="single"/>
              </w:rPr>
              <w:t>http://www.hadefpartners.com/</w:t>
            </w:r>
          </w:p>
        </w:tc>
      </w:tr>
      <w:tr w:rsidR="004E6FC1" w:rsidRPr="0086625D" w14:paraId="6C6414D7"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255F9FCA"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Helene Mathieu Legal Consultants</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081BE08" w14:textId="77777777" w:rsidR="004E6FC1" w:rsidRPr="0086625D" w:rsidRDefault="004E6FC1" w:rsidP="007722AB">
            <w:pPr>
              <w:spacing w:after="0"/>
              <w:jc w:val="both"/>
              <w:rPr>
                <w:rFonts w:ascii="Times New Roman" w:hAnsi="Times New Roman" w:cs="Times New Roman"/>
                <w:bCs/>
                <w:u w:val="single"/>
              </w:rPr>
            </w:pPr>
            <w:r w:rsidRPr="0086625D">
              <w:rPr>
                <w:rFonts w:ascii="Times New Roman" w:hAnsi="Times New Roman" w:cs="Times New Roman"/>
                <w:bCs/>
                <w:u w:val="single"/>
              </w:rPr>
              <w:t>http://hmlc.ae/</w:t>
            </w:r>
          </w:p>
        </w:tc>
      </w:tr>
      <w:tr w:rsidR="004E6FC1" w:rsidRPr="0086625D" w14:paraId="669256BF"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56807770" w14:textId="77777777" w:rsidR="004E6FC1" w:rsidRPr="0086625D" w:rsidRDefault="004E6FC1" w:rsidP="007722AB">
            <w:pPr>
              <w:spacing w:after="0"/>
              <w:jc w:val="both"/>
              <w:rPr>
                <w:rFonts w:ascii="Times New Roman" w:hAnsi="Times New Roman" w:cs="Times New Roman"/>
                <w:bCs/>
                <w:lang w:val="en-US"/>
              </w:rPr>
            </w:pPr>
            <w:r w:rsidRPr="0086625D">
              <w:rPr>
                <w:rFonts w:ascii="Times New Roman" w:hAnsi="Times New Roman" w:cs="Times New Roman"/>
                <w:bCs/>
                <w:lang w:val="en-US"/>
              </w:rPr>
              <w:t>Hugh Fraser International Legal Consultants</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72DCEE" w14:textId="77777777" w:rsidR="004E6FC1" w:rsidRPr="0086625D" w:rsidRDefault="004E6FC1" w:rsidP="007722AB">
            <w:pPr>
              <w:spacing w:after="0"/>
              <w:jc w:val="both"/>
              <w:rPr>
                <w:rFonts w:ascii="Times New Roman" w:hAnsi="Times New Roman" w:cs="Times New Roman"/>
                <w:bCs/>
                <w:u w:val="single"/>
              </w:rPr>
            </w:pPr>
            <w:r w:rsidRPr="0086625D">
              <w:rPr>
                <w:rFonts w:ascii="Times New Roman" w:hAnsi="Times New Roman" w:cs="Times New Roman"/>
                <w:bCs/>
                <w:u w:val="single"/>
              </w:rPr>
              <w:t>www.hfi-consulting.com</w:t>
            </w:r>
          </w:p>
        </w:tc>
      </w:tr>
      <w:tr w:rsidR="004E6FC1" w:rsidRPr="0086625D" w14:paraId="0595BFF7"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1716D7BF" w14:textId="77777777" w:rsidR="004E6FC1" w:rsidRPr="0086625D" w:rsidRDefault="004E6FC1" w:rsidP="007722AB">
            <w:pPr>
              <w:spacing w:after="0"/>
              <w:jc w:val="both"/>
              <w:rPr>
                <w:rFonts w:ascii="Times New Roman" w:hAnsi="Times New Roman" w:cs="Times New Roman"/>
                <w:bCs/>
                <w:lang w:val="en-US"/>
              </w:rPr>
            </w:pPr>
            <w:r w:rsidRPr="0086625D">
              <w:rPr>
                <w:rFonts w:ascii="Times New Roman" w:hAnsi="Times New Roman" w:cs="Times New Roman"/>
                <w:bCs/>
                <w:lang w:val="en-US"/>
              </w:rPr>
              <w:t>James Berry &amp; Associates Legal Consultant</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5F859D" w14:textId="77777777" w:rsidR="004E6FC1" w:rsidRPr="0086625D" w:rsidRDefault="00022BD6" w:rsidP="007722AB">
            <w:pPr>
              <w:spacing w:after="0"/>
              <w:jc w:val="both"/>
              <w:rPr>
                <w:rFonts w:ascii="Times New Roman" w:hAnsi="Times New Roman" w:cs="Times New Roman"/>
                <w:bCs/>
                <w:u w:val="single"/>
              </w:rPr>
            </w:pPr>
            <w:hyperlink r:id="rId228" w:history="1">
              <w:r w:rsidR="004E6FC1" w:rsidRPr="0086625D">
                <w:rPr>
                  <w:rStyle w:val="Hyperlink"/>
                  <w:rFonts w:ascii="Times New Roman" w:hAnsi="Times New Roman" w:cs="Times New Roman"/>
                </w:rPr>
                <w:t>http://www.jamesberrylaw.com</w:t>
              </w:r>
            </w:hyperlink>
          </w:p>
        </w:tc>
      </w:tr>
      <w:tr w:rsidR="004E6FC1" w:rsidRPr="0086625D" w14:paraId="6CBB9B18"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5CF217BB"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Kanaan Advocates &amp; Legal Consultants</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855931" w14:textId="77777777" w:rsidR="004E6FC1" w:rsidRPr="0086625D" w:rsidRDefault="004E6FC1" w:rsidP="007722AB">
            <w:pPr>
              <w:spacing w:after="0"/>
              <w:jc w:val="both"/>
              <w:rPr>
                <w:rFonts w:ascii="Times New Roman" w:hAnsi="Times New Roman" w:cs="Times New Roman"/>
                <w:bCs/>
                <w:u w:val="single"/>
              </w:rPr>
            </w:pPr>
            <w:r w:rsidRPr="0086625D">
              <w:rPr>
                <w:rFonts w:ascii="Times New Roman" w:hAnsi="Times New Roman" w:cs="Times New Roman"/>
                <w:bCs/>
                <w:u w:val="single"/>
              </w:rPr>
              <w:t>www.kanlaw.ae</w:t>
            </w:r>
          </w:p>
        </w:tc>
      </w:tr>
      <w:tr w:rsidR="004E6FC1" w:rsidRPr="0086625D" w14:paraId="2497641B"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7439CFF1"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Meyer-Reumann &amp; Partners</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EB43DD" w14:textId="77777777" w:rsidR="004E6FC1" w:rsidRPr="0086625D" w:rsidRDefault="004E6FC1" w:rsidP="007722AB">
            <w:pPr>
              <w:spacing w:after="0"/>
              <w:jc w:val="both"/>
              <w:rPr>
                <w:rFonts w:ascii="Times New Roman" w:hAnsi="Times New Roman" w:cs="Times New Roman"/>
                <w:bCs/>
                <w:u w:val="single"/>
              </w:rPr>
            </w:pPr>
            <w:r w:rsidRPr="0086625D">
              <w:rPr>
                <w:rFonts w:ascii="Times New Roman" w:hAnsi="Times New Roman" w:cs="Times New Roman"/>
                <w:bCs/>
                <w:u w:val="single"/>
              </w:rPr>
              <w:t>http://www.meyer-reumann.com/</w:t>
            </w:r>
          </w:p>
        </w:tc>
      </w:tr>
      <w:tr w:rsidR="004E6FC1" w:rsidRPr="0086625D" w14:paraId="15CA8001"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5EE82C16"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MIO Law Firm</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BF01E63" w14:textId="77777777" w:rsidR="004E6FC1" w:rsidRPr="0086625D" w:rsidRDefault="004E6FC1" w:rsidP="007722AB">
            <w:pPr>
              <w:spacing w:after="0"/>
              <w:jc w:val="both"/>
              <w:rPr>
                <w:rFonts w:ascii="Times New Roman" w:hAnsi="Times New Roman" w:cs="Times New Roman"/>
                <w:bCs/>
                <w:u w:val="single"/>
              </w:rPr>
            </w:pPr>
            <w:r w:rsidRPr="0086625D">
              <w:rPr>
                <w:rFonts w:ascii="Times New Roman" w:hAnsi="Times New Roman" w:cs="Times New Roman"/>
                <w:bCs/>
                <w:u w:val="single"/>
              </w:rPr>
              <w:t>http://miolawfirm.com/</w:t>
            </w:r>
          </w:p>
        </w:tc>
      </w:tr>
      <w:tr w:rsidR="004E6FC1" w:rsidRPr="0086625D" w14:paraId="6935ED9E"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149D5725" w14:textId="77777777" w:rsidR="004E6FC1" w:rsidRPr="0086625D" w:rsidRDefault="004E6FC1" w:rsidP="007722AB">
            <w:pPr>
              <w:spacing w:after="0"/>
              <w:jc w:val="both"/>
              <w:rPr>
                <w:rFonts w:ascii="Times New Roman" w:hAnsi="Times New Roman" w:cs="Times New Roman"/>
                <w:bCs/>
                <w:lang w:val="en-US"/>
              </w:rPr>
            </w:pPr>
            <w:r w:rsidRPr="0086625D">
              <w:rPr>
                <w:rFonts w:ascii="Times New Roman" w:hAnsi="Times New Roman" w:cs="Times New Roman"/>
                <w:bCs/>
                <w:lang w:val="en-US"/>
              </w:rPr>
              <w:t>Nayef Abu Sakran Company International (NASCO Int.)</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24E36E" w14:textId="77777777" w:rsidR="004E6FC1" w:rsidRPr="0086625D" w:rsidRDefault="004E6FC1" w:rsidP="007722AB">
            <w:pPr>
              <w:spacing w:after="0"/>
              <w:jc w:val="both"/>
              <w:rPr>
                <w:rFonts w:ascii="Times New Roman" w:hAnsi="Times New Roman" w:cs="Times New Roman"/>
                <w:bCs/>
                <w:u w:val="single"/>
              </w:rPr>
            </w:pPr>
            <w:r w:rsidRPr="0086625D">
              <w:rPr>
                <w:rFonts w:ascii="Times New Roman" w:hAnsi="Times New Roman" w:cs="Times New Roman"/>
                <w:bCs/>
                <w:u w:val="single"/>
              </w:rPr>
              <w:t>www.nascouae.com</w:t>
            </w:r>
          </w:p>
        </w:tc>
      </w:tr>
      <w:tr w:rsidR="004E6FC1" w:rsidRPr="0086625D" w14:paraId="6809064E"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54E9AD93"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 xml:space="preserve">PwC Legal Middle East </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B4BED0" w14:textId="77777777" w:rsidR="004E6FC1" w:rsidRPr="0086625D" w:rsidRDefault="004E6FC1" w:rsidP="007722AB">
            <w:pPr>
              <w:spacing w:after="0"/>
              <w:jc w:val="both"/>
              <w:rPr>
                <w:rFonts w:ascii="Times New Roman" w:hAnsi="Times New Roman" w:cs="Times New Roman"/>
                <w:bCs/>
                <w:u w:val="single"/>
              </w:rPr>
            </w:pPr>
            <w:r w:rsidRPr="0086625D">
              <w:rPr>
                <w:rFonts w:ascii="Times New Roman" w:hAnsi="Times New Roman" w:cs="Times New Roman"/>
                <w:bCs/>
                <w:u w:val="single"/>
              </w:rPr>
              <w:t>https://www.pwc.com/m1/en.html</w:t>
            </w:r>
          </w:p>
        </w:tc>
      </w:tr>
      <w:tr w:rsidR="004E6FC1" w:rsidRPr="0086625D" w14:paraId="48E29ED3"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3D43C8E2"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Salloum &amp; Partners LLC</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7E6B2D" w14:textId="77777777" w:rsidR="004E6FC1" w:rsidRPr="0086625D" w:rsidRDefault="004E6FC1" w:rsidP="007722AB">
            <w:pPr>
              <w:spacing w:after="0"/>
              <w:jc w:val="both"/>
              <w:rPr>
                <w:rFonts w:ascii="Times New Roman" w:hAnsi="Times New Roman" w:cs="Times New Roman"/>
                <w:bCs/>
                <w:u w:val="single"/>
              </w:rPr>
            </w:pPr>
            <w:r w:rsidRPr="0086625D">
              <w:rPr>
                <w:rFonts w:ascii="Times New Roman" w:hAnsi="Times New Roman" w:cs="Times New Roman"/>
                <w:bCs/>
                <w:u w:val="single"/>
              </w:rPr>
              <w:t>http://salloum.law</w:t>
            </w:r>
          </w:p>
        </w:tc>
      </w:tr>
      <w:tr w:rsidR="004E6FC1" w:rsidRPr="0086625D" w14:paraId="7CF8CACC"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38F3D9B2" w14:textId="77777777" w:rsidR="004E6FC1" w:rsidRPr="0086625D" w:rsidRDefault="004E6FC1" w:rsidP="007722AB">
            <w:pPr>
              <w:spacing w:after="0"/>
              <w:jc w:val="both"/>
              <w:rPr>
                <w:rFonts w:ascii="Times New Roman" w:hAnsi="Times New Roman" w:cs="Times New Roman"/>
                <w:bCs/>
                <w:lang w:val="en-US"/>
              </w:rPr>
            </w:pPr>
            <w:r w:rsidRPr="0086625D">
              <w:rPr>
                <w:rFonts w:ascii="Times New Roman" w:hAnsi="Times New Roman" w:cs="Times New Roman"/>
                <w:bCs/>
                <w:lang w:val="en-US"/>
              </w:rPr>
              <w:t>Sami Al Midfa Advocacy &amp; Legal Consultations</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F361B8" w14:textId="77777777" w:rsidR="004E6FC1" w:rsidRPr="0086625D" w:rsidRDefault="00022BD6" w:rsidP="007722AB">
            <w:pPr>
              <w:spacing w:after="0"/>
              <w:jc w:val="both"/>
              <w:rPr>
                <w:rFonts w:ascii="Times New Roman" w:hAnsi="Times New Roman" w:cs="Times New Roman"/>
                <w:bCs/>
                <w:u w:val="single"/>
              </w:rPr>
            </w:pPr>
            <w:hyperlink r:id="rId229" w:history="1">
              <w:r w:rsidR="004E6FC1" w:rsidRPr="0086625D">
                <w:rPr>
                  <w:rStyle w:val="Hyperlink"/>
                  <w:rFonts w:ascii="Times New Roman" w:hAnsi="Times New Roman" w:cs="Times New Roman"/>
                </w:rPr>
                <w:t>http://www.almidfalawyers.com</w:t>
              </w:r>
            </w:hyperlink>
          </w:p>
        </w:tc>
      </w:tr>
      <w:tr w:rsidR="004E6FC1" w:rsidRPr="0086625D" w14:paraId="3AE2077A"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6F88F728" w14:textId="77777777" w:rsidR="004E6FC1" w:rsidRPr="0086625D" w:rsidRDefault="004E6FC1" w:rsidP="007722AB">
            <w:pPr>
              <w:spacing w:after="0"/>
              <w:jc w:val="both"/>
              <w:rPr>
                <w:rFonts w:ascii="Times New Roman" w:hAnsi="Times New Roman" w:cs="Times New Roman"/>
                <w:bCs/>
                <w:lang w:val="en-US"/>
              </w:rPr>
            </w:pPr>
            <w:r w:rsidRPr="0086625D">
              <w:rPr>
                <w:rFonts w:ascii="Times New Roman" w:hAnsi="Times New Roman" w:cs="Times New Roman"/>
                <w:bCs/>
                <w:lang w:val="en-US"/>
              </w:rPr>
              <w:t>Samira Abdulla Gargash Advocate &amp; Legal Consultant</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7EADE4" w14:textId="77777777" w:rsidR="004E6FC1" w:rsidRPr="0086625D" w:rsidRDefault="00022BD6" w:rsidP="007722AB">
            <w:pPr>
              <w:spacing w:after="0"/>
              <w:jc w:val="both"/>
              <w:rPr>
                <w:rFonts w:ascii="Times New Roman" w:hAnsi="Times New Roman" w:cs="Times New Roman"/>
                <w:bCs/>
                <w:u w:val="single"/>
              </w:rPr>
            </w:pPr>
            <w:hyperlink r:id="rId230" w:history="1">
              <w:r w:rsidR="004E6FC1" w:rsidRPr="0086625D">
                <w:rPr>
                  <w:rStyle w:val="Hyperlink"/>
                  <w:rFonts w:ascii="Times New Roman" w:hAnsi="Times New Roman" w:cs="Times New Roman"/>
                </w:rPr>
                <w:t>http://www.samiragargash.com</w:t>
              </w:r>
            </w:hyperlink>
          </w:p>
        </w:tc>
      </w:tr>
      <w:tr w:rsidR="004E6FC1" w:rsidRPr="0086625D" w14:paraId="485262F9"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0C45B2B5"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Simmons &amp; Simmons</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E585FE" w14:textId="77777777" w:rsidR="004E6FC1" w:rsidRPr="0086625D" w:rsidRDefault="00022BD6" w:rsidP="007722AB">
            <w:pPr>
              <w:spacing w:after="0"/>
              <w:jc w:val="both"/>
              <w:rPr>
                <w:rFonts w:ascii="Times New Roman" w:hAnsi="Times New Roman" w:cs="Times New Roman"/>
                <w:bCs/>
              </w:rPr>
            </w:pPr>
            <w:hyperlink r:id="rId231" w:history="1">
              <w:r w:rsidR="004E6FC1" w:rsidRPr="0086625D">
                <w:rPr>
                  <w:rStyle w:val="Hyperlink"/>
                  <w:rFonts w:ascii="Times New Roman" w:hAnsi="Times New Roman" w:cs="Times New Roman"/>
                </w:rPr>
                <w:t>http://www.simmons-simmons.com</w:t>
              </w:r>
            </w:hyperlink>
          </w:p>
        </w:tc>
      </w:tr>
      <w:tr w:rsidR="004E6FC1" w:rsidRPr="0086625D" w14:paraId="6D74B709"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1BABD468"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Trench &amp; Associates</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006D7A" w14:textId="77777777" w:rsidR="004E6FC1" w:rsidRPr="0086625D" w:rsidRDefault="00022BD6" w:rsidP="007722AB">
            <w:pPr>
              <w:spacing w:after="0"/>
              <w:jc w:val="both"/>
              <w:rPr>
                <w:rFonts w:ascii="Times New Roman" w:hAnsi="Times New Roman" w:cs="Times New Roman"/>
                <w:bCs/>
                <w:u w:val="single"/>
              </w:rPr>
            </w:pPr>
            <w:hyperlink r:id="rId232" w:history="1">
              <w:r w:rsidR="004E6FC1" w:rsidRPr="0086625D">
                <w:rPr>
                  <w:rStyle w:val="Hyperlink"/>
                  <w:rFonts w:ascii="Times New Roman" w:hAnsi="Times New Roman" w:cs="Times New Roman"/>
                </w:rPr>
                <w:t>http://www.trenchlaw.com</w:t>
              </w:r>
            </w:hyperlink>
          </w:p>
        </w:tc>
      </w:tr>
      <w:tr w:rsidR="004E6FC1" w:rsidRPr="0086625D" w14:paraId="2515901F"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319ECCAE"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Trowers &amp; Hamlins</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41F0528" w14:textId="77777777" w:rsidR="004E6FC1" w:rsidRPr="0086625D" w:rsidRDefault="00022BD6" w:rsidP="007722AB">
            <w:pPr>
              <w:spacing w:after="0"/>
              <w:jc w:val="both"/>
              <w:rPr>
                <w:rFonts w:ascii="Times New Roman" w:hAnsi="Times New Roman" w:cs="Times New Roman"/>
                <w:bCs/>
                <w:u w:val="single"/>
              </w:rPr>
            </w:pPr>
            <w:hyperlink r:id="rId233" w:history="1">
              <w:r w:rsidR="004E6FC1" w:rsidRPr="0086625D">
                <w:rPr>
                  <w:rStyle w:val="Hyperlink"/>
                  <w:rFonts w:ascii="Times New Roman" w:hAnsi="Times New Roman" w:cs="Times New Roman"/>
                </w:rPr>
                <w:t>http://www.trowers.com</w:t>
              </w:r>
            </w:hyperlink>
          </w:p>
        </w:tc>
      </w:tr>
      <w:tr w:rsidR="004E6FC1" w:rsidRPr="0086625D" w14:paraId="31C32E20"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4746BEC4" w14:textId="77777777" w:rsidR="004E6FC1" w:rsidRPr="0086625D" w:rsidRDefault="004E6FC1" w:rsidP="007722AB">
            <w:pPr>
              <w:spacing w:after="0"/>
              <w:jc w:val="both"/>
              <w:rPr>
                <w:rFonts w:ascii="Times New Roman" w:hAnsi="Times New Roman" w:cs="Times New Roman"/>
                <w:bCs/>
              </w:rPr>
            </w:pPr>
            <w:r w:rsidRPr="0086625D">
              <w:rPr>
                <w:rFonts w:ascii="Times New Roman" w:hAnsi="Times New Roman" w:cs="Times New Roman"/>
                <w:bCs/>
              </w:rPr>
              <w:t>Vinson &amp; Elkins LLP</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114650" w14:textId="77777777" w:rsidR="004E6FC1" w:rsidRPr="0086625D" w:rsidRDefault="004E6FC1" w:rsidP="007722AB">
            <w:pPr>
              <w:spacing w:after="0"/>
              <w:jc w:val="both"/>
              <w:rPr>
                <w:rFonts w:ascii="Times New Roman" w:hAnsi="Times New Roman" w:cs="Times New Roman"/>
                <w:bCs/>
                <w:u w:val="single"/>
              </w:rPr>
            </w:pPr>
            <w:r w:rsidRPr="0086625D">
              <w:rPr>
                <w:rFonts w:ascii="Times New Roman" w:hAnsi="Times New Roman" w:cs="Times New Roman"/>
                <w:bCs/>
                <w:u w:val="single"/>
              </w:rPr>
              <w:t>https://www.velaw.com/Middle-East/Dubai/</w:t>
            </w:r>
          </w:p>
        </w:tc>
      </w:tr>
      <w:tr w:rsidR="004E6FC1" w:rsidRPr="0086625D" w14:paraId="12A2F6F0"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000000" w:fill="auto"/>
            <w:tcMar>
              <w:top w:w="0" w:type="dxa"/>
              <w:left w:w="108" w:type="dxa"/>
              <w:bottom w:w="0" w:type="dxa"/>
              <w:right w:w="108" w:type="dxa"/>
            </w:tcMar>
            <w:vAlign w:val="center"/>
          </w:tcPr>
          <w:p w14:paraId="27CD4AE8" w14:textId="77777777" w:rsidR="004E6FC1" w:rsidRPr="0086625D" w:rsidRDefault="004E6FC1" w:rsidP="007722AB">
            <w:pPr>
              <w:spacing w:after="0"/>
              <w:jc w:val="both"/>
              <w:rPr>
                <w:rFonts w:ascii="Times New Roman" w:hAnsi="Times New Roman" w:cs="Times New Roman"/>
                <w:bCs/>
                <w:lang w:val="en-US"/>
              </w:rPr>
            </w:pPr>
            <w:r w:rsidRPr="0086625D">
              <w:rPr>
                <w:rFonts w:ascii="Times New Roman" w:hAnsi="Times New Roman" w:cs="Times New Roman"/>
                <w:bCs/>
                <w:lang w:val="en-US"/>
              </w:rPr>
              <w:t>Zayed Al Shamsi Advocates &amp; Legal Consultants</w:t>
            </w:r>
          </w:p>
        </w:tc>
        <w:tc>
          <w:tcPr>
            <w:tcW w:w="4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BF8020" w14:textId="77777777" w:rsidR="004E6FC1" w:rsidRPr="0086625D" w:rsidRDefault="00022BD6" w:rsidP="007722AB">
            <w:pPr>
              <w:spacing w:after="0"/>
              <w:jc w:val="both"/>
              <w:rPr>
                <w:rFonts w:ascii="Times New Roman" w:hAnsi="Times New Roman" w:cs="Times New Roman"/>
                <w:bCs/>
                <w:u w:val="single"/>
              </w:rPr>
            </w:pPr>
            <w:hyperlink r:id="rId234" w:history="1">
              <w:r w:rsidR="004E6FC1" w:rsidRPr="0086625D">
                <w:rPr>
                  <w:rStyle w:val="Hyperlink"/>
                  <w:rFonts w:ascii="Times New Roman" w:hAnsi="Times New Roman" w:cs="Times New Roman"/>
                </w:rPr>
                <w:t>http://zayedalshamsi.ae</w:t>
              </w:r>
            </w:hyperlink>
            <w:r w:rsidR="004E6FC1" w:rsidRPr="0086625D">
              <w:rPr>
                <w:rFonts w:ascii="Times New Roman" w:hAnsi="Times New Roman" w:cs="Times New Roman"/>
                <w:bCs/>
                <w:u w:val="single"/>
              </w:rPr>
              <w:t xml:space="preserve"> </w:t>
            </w:r>
          </w:p>
        </w:tc>
      </w:tr>
    </w:tbl>
    <w:p w14:paraId="10E80838" w14:textId="77777777" w:rsidR="004E6FC1" w:rsidRPr="00D074C6" w:rsidRDefault="004E6FC1" w:rsidP="004E6FC1">
      <w:pPr>
        <w:spacing w:after="0"/>
        <w:jc w:val="both"/>
        <w:rPr>
          <w:rFonts w:ascii="Times New Roman" w:hAnsi="Times New Roman" w:cs="Times New Roman"/>
          <w:bCs/>
          <w:sz w:val="24"/>
          <w:szCs w:val="24"/>
        </w:rPr>
      </w:pP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5130"/>
      </w:tblGrid>
      <w:tr w:rsidR="004E6FC1" w:rsidRPr="00BB5D57" w14:paraId="1D986102" w14:textId="77777777" w:rsidTr="004E6FC1">
        <w:trPr>
          <w:trHeight w:hRule="exact" w:val="549"/>
        </w:trPr>
        <w:tc>
          <w:tcPr>
            <w:tcW w:w="9450" w:type="dxa"/>
            <w:gridSpan w:val="2"/>
            <w:shd w:val="pct15" w:color="auto" w:fill="FFFFFF"/>
            <w:vAlign w:val="center"/>
          </w:tcPr>
          <w:p w14:paraId="308FF435" w14:textId="23022F61" w:rsidR="004E6FC1" w:rsidRPr="00BB5D57" w:rsidRDefault="004E6FC1" w:rsidP="00B86CFF">
            <w:r w:rsidRPr="00BB5D57">
              <w:br w:type="page"/>
            </w:r>
            <w:r w:rsidRPr="00BB5D57">
              <w:br w:type="page"/>
            </w:r>
            <w:bookmarkStart w:id="60" w:name="_Toc136423636"/>
            <w:r w:rsidRPr="00B86CFF">
              <w:rPr>
                <w:rFonts w:asciiTheme="majorHAnsi" w:hAnsiTheme="majorHAnsi"/>
                <w:b/>
                <w:color w:val="548DD4" w:themeColor="text2" w:themeTint="99"/>
                <w:sz w:val="26"/>
                <w:szCs w:val="26"/>
              </w:rPr>
              <w:t xml:space="preserve"> </w:t>
            </w:r>
            <w:r w:rsidR="00B86CFF">
              <w:rPr>
                <w:rFonts w:asciiTheme="majorHAnsi" w:hAnsiTheme="majorHAnsi"/>
                <w:b/>
                <w:color w:val="548DD4" w:themeColor="text2" w:themeTint="99"/>
                <w:sz w:val="26"/>
                <w:szCs w:val="26"/>
              </w:rPr>
              <w:t xml:space="preserve">5.4 </w:t>
            </w:r>
            <w:r w:rsidRPr="00B86CFF">
              <w:rPr>
                <w:rFonts w:asciiTheme="majorHAnsi" w:hAnsiTheme="majorHAnsi"/>
                <w:b/>
                <w:color w:val="548DD4" w:themeColor="text2" w:themeTint="99"/>
                <w:sz w:val="26"/>
                <w:szCs w:val="26"/>
              </w:rPr>
              <w:t>Έλληνες Νομικοί και Σύμβουλοι Επιχειρήσεων</w:t>
            </w:r>
            <w:bookmarkEnd w:id="60"/>
          </w:p>
        </w:tc>
      </w:tr>
      <w:tr w:rsidR="00163EFE" w:rsidRPr="001B61FA" w14:paraId="7C24EB29" w14:textId="77777777" w:rsidTr="007722AB">
        <w:tblPrEx>
          <w:tblCellMar>
            <w:left w:w="10" w:type="dxa"/>
            <w:right w:w="10" w:type="dxa"/>
          </w:tblCellMar>
          <w:tblLook w:val="04A0" w:firstRow="1" w:lastRow="0" w:firstColumn="1" w:lastColumn="0" w:noHBand="0" w:noVBand="1"/>
        </w:tblPrEx>
        <w:trPr>
          <w:trHeight w:val="397"/>
        </w:trPr>
        <w:tc>
          <w:tcPr>
            <w:tcW w:w="4320" w:type="dxa"/>
            <w:shd w:val="clear" w:color="auto" w:fill="auto"/>
            <w:tcMar>
              <w:top w:w="0" w:type="dxa"/>
              <w:left w:w="108" w:type="dxa"/>
              <w:bottom w:w="0" w:type="dxa"/>
              <w:right w:w="108" w:type="dxa"/>
            </w:tcMar>
          </w:tcPr>
          <w:p w14:paraId="537AA5DC" w14:textId="19FC1083" w:rsidR="00163EFE" w:rsidRDefault="00163EFE" w:rsidP="007722AB">
            <w:pPr>
              <w:spacing w:after="0"/>
              <w:jc w:val="both"/>
              <w:rPr>
                <w:rFonts w:ascii="Times New Roman" w:hAnsi="Times New Roman" w:cs="Times New Roman"/>
                <w:bCs/>
                <w:lang w:val="en-US"/>
              </w:rPr>
            </w:pPr>
            <w:r>
              <w:rPr>
                <w:rFonts w:ascii="Times New Roman" w:hAnsi="Times New Roman" w:cs="Times New Roman"/>
                <w:bCs/>
                <w:lang w:val="en-US"/>
              </w:rPr>
              <w:t>Afridi &amp; Angell</w:t>
            </w:r>
          </w:p>
        </w:tc>
        <w:tc>
          <w:tcPr>
            <w:tcW w:w="5130" w:type="dxa"/>
            <w:shd w:val="clear" w:color="auto" w:fill="auto"/>
            <w:tcMar>
              <w:top w:w="0" w:type="dxa"/>
              <w:left w:w="108" w:type="dxa"/>
              <w:bottom w:w="0" w:type="dxa"/>
              <w:right w:w="108" w:type="dxa"/>
            </w:tcMar>
          </w:tcPr>
          <w:p w14:paraId="095FA1FC" w14:textId="77777777" w:rsidR="00163EFE" w:rsidRDefault="00163EFE" w:rsidP="007722AB">
            <w:pPr>
              <w:spacing w:after="0"/>
              <w:jc w:val="both"/>
              <w:rPr>
                <w:rFonts w:ascii="Times New Roman" w:hAnsi="Times New Roman" w:cs="Times New Roman"/>
                <w:bCs/>
                <w:lang w:val="en-US"/>
              </w:rPr>
            </w:pPr>
            <w:r w:rsidRPr="00BB5D57">
              <w:rPr>
                <w:rFonts w:ascii="Times New Roman" w:hAnsi="Times New Roman" w:cs="Times New Roman"/>
                <w:bCs/>
                <w:lang w:val="en-US"/>
              </w:rPr>
              <w:t>Maria Palmou, Senior Associate</w:t>
            </w:r>
          </w:p>
          <w:p w14:paraId="052CFB53" w14:textId="77777777" w:rsidR="00163EFE" w:rsidRDefault="00163EFE" w:rsidP="007722AB">
            <w:pPr>
              <w:spacing w:after="0"/>
              <w:jc w:val="both"/>
              <w:rPr>
                <w:rFonts w:ascii="Times New Roman" w:hAnsi="Times New Roman" w:cs="Times New Roman"/>
                <w:bCs/>
                <w:lang w:val="en-US"/>
              </w:rPr>
            </w:pPr>
            <w:r>
              <w:rPr>
                <w:rFonts w:ascii="Times New Roman" w:hAnsi="Times New Roman" w:cs="Times New Roman"/>
                <w:bCs/>
                <w:lang w:val="en-US"/>
              </w:rPr>
              <w:t>+971 50 459 8110</w:t>
            </w:r>
          </w:p>
          <w:p w14:paraId="42A4ECBB" w14:textId="77777777" w:rsidR="00163EFE" w:rsidRDefault="00022BD6" w:rsidP="007722AB">
            <w:pPr>
              <w:spacing w:after="0"/>
              <w:jc w:val="both"/>
              <w:rPr>
                <w:rFonts w:ascii="Times New Roman" w:hAnsi="Times New Roman" w:cs="Times New Roman"/>
                <w:bCs/>
                <w:lang w:val="en-US"/>
              </w:rPr>
            </w:pPr>
            <w:hyperlink r:id="rId235" w:history="1">
              <w:r w:rsidR="00163EFE" w:rsidRPr="00F65695">
                <w:rPr>
                  <w:rStyle w:val="Hyperlink"/>
                  <w:rFonts w:ascii="Times New Roman" w:hAnsi="Times New Roman" w:cs="Times New Roman"/>
                  <w:bCs/>
                  <w:lang w:val="en-US"/>
                </w:rPr>
                <w:t>mpalmou@afridi-angell.com</w:t>
              </w:r>
            </w:hyperlink>
            <w:r w:rsidR="00163EFE">
              <w:rPr>
                <w:rFonts w:ascii="Times New Roman" w:hAnsi="Times New Roman" w:cs="Times New Roman"/>
                <w:bCs/>
                <w:lang w:val="en-US"/>
              </w:rPr>
              <w:t xml:space="preserve"> </w:t>
            </w:r>
          </w:p>
          <w:p w14:paraId="2339D173" w14:textId="05770336" w:rsidR="00163EFE" w:rsidRDefault="00022BD6" w:rsidP="007722AB">
            <w:pPr>
              <w:spacing w:after="0"/>
              <w:jc w:val="both"/>
              <w:rPr>
                <w:rFonts w:ascii="Times New Roman" w:hAnsi="Times New Roman" w:cs="Times New Roman"/>
                <w:bCs/>
                <w:lang w:val="en-US"/>
              </w:rPr>
            </w:pPr>
            <w:hyperlink r:id="rId236" w:history="1">
              <w:r w:rsidR="00163EFE" w:rsidRPr="00F65695">
                <w:rPr>
                  <w:rStyle w:val="Hyperlink"/>
                  <w:rFonts w:ascii="Times New Roman" w:hAnsi="Times New Roman" w:cs="Times New Roman"/>
                  <w:bCs/>
                  <w:lang w:val="en-US"/>
                </w:rPr>
                <w:t>www.afridi-angell.com</w:t>
              </w:r>
            </w:hyperlink>
            <w:r w:rsidR="00163EFE">
              <w:rPr>
                <w:rFonts w:ascii="Times New Roman" w:hAnsi="Times New Roman" w:cs="Times New Roman"/>
                <w:bCs/>
                <w:lang w:val="en-US"/>
              </w:rPr>
              <w:t xml:space="preserve"> </w:t>
            </w:r>
          </w:p>
        </w:tc>
      </w:tr>
      <w:tr w:rsidR="00163EFE" w:rsidRPr="00E71B4C" w14:paraId="5BAADFC9" w14:textId="77777777" w:rsidTr="007722AB">
        <w:tblPrEx>
          <w:tblCellMar>
            <w:left w:w="10" w:type="dxa"/>
            <w:right w:w="10" w:type="dxa"/>
          </w:tblCellMar>
          <w:tblLook w:val="04A0" w:firstRow="1" w:lastRow="0" w:firstColumn="1" w:lastColumn="0" w:noHBand="0" w:noVBand="1"/>
        </w:tblPrEx>
        <w:trPr>
          <w:trHeight w:val="397"/>
        </w:trPr>
        <w:tc>
          <w:tcPr>
            <w:tcW w:w="4320" w:type="dxa"/>
            <w:shd w:val="clear" w:color="auto" w:fill="auto"/>
            <w:tcMar>
              <w:top w:w="0" w:type="dxa"/>
              <w:left w:w="108" w:type="dxa"/>
              <w:bottom w:w="0" w:type="dxa"/>
              <w:right w:w="108" w:type="dxa"/>
            </w:tcMar>
          </w:tcPr>
          <w:p w14:paraId="27ABE31B" w14:textId="35B6A0CB" w:rsidR="00163EFE" w:rsidRPr="00BB5D57" w:rsidRDefault="00163EFE" w:rsidP="007722AB">
            <w:pPr>
              <w:spacing w:after="0"/>
              <w:jc w:val="both"/>
              <w:rPr>
                <w:rFonts w:ascii="Times New Roman" w:hAnsi="Times New Roman" w:cs="Times New Roman"/>
                <w:bCs/>
                <w:lang w:val="en-US"/>
              </w:rPr>
            </w:pPr>
            <w:r>
              <w:rPr>
                <w:rFonts w:ascii="Times New Roman" w:hAnsi="Times New Roman" w:cs="Times New Roman"/>
                <w:bCs/>
                <w:lang w:val="en-US"/>
              </w:rPr>
              <w:t>Al Tamimi</w:t>
            </w:r>
          </w:p>
        </w:tc>
        <w:tc>
          <w:tcPr>
            <w:tcW w:w="5130" w:type="dxa"/>
            <w:shd w:val="clear" w:color="auto" w:fill="auto"/>
            <w:tcMar>
              <w:top w:w="0" w:type="dxa"/>
              <w:left w:w="108" w:type="dxa"/>
              <w:bottom w:w="0" w:type="dxa"/>
              <w:right w:w="108" w:type="dxa"/>
            </w:tcMar>
          </w:tcPr>
          <w:p w14:paraId="7BC49601" w14:textId="77777777" w:rsidR="00163EFE" w:rsidRPr="00787959" w:rsidRDefault="00163EFE" w:rsidP="007722AB">
            <w:pPr>
              <w:spacing w:after="0"/>
              <w:jc w:val="both"/>
              <w:rPr>
                <w:rFonts w:ascii="Times New Roman" w:hAnsi="Times New Roman" w:cs="Times New Roman"/>
                <w:bCs/>
                <w:lang w:val="fr-FR"/>
              </w:rPr>
            </w:pPr>
            <w:r w:rsidRPr="00787959">
              <w:rPr>
                <w:rFonts w:ascii="Times New Roman" w:hAnsi="Times New Roman" w:cs="Times New Roman"/>
                <w:bCs/>
                <w:lang w:val="fr-FR"/>
              </w:rPr>
              <w:t>Ioannis Petras, Associate</w:t>
            </w:r>
          </w:p>
          <w:p w14:paraId="466C490F" w14:textId="77777777" w:rsidR="00163EFE" w:rsidRPr="00787959" w:rsidRDefault="00163EFE" w:rsidP="007722AB">
            <w:pPr>
              <w:spacing w:after="0"/>
              <w:jc w:val="both"/>
              <w:rPr>
                <w:rFonts w:ascii="Times New Roman" w:hAnsi="Times New Roman" w:cs="Times New Roman"/>
                <w:bCs/>
                <w:lang w:val="fr-FR"/>
              </w:rPr>
            </w:pPr>
            <w:r w:rsidRPr="00787959">
              <w:rPr>
                <w:rFonts w:ascii="Times New Roman" w:hAnsi="Times New Roman" w:cs="Times New Roman"/>
                <w:bCs/>
                <w:lang w:val="fr-FR"/>
              </w:rPr>
              <w:t>+971 565259816</w:t>
            </w:r>
          </w:p>
          <w:p w14:paraId="316BDF94" w14:textId="77777777" w:rsidR="00163EFE" w:rsidRPr="00787959" w:rsidRDefault="00022BD6" w:rsidP="007722AB">
            <w:pPr>
              <w:spacing w:after="0"/>
              <w:jc w:val="both"/>
              <w:rPr>
                <w:rFonts w:ascii="Times New Roman" w:hAnsi="Times New Roman" w:cs="Times New Roman"/>
                <w:bCs/>
                <w:lang w:val="fr-FR"/>
              </w:rPr>
            </w:pPr>
            <w:hyperlink r:id="rId237" w:history="1">
              <w:r w:rsidR="00163EFE" w:rsidRPr="00787959">
                <w:rPr>
                  <w:rStyle w:val="Hyperlink"/>
                  <w:rFonts w:ascii="Times New Roman" w:hAnsi="Times New Roman" w:cs="Times New Roman"/>
                  <w:bCs/>
                  <w:lang w:val="fr-FR"/>
                </w:rPr>
                <w:t>I.Petras@altamimi.com</w:t>
              </w:r>
            </w:hyperlink>
            <w:r w:rsidR="00163EFE" w:rsidRPr="00787959">
              <w:rPr>
                <w:rFonts w:ascii="Times New Roman" w:hAnsi="Times New Roman" w:cs="Times New Roman"/>
                <w:bCs/>
                <w:lang w:val="fr-FR"/>
              </w:rPr>
              <w:t xml:space="preserve"> </w:t>
            </w:r>
          </w:p>
          <w:p w14:paraId="08345B9A" w14:textId="344BF274" w:rsidR="00163EFE" w:rsidRPr="00E71B4C" w:rsidRDefault="00022BD6" w:rsidP="007722AB">
            <w:pPr>
              <w:spacing w:after="0"/>
              <w:jc w:val="both"/>
              <w:rPr>
                <w:rFonts w:ascii="Times New Roman" w:hAnsi="Times New Roman" w:cs="Times New Roman"/>
                <w:bCs/>
                <w:lang w:val="fr-FR"/>
              </w:rPr>
            </w:pPr>
            <w:hyperlink r:id="rId238" w:history="1">
              <w:r w:rsidR="00163EFE" w:rsidRPr="00E71B4C">
                <w:rPr>
                  <w:rStyle w:val="Hyperlink"/>
                  <w:rFonts w:ascii="Times New Roman" w:hAnsi="Times New Roman" w:cs="Times New Roman"/>
                  <w:bCs/>
                  <w:lang w:val="fr-FR"/>
                </w:rPr>
                <w:t>www.altamimi.com</w:t>
              </w:r>
            </w:hyperlink>
            <w:r w:rsidR="00163EFE" w:rsidRPr="00E71B4C">
              <w:rPr>
                <w:rFonts w:ascii="Times New Roman" w:hAnsi="Times New Roman" w:cs="Times New Roman"/>
                <w:bCs/>
                <w:lang w:val="fr-FR"/>
              </w:rPr>
              <w:t xml:space="preserve"> </w:t>
            </w:r>
          </w:p>
        </w:tc>
      </w:tr>
      <w:tr w:rsidR="00E205BD" w:rsidRPr="00E71B4C" w14:paraId="602882FA" w14:textId="77777777" w:rsidTr="00E205BD">
        <w:tblPrEx>
          <w:tblCellMar>
            <w:left w:w="10" w:type="dxa"/>
            <w:right w:w="10" w:type="dxa"/>
          </w:tblCellMar>
          <w:tblLook w:val="04A0" w:firstRow="1" w:lastRow="0" w:firstColumn="1" w:lastColumn="0" w:noHBand="0" w:noVBand="1"/>
        </w:tblPrEx>
        <w:trPr>
          <w:trHeight w:val="397"/>
        </w:trPr>
        <w:tc>
          <w:tcPr>
            <w:tcW w:w="43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0AB092" w14:textId="77777777" w:rsidR="00E205BD" w:rsidRPr="00BB5D57" w:rsidRDefault="00E205BD" w:rsidP="00385590">
            <w:pPr>
              <w:spacing w:after="0"/>
              <w:jc w:val="both"/>
              <w:rPr>
                <w:rFonts w:ascii="Times New Roman" w:hAnsi="Times New Roman" w:cs="Times New Roman"/>
                <w:bCs/>
                <w:lang w:val="en-US"/>
              </w:rPr>
            </w:pPr>
            <w:r>
              <w:rPr>
                <w:rFonts w:ascii="Times New Roman" w:hAnsi="Times New Roman" w:cs="Times New Roman"/>
                <w:bCs/>
                <w:lang w:val="en-US"/>
              </w:rPr>
              <w:t>Allen &amp; Overy</w:t>
            </w:r>
          </w:p>
        </w:tc>
        <w:tc>
          <w:tcPr>
            <w:tcW w:w="5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249107" w14:textId="77777777" w:rsidR="00E205BD" w:rsidRPr="00E205BD" w:rsidRDefault="00E205BD" w:rsidP="00385590">
            <w:pPr>
              <w:spacing w:after="0"/>
              <w:jc w:val="both"/>
              <w:rPr>
                <w:rFonts w:ascii="Times New Roman" w:hAnsi="Times New Roman" w:cs="Times New Roman"/>
                <w:bCs/>
                <w:lang w:val="en-US"/>
              </w:rPr>
            </w:pPr>
            <w:r w:rsidRPr="00E205BD">
              <w:rPr>
                <w:rFonts w:ascii="Times New Roman" w:hAnsi="Times New Roman" w:cs="Times New Roman"/>
                <w:bCs/>
                <w:lang w:val="en-US"/>
              </w:rPr>
              <w:t>Georgios Chrysospathis</w:t>
            </w:r>
          </w:p>
          <w:p w14:paraId="2EDC9807" w14:textId="77777777" w:rsidR="00E205BD" w:rsidRPr="00E205BD" w:rsidRDefault="00E205BD" w:rsidP="00385590">
            <w:pPr>
              <w:spacing w:after="0"/>
              <w:jc w:val="both"/>
              <w:rPr>
                <w:rFonts w:ascii="Times New Roman" w:hAnsi="Times New Roman" w:cs="Times New Roman"/>
                <w:bCs/>
                <w:lang w:val="en-US"/>
              </w:rPr>
            </w:pPr>
            <w:r w:rsidRPr="00E205BD">
              <w:rPr>
                <w:rFonts w:ascii="Times New Roman" w:hAnsi="Times New Roman" w:cs="Times New Roman"/>
                <w:bCs/>
                <w:lang w:val="en-US"/>
              </w:rPr>
              <w:t>+ 971 4 426 7294, Dubai</w:t>
            </w:r>
            <w:r w:rsidRPr="00E205BD">
              <w:rPr>
                <w:rFonts w:ascii="Times New Roman" w:hAnsi="Times New Roman" w:cs="Times New Roman"/>
                <w:bCs/>
                <w:lang w:val="en-US"/>
              </w:rPr>
              <w:tab/>
            </w:r>
          </w:p>
          <w:p w14:paraId="5FC12054" w14:textId="77777777" w:rsidR="00E205BD" w:rsidRPr="00E205BD" w:rsidRDefault="00022BD6" w:rsidP="00385590">
            <w:pPr>
              <w:spacing w:after="0"/>
              <w:jc w:val="both"/>
              <w:rPr>
                <w:rFonts w:ascii="Times New Roman" w:hAnsi="Times New Roman" w:cs="Times New Roman"/>
                <w:bCs/>
                <w:lang w:val="en-US"/>
              </w:rPr>
            </w:pPr>
            <w:hyperlink r:id="rId239" w:history="1">
              <w:r w:rsidR="00E205BD" w:rsidRPr="00E205BD">
                <w:rPr>
                  <w:rStyle w:val="Hyperlink"/>
                  <w:rFonts w:ascii="Times New Roman" w:hAnsi="Times New Roman" w:cs="Times New Roman"/>
                  <w:bCs/>
                  <w:lang w:val="en-US"/>
                </w:rPr>
                <w:t>george.chrysospathis@allenovery.com</w:t>
              </w:r>
            </w:hyperlink>
            <w:r w:rsidR="00E205BD" w:rsidRPr="00E205BD">
              <w:rPr>
                <w:rFonts w:ascii="Times New Roman" w:hAnsi="Times New Roman" w:cs="Times New Roman"/>
                <w:bCs/>
                <w:lang w:val="en-US"/>
              </w:rPr>
              <w:t xml:space="preserve"> </w:t>
            </w:r>
          </w:p>
          <w:p w14:paraId="0F0223EA" w14:textId="77777777" w:rsidR="00E205BD" w:rsidRPr="00E205BD" w:rsidRDefault="00022BD6" w:rsidP="00385590">
            <w:pPr>
              <w:spacing w:after="0"/>
              <w:jc w:val="both"/>
              <w:rPr>
                <w:rFonts w:ascii="Times New Roman" w:hAnsi="Times New Roman" w:cs="Times New Roman"/>
                <w:bCs/>
                <w:lang w:val="en-US"/>
              </w:rPr>
            </w:pPr>
            <w:hyperlink r:id="rId240" w:history="1">
              <w:r w:rsidR="00E205BD" w:rsidRPr="00E205BD">
                <w:rPr>
                  <w:rStyle w:val="Hyperlink"/>
                  <w:rFonts w:ascii="Times New Roman" w:hAnsi="Times New Roman" w:cs="Times New Roman"/>
                  <w:bCs/>
                  <w:lang w:val="en-US"/>
                </w:rPr>
                <w:t>www.allenovery.com</w:t>
              </w:r>
            </w:hyperlink>
            <w:r w:rsidR="00E205BD">
              <w:rPr>
                <w:rFonts w:ascii="Times New Roman" w:hAnsi="Times New Roman" w:cs="Times New Roman"/>
                <w:bCs/>
                <w:lang w:val="en-US"/>
              </w:rPr>
              <w:t xml:space="preserve"> </w:t>
            </w:r>
          </w:p>
        </w:tc>
      </w:tr>
      <w:tr w:rsidR="004E6FC1" w:rsidRPr="00022BD6" w14:paraId="4FC6FEA5" w14:textId="77777777" w:rsidTr="007722AB">
        <w:tblPrEx>
          <w:tblCellMar>
            <w:left w:w="10" w:type="dxa"/>
            <w:right w:w="10" w:type="dxa"/>
          </w:tblCellMar>
          <w:tblLook w:val="04A0" w:firstRow="1" w:lastRow="0" w:firstColumn="1" w:lastColumn="0" w:noHBand="0" w:noVBand="1"/>
        </w:tblPrEx>
        <w:trPr>
          <w:trHeight w:val="397"/>
        </w:trPr>
        <w:tc>
          <w:tcPr>
            <w:tcW w:w="4320" w:type="dxa"/>
            <w:shd w:val="clear" w:color="auto" w:fill="auto"/>
            <w:tcMar>
              <w:top w:w="0" w:type="dxa"/>
              <w:left w:w="108" w:type="dxa"/>
              <w:bottom w:w="0" w:type="dxa"/>
              <w:right w:w="108" w:type="dxa"/>
            </w:tcMar>
          </w:tcPr>
          <w:p w14:paraId="79CE55B3" w14:textId="77777777" w:rsidR="004E6FC1" w:rsidRPr="00BB5D57" w:rsidRDefault="004E6FC1" w:rsidP="007722AB">
            <w:pPr>
              <w:spacing w:after="0"/>
              <w:jc w:val="both"/>
              <w:rPr>
                <w:rFonts w:ascii="Times New Roman" w:hAnsi="Times New Roman" w:cs="Times New Roman"/>
                <w:bCs/>
                <w:lang w:val="en-US"/>
              </w:rPr>
            </w:pPr>
            <w:r w:rsidRPr="00BB5D57">
              <w:rPr>
                <w:rFonts w:ascii="Times New Roman" w:hAnsi="Times New Roman" w:cs="Times New Roman"/>
                <w:bCs/>
                <w:lang w:val="en-US"/>
              </w:rPr>
              <w:t>Baker &amp; McKenzie Habib Al Mulla</w:t>
            </w:r>
          </w:p>
        </w:tc>
        <w:tc>
          <w:tcPr>
            <w:tcW w:w="5130" w:type="dxa"/>
            <w:shd w:val="clear" w:color="auto" w:fill="auto"/>
            <w:tcMar>
              <w:top w:w="0" w:type="dxa"/>
              <w:left w:w="108" w:type="dxa"/>
              <w:bottom w:w="0" w:type="dxa"/>
              <w:right w:w="108" w:type="dxa"/>
            </w:tcMar>
          </w:tcPr>
          <w:p w14:paraId="7BBABB45" w14:textId="77777777" w:rsidR="004E6FC1" w:rsidRPr="00BB5D57" w:rsidRDefault="004E6FC1" w:rsidP="007722AB">
            <w:pPr>
              <w:spacing w:after="0"/>
              <w:jc w:val="both"/>
              <w:rPr>
                <w:rFonts w:ascii="Times New Roman" w:hAnsi="Times New Roman" w:cs="Times New Roman"/>
                <w:bCs/>
                <w:lang w:val="en-US"/>
              </w:rPr>
            </w:pPr>
            <w:r w:rsidRPr="00BB5D57">
              <w:rPr>
                <w:rFonts w:ascii="Times New Roman" w:hAnsi="Times New Roman" w:cs="Times New Roman"/>
                <w:bCs/>
                <w:lang w:val="en-US"/>
              </w:rPr>
              <w:t>Marcos Spanos, Senior Associate</w:t>
            </w:r>
          </w:p>
          <w:p w14:paraId="45AF4106" w14:textId="77777777" w:rsidR="004E6FC1" w:rsidRPr="00BB5D57" w:rsidRDefault="004E6FC1" w:rsidP="007722AB">
            <w:pPr>
              <w:spacing w:after="0"/>
              <w:jc w:val="both"/>
              <w:rPr>
                <w:rFonts w:ascii="Times New Roman" w:hAnsi="Times New Roman" w:cs="Times New Roman"/>
                <w:bCs/>
                <w:lang w:val="en-US"/>
              </w:rPr>
            </w:pPr>
            <w:r w:rsidRPr="00BB5D57">
              <w:rPr>
                <w:rFonts w:ascii="Times New Roman" w:hAnsi="Times New Roman" w:cs="Times New Roman"/>
                <w:bCs/>
                <w:lang w:val="en-US"/>
              </w:rPr>
              <w:t>+971 4 423 0084, Dubai</w:t>
            </w:r>
          </w:p>
          <w:p w14:paraId="6F5E5FDD" w14:textId="77777777" w:rsidR="004E6FC1" w:rsidRPr="00BB5D57" w:rsidRDefault="00022BD6" w:rsidP="007722AB">
            <w:pPr>
              <w:spacing w:after="0"/>
              <w:jc w:val="both"/>
              <w:rPr>
                <w:rFonts w:ascii="Times New Roman" w:hAnsi="Times New Roman" w:cs="Times New Roman"/>
                <w:bCs/>
                <w:lang w:val="en-US"/>
              </w:rPr>
            </w:pPr>
            <w:hyperlink r:id="rId241" w:history="1">
              <w:r w:rsidR="004E6FC1" w:rsidRPr="00BB5D57">
                <w:rPr>
                  <w:rStyle w:val="Hyperlink"/>
                  <w:rFonts w:ascii="Times New Roman" w:hAnsi="Times New Roman" w:cs="Times New Roman"/>
                  <w:lang w:val="en-US"/>
                </w:rPr>
                <w:t>marcos.spanos@bakermckenzie.com</w:t>
              </w:r>
            </w:hyperlink>
          </w:p>
          <w:p w14:paraId="12909594" w14:textId="77777777" w:rsidR="004E6FC1" w:rsidRPr="00BB5D57" w:rsidRDefault="00022BD6" w:rsidP="007722AB">
            <w:pPr>
              <w:spacing w:after="0"/>
              <w:jc w:val="both"/>
              <w:rPr>
                <w:rFonts w:ascii="Times New Roman" w:hAnsi="Times New Roman" w:cs="Times New Roman"/>
                <w:bCs/>
                <w:lang w:val="en-US"/>
              </w:rPr>
            </w:pPr>
            <w:hyperlink r:id="rId242" w:history="1">
              <w:r w:rsidR="004E6FC1" w:rsidRPr="00BB5D57">
                <w:rPr>
                  <w:rStyle w:val="Hyperlink"/>
                  <w:rFonts w:ascii="Times New Roman" w:hAnsi="Times New Roman" w:cs="Times New Roman"/>
                  <w:lang w:val="en-US"/>
                </w:rPr>
                <w:t>https://www.bakermckenzie.com/en/locations/emea/united-arab-emirates</w:t>
              </w:r>
            </w:hyperlink>
            <w:r w:rsidR="004E6FC1" w:rsidRPr="00BB5D57">
              <w:rPr>
                <w:rFonts w:ascii="Times New Roman" w:hAnsi="Times New Roman" w:cs="Times New Roman"/>
                <w:bCs/>
                <w:lang w:val="en-US"/>
              </w:rPr>
              <w:t xml:space="preserve"> </w:t>
            </w:r>
            <w:r w:rsidR="004E6FC1" w:rsidRPr="00BB5D57">
              <w:rPr>
                <w:rFonts w:ascii="Times New Roman" w:hAnsi="Times New Roman" w:cs="Times New Roman"/>
                <w:bCs/>
                <w:lang w:val="en-US"/>
              </w:rPr>
              <w:tab/>
            </w:r>
          </w:p>
        </w:tc>
      </w:tr>
      <w:tr w:rsidR="004E6FC1" w:rsidRPr="00022BD6" w14:paraId="019BAD15" w14:textId="77777777" w:rsidTr="007722AB">
        <w:tblPrEx>
          <w:tblCellMar>
            <w:left w:w="10" w:type="dxa"/>
            <w:right w:w="10" w:type="dxa"/>
          </w:tblCellMar>
          <w:tblLook w:val="04A0" w:firstRow="1" w:lastRow="0" w:firstColumn="1" w:lastColumn="0" w:noHBand="0" w:noVBand="1"/>
        </w:tblPrEx>
        <w:trPr>
          <w:trHeight w:val="397"/>
        </w:trPr>
        <w:tc>
          <w:tcPr>
            <w:tcW w:w="4320" w:type="dxa"/>
            <w:shd w:val="clear" w:color="auto" w:fill="auto"/>
            <w:tcMar>
              <w:top w:w="0" w:type="dxa"/>
              <w:left w:w="108" w:type="dxa"/>
              <w:bottom w:w="0" w:type="dxa"/>
              <w:right w:w="108" w:type="dxa"/>
            </w:tcMar>
          </w:tcPr>
          <w:p w14:paraId="2023DC68" w14:textId="77777777" w:rsidR="004E6FC1" w:rsidRPr="00BB5D57" w:rsidRDefault="004E6FC1" w:rsidP="007722AB">
            <w:pPr>
              <w:spacing w:after="0"/>
              <w:jc w:val="both"/>
              <w:rPr>
                <w:rFonts w:ascii="Times New Roman" w:hAnsi="Times New Roman" w:cs="Times New Roman"/>
                <w:bCs/>
                <w:lang w:val="en-US"/>
              </w:rPr>
            </w:pPr>
            <w:r w:rsidRPr="00BB5D57">
              <w:rPr>
                <w:rFonts w:ascii="Times New Roman" w:hAnsi="Times New Roman" w:cs="Times New Roman"/>
                <w:bCs/>
                <w:lang w:val="en-US"/>
              </w:rPr>
              <w:t>Bregianni Foteini</w:t>
            </w:r>
          </w:p>
        </w:tc>
        <w:tc>
          <w:tcPr>
            <w:tcW w:w="5130" w:type="dxa"/>
            <w:shd w:val="clear" w:color="auto" w:fill="auto"/>
            <w:tcMar>
              <w:top w:w="0" w:type="dxa"/>
              <w:left w:w="108" w:type="dxa"/>
              <w:bottom w:w="0" w:type="dxa"/>
              <w:right w:w="108" w:type="dxa"/>
            </w:tcMar>
          </w:tcPr>
          <w:p w14:paraId="1ACB3ACE" w14:textId="77777777" w:rsidR="004E6FC1" w:rsidRPr="00BB5D57" w:rsidRDefault="004E6FC1" w:rsidP="007722AB">
            <w:pPr>
              <w:spacing w:after="0"/>
              <w:jc w:val="both"/>
              <w:rPr>
                <w:rFonts w:ascii="Times New Roman" w:hAnsi="Times New Roman" w:cs="Times New Roman"/>
                <w:bCs/>
                <w:lang w:val="en-US"/>
              </w:rPr>
            </w:pPr>
            <w:r w:rsidRPr="00BB5D57">
              <w:rPr>
                <w:rFonts w:ascii="Times New Roman" w:hAnsi="Times New Roman" w:cs="Times New Roman"/>
                <w:bCs/>
                <w:lang w:val="en-US"/>
              </w:rPr>
              <w:t>Freelancer, tax agent, 00971564869975, 00306946330694,</w:t>
            </w:r>
            <w:hyperlink r:id="rId243" w:history="1">
              <w:r w:rsidRPr="00BB5D57">
                <w:rPr>
                  <w:rStyle w:val="Hyperlink"/>
                  <w:rFonts w:ascii="Times New Roman" w:hAnsi="Times New Roman" w:cs="Times New Roman"/>
                  <w:lang w:val="en-US"/>
                </w:rPr>
                <w:t>fbregianni@rtfm.gr</w:t>
              </w:r>
            </w:hyperlink>
            <w:r w:rsidRPr="00BB5D57">
              <w:rPr>
                <w:rFonts w:ascii="Times New Roman" w:hAnsi="Times New Roman" w:cs="Times New Roman"/>
                <w:bCs/>
                <w:lang w:val="en-US"/>
              </w:rPr>
              <w:t xml:space="preserve">, Dubai, </w:t>
            </w:r>
            <w:r w:rsidRPr="00BB5D57">
              <w:rPr>
                <w:rFonts w:ascii="Times New Roman" w:hAnsi="Times New Roman" w:cs="Times New Roman"/>
                <w:bCs/>
              </w:rPr>
              <w:t>Αθήνα</w:t>
            </w:r>
          </w:p>
        </w:tc>
      </w:tr>
      <w:tr w:rsidR="004E6FC1" w:rsidRPr="00A70304" w14:paraId="48C7A69A" w14:textId="77777777" w:rsidTr="007722AB">
        <w:tblPrEx>
          <w:tblCellMar>
            <w:left w:w="10" w:type="dxa"/>
            <w:right w:w="10" w:type="dxa"/>
          </w:tblCellMar>
          <w:tblLook w:val="04A0" w:firstRow="1" w:lastRow="0" w:firstColumn="1" w:lastColumn="0" w:noHBand="0" w:noVBand="1"/>
        </w:tblPrEx>
        <w:trPr>
          <w:trHeight w:val="397"/>
        </w:trPr>
        <w:tc>
          <w:tcPr>
            <w:tcW w:w="4320" w:type="dxa"/>
            <w:shd w:val="clear" w:color="auto" w:fill="auto"/>
            <w:tcMar>
              <w:top w:w="0" w:type="dxa"/>
              <w:left w:w="108" w:type="dxa"/>
              <w:bottom w:w="0" w:type="dxa"/>
              <w:right w:w="108" w:type="dxa"/>
            </w:tcMar>
          </w:tcPr>
          <w:p w14:paraId="3FB4176E" w14:textId="77777777" w:rsidR="004E6FC1" w:rsidRPr="00BB5D57" w:rsidRDefault="004E6FC1" w:rsidP="007722AB">
            <w:pPr>
              <w:spacing w:after="0"/>
              <w:jc w:val="both"/>
              <w:rPr>
                <w:rFonts w:ascii="Times New Roman" w:hAnsi="Times New Roman" w:cs="Times New Roman"/>
                <w:bCs/>
                <w:lang w:val="en-US"/>
              </w:rPr>
            </w:pPr>
            <w:r w:rsidRPr="00BB5D57">
              <w:rPr>
                <w:rFonts w:ascii="Times New Roman" w:hAnsi="Times New Roman" w:cs="Times New Roman"/>
                <w:bCs/>
                <w:lang w:val="en-US"/>
              </w:rPr>
              <w:t>BSA Ahmad Bin Hezeem &amp; Associates LLP</w:t>
            </w:r>
          </w:p>
        </w:tc>
        <w:tc>
          <w:tcPr>
            <w:tcW w:w="5130" w:type="dxa"/>
            <w:shd w:val="clear" w:color="auto" w:fill="auto"/>
            <w:tcMar>
              <w:top w:w="0" w:type="dxa"/>
              <w:left w:w="108" w:type="dxa"/>
              <w:bottom w:w="0" w:type="dxa"/>
              <w:right w:w="108" w:type="dxa"/>
            </w:tcMar>
          </w:tcPr>
          <w:p w14:paraId="7AF39DC4" w14:textId="77777777" w:rsidR="004E6FC1" w:rsidRPr="00BB5D57" w:rsidRDefault="004E6FC1" w:rsidP="007722AB">
            <w:pPr>
              <w:spacing w:after="0"/>
              <w:jc w:val="both"/>
              <w:rPr>
                <w:rFonts w:ascii="Times New Roman" w:hAnsi="Times New Roman" w:cs="Times New Roman"/>
                <w:bCs/>
                <w:lang w:val="en-US"/>
              </w:rPr>
            </w:pPr>
            <w:r w:rsidRPr="00BB5D57">
              <w:rPr>
                <w:rFonts w:ascii="Times New Roman" w:hAnsi="Times New Roman" w:cs="Times New Roman"/>
                <w:bCs/>
                <w:lang w:val="en-US"/>
              </w:rPr>
              <w:t>Antonios Dimitracopoulos, Partner, Head of Arbitration &amp; Dispute Resolution and Construction practices, Tel. +971 4 528 5555, Dubai</w:t>
            </w:r>
          </w:p>
          <w:p w14:paraId="6EF85AFE" w14:textId="77777777" w:rsidR="004E6FC1" w:rsidRPr="00BB5D57" w:rsidRDefault="00022BD6" w:rsidP="007722AB">
            <w:pPr>
              <w:spacing w:after="0"/>
              <w:jc w:val="both"/>
              <w:rPr>
                <w:rFonts w:ascii="Times New Roman" w:hAnsi="Times New Roman" w:cs="Times New Roman"/>
                <w:bCs/>
                <w:lang w:val="en-US"/>
              </w:rPr>
            </w:pPr>
            <w:hyperlink r:id="rId244" w:history="1">
              <w:r w:rsidR="004E6FC1" w:rsidRPr="00BB5D57">
                <w:rPr>
                  <w:rStyle w:val="Hyperlink"/>
                  <w:rFonts w:ascii="Times New Roman" w:hAnsi="Times New Roman" w:cs="Times New Roman"/>
                  <w:lang w:val="en-US"/>
                </w:rPr>
                <w:t>antonios.dimitracopoulos@bsabh.com</w:t>
              </w:r>
            </w:hyperlink>
            <w:r w:rsidR="004E6FC1" w:rsidRPr="00BB5D57">
              <w:rPr>
                <w:rFonts w:ascii="Times New Roman" w:hAnsi="Times New Roman" w:cs="Times New Roman"/>
                <w:bCs/>
                <w:lang w:val="en-US"/>
              </w:rPr>
              <w:t xml:space="preserve">, </w:t>
            </w:r>
            <w:hyperlink r:id="rId245" w:history="1">
              <w:r w:rsidR="004E6FC1" w:rsidRPr="00BB5D57">
                <w:rPr>
                  <w:rStyle w:val="Hyperlink"/>
                  <w:rFonts w:ascii="Times New Roman" w:hAnsi="Times New Roman" w:cs="Times New Roman"/>
                  <w:lang w:val="en-US"/>
                </w:rPr>
                <w:t>www.bsabh.com</w:t>
              </w:r>
            </w:hyperlink>
            <w:r w:rsidR="004E6FC1" w:rsidRPr="00BB5D57">
              <w:rPr>
                <w:rFonts w:ascii="Times New Roman" w:hAnsi="Times New Roman" w:cs="Times New Roman"/>
                <w:bCs/>
                <w:lang w:val="en-US"/>
              </w:rPr>
              <w:tab/>
            </w:r>
          </w:p>
        </w:tc>
      </w:tr>
      <w:tr w:rsidR="004E6FC1" w:rsidRPr="00E205BD" w14:paraId="781FEBBF" w14:textId="77777777" w:rsidTr="007722AB">
        <w:tblPrEx>
          <w:tblCellMar>
            <w:left w:w="10" w:type="dxa"/>
            <w:right w:w="10" w:type="dxa"/>
          </w:tblCellMar>
          <w:tblLook w:val="04A0" w:firstRow="1" w:lastRow="0" w:firstColumn="1" w:lastColumn="0" w:noHBand="0" w:noVBand="1"/>
        </w:tblPrEx>
        <w:trPr>
          <w:trHeight w:val="397"/>
        </w:trPr>
        <w:tc>
          <w:tcPr>
            <w:tcW w:w="4320" w:type="dxa"/>
            <w:shd w:val="clear" w:color="auto" w:fill="auto"/>
            <w:tcMar>
              <w:top w:w="0" w:type="dxa"/>
              <w:left w:w="108" w:type="dxa"/>
              <w:bottom w:w="0" w:type="dxa"/>
              <w:right w:w="108" w:type="dxa"/>
            </w:tcMar>
          </w:tcPr>
          <w:p w14:paraId="26A44053" w14:textId="77777777" w:rsidR="004E6FC1" w:rsidRPr="00BB5D57" w:rsidRDefault="004E6FC1" w:rsidP="007722AB">
            <w:pPr>
              <w:spacing w:after="0"/>
              <w:jc w:val="both"/>
              <w:rPr>
                <w:rFonts w:ascii="Times New Roman" w:hAnsi="Times New Roman" w:cs="Times New Roman"/>
                <w:bCs/>
                <w:lang w:val="en-US"/>
              </w:rPr>
            </w:pPr>
            <w:r w:rsidRPr="00BB5D57">
              <w:rPr>
                <w:rFonts w:ascii="Times New Roman" w:hAnsi="Times New Roman" w:cs="Times New Roman"/>
                <w:bCs/>
                <w:lang w:val="en-US"/>
              </w:rPr>
              <w:t>Charles, Russell, Speechlys</w:t>
            </w:r>
          </w:p>
          <w:p w14:paraId="06448307" w14:textId="77777777" w:rsidR="004E6FC1" w:rsidRPr="00BB5D57" w:rsidRDefault="004E6FC1" w:rsidP="007722AB">
            <w:pPr>
              <w:spacing w:after="0"/>
              <w:jc w:val="both"/>
              <w:rPr>
                <w:rFonts w:ascii="Times New Roman" w:hAnsi="Times New Roman" w:cs="Times New Roman"/>
                <w:bCs/>
                <w:lang w:val="en-US"/>
              </w:rPr>
            </w:pPr>
          </w:p>
        </w:tc>
        <w:tc>
          <w:tcPr>
            <w:tcW w:w="5130" w:type="dxa"/>
            <w:shd w:val="clear" w:color="auto" w:fill="auto"/>
            <w:tcMar>
              <w:top w:w="0" w:type="dxa"/>
              <w:left w:w="108" w:type="dxa"/>
              <w:bottom w:w="0" w:type="dxa"/>
              <w:right w:w="108" w:type="dxa"/>
            </w:tcMar>
          </w:tcPr>
          <w:p w14:paraId="0D6352FA" w14:textId="77777777" w:rsidR="004E6FC1" w:rsidRPr="00BB5D57" w:rsidRDefault="004E6FC1" w:rsidP="007722AB">
            <w:pPr>
              <w:spacing w:after="0"/>
              <w:jc w:val="both"/>
              <w:rPr>
                <w:rFonts w:ascii="Times New Roman" w:hAnsi="Times New Roman" w:cs="Times New Roman"/>
                <w:bCs/>
                <w:lang w:val="en-US"/>
              </w:rPr>
            </w:pPr>
            <w:r w:rsidRPr="00BB5D57">
              <w:rPr>
                <w:rFonts w:ascii="Times New Roman" w:hAnsi="Times New Roman" w:cs="Times New Roman"/>
                <w:bCs/>
                <w:lang w:val="en-US"/>
              </w:rPr>
              <w:t>Thanos Karvelis, Construction Partner</w:t>
            </w:r>
          </w:p>
          <w:p w14:paraId="3672F379" w14:textId="77777777" w:rsidR="004E6FC1" w:rsidRPr="00BB5D57" w:rsidRDefault="004E6FC1" w:rsidP="007722AB">
            <w:pPr>
              <w:spacing w:after="0"/>
              <w:jc w:val="both"/>
              <w:rPr>
                <w:rFonts w:ascii="Times New Roman" w:hAnsi="Times New Roman" w:cs="Times New Roman"/>
                <w:bCs/>
                <w:lang w:val="en-US"/>
              </w:rPr>
            </w:pPr>
            <w:r w:rsidRPr="00BB5D57">
              <w:rPr>
                <w:rFonts w:ascii="Times New Roman" w:hAnsi="Times New Roman" w:cs="Times New Roman"/>
                <w:bCs/>
                <w:lang w:val="en-US"/>
              </w:rPr>
              <w:t>+ 971 4 246 1925, Dubai</w:t>
            </w:r>
            <w:r w:rsidRPr="00BB5D57">
              <w:rPr>
                <w:rFonts w:ascii="Times New Roman" w:hAnsi="Times New Roman" w:cs="Times New Roman"/>
                <w:bCs/>
                <w:lang w:val="en-US"/>
              </w:rPr>
              <w:tab/>
            </w:r>
          </w:p>
          <w:p w14:paraId="72F33AB3" w14:textId="77777777" w:rsidR="004E6FC1" w:rsidRPr="00E205BD" w:rsidRDefault="00022BD6" w:rsidP="007722AB">
            <w:pPr>
              <w:spacing w:after="0"/>
              <w:jc w:val="both"/>
              <w:rPr>
                <w:rFonts w:ascii="Times New Roman" w:hAnsi="Times New Roman" w:cs="Times New Roman"/>
                <w:bCs/>
                <w:lang w:val="en-AE"/>
              </w:rPr>
            </w:pPr>
            <w:hyperlink r:id="rId246" w:history="1">
              <w:r w:rsidR="004E6FC1" w:rsidRPr="00BB5D57">
                <w:rPr>
                  <w:rStyle w:val="Hyperlink"/>
                  <w:rFonts w:ascii="Times New Roman" w:hAnsi="Times New Roman" w:cs="Times New Roman"/>
                  <w:lang w:val="en-US"/>
                </w:rPr>
                <w:t>thanos.karvelis@crsblaw.com</w:t>
              </w:r>
            </w:hyperlink>
            <w:r w:rsidR="004E6FC1" w:rsidRPr="00BB5D57">
              <w:rPr>
                <w:rFonts w:ascii="Times New Roman" w:hAnsi="Times New Roman" w:cs="Times New Roman"/>
                <w:bCs/>
                <w:lang w:val="en-US"/>
              </w:rPr>
              <w:t xml:space="preserve">  </w:t>
            </w:r>
          </w:p>
        </w:tc>
      </w:tr>
      <w:tr w:rsidR="00163EFE" w:rsidRPr="00022BD6" w14:paraId="35D80F12" w14:textId="77777777" w:rsidTr="00163EFE">
        <w:tblPrEx>
          <w:tblCellMar>
            <w:left w:w="10" w:type="dxa"/>
            <w:right w:w="10" w:type="dxa"/>
          </w:tblCellMar>
          <w:tblLook w:val="04A0" w:firstRow="1" w:lastRow="0" w:firstColumn="1" w:lastColumn="0" w:noHBand="0" w:noVBand="1"/>
        </w:tblPrEx>
        <w:trPr>
          <w:trHeight w:val="397"/>
        </w:trPr>
        <w:tc>
          <w:tcPr>
            <w:tcW w:w="43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2E1ABB" w14:textId="77777777" w:rsidR="00163EFE" w:rsidRPr="00BB5D57" w:rsidRDefault="00163EFE" w:rsidP="00385590">
            <w:pPr>
              <w:spacing w:after="0"/>
              <w:jc w:val="both"/>
              <w:rPr>
                <w:rFonts w:ascii="Times New Roman" w:hAnsi="Times New Roman" w:cs="Times New Roman"/>
                <w:bCs/>
                <w:lang w:val="en-US"/>
              </w:rPr>
            </w:pPr>
            <w:r w:rsidRPr="00BB5D57">
              <w:rPr>
                <w:rFonts w:ascii="Times New Roman" w:hAnsi="Times New Roman" w:cs="Times New Roman"/>
                <w:bCs/>
                <w:lang w:val="en-US"/>
              </w:rPr>
              <w:t>Despina Derempei</w:t>
            </w:r>
          </w:p>
        </w:tc>
        <w:tc>
          <w:tcPr>
            <w:tcW w:w="5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C43813" w14:textId="77777777" w:rsidR="00163EFE" w:rsidRPr="00BB5D57" w:rsidRDefault="00163EFE" w:rsidP="00385590">
            <w:pPr>
              <w:spacing w:after="0"/>
              <w:jc w:val="both"/>
              <w:rPr>
                <w:rFonts w:ascii="Times New Roman" w:hAnsi="Times New Roman" w:cs="Times New Roman"/>
                <w:bCs/>
                <w:lang w:val="en-US"/>
              </w:rPr>
            </w:pPr>
            <w:r w:rsidRPr="00BB5D57">
              <w:rPr>
                <w:rFonts w:ascii="Times New Roman" w:hAnsi="Times New Roman" w:cs="Times New Roman"/>
                <w:bCs/>
                <w:lang w:val="en-US"/>
              </w:rPr>
              <w:t>Freelancer, Real estate consultant, golden visa programme, business set up</w:t>
            </w:r>
            <w:r w:rsidRPr="00BB5D57">
              <w:rPr>
                <w:rFonts w:ascii="Times New Roman" w:hAnsi="Times New Roman" w:cs="Times New Roman"/>
                <w:bCs/>
                <w:lang w:val="en-US"/>
              </w:rPr>
              <w:tab/>
              <w:t xml:space="preserve"> </w:t>
            </w:r>
          </w:p>
          <w:p w14:paraId="73A7F6F5" w14:textId="77777777" w:rsidR="00163EFE" w:rsidRPr="00BB5D57" w:rsidRDefault="00163EFE" w:rsidP="00385590">
            <w:pPr>
              <w:spacing w:after="0"/>
              <w:jc w:val="both"/>
              <w:rPr>
                <w:rFonts w:ascii="Times New Roman" w:hAnsi="Times New Roman" w:cs="Times New Roman"/>
                <w:bCs/>
                <w:lang w:val="en-US"/>
              </w:rPr>
            </w:pPr>
            <w:r w:rsidRPr="00BB5D57">
              <w:rPr>
                <w:rFonts w:ascii="Times New Roman" w:hAnsi="Times New Roman" w:cs="Times New Roman"/>
                <w:bCs/>
                <w:lang w:val="en-US"/>
              </w:rPr>
              <w:t xml:space="preserve">Tel +971 50 994 0984, </w:t>
            </w:r>
            <w:hyperlink r:id="rId247" w:history="1">
              <w:r w:rsidRPr="00163EFE">
                <w:rPr>
                  <w:rStyle w:val="Hyperlink"/>
                  <w:rFonts w:ascii="Times New Roman" w:hAnsi="Times New Roman" w:cs="Times New Roman"/>
                  <w:bCs/>
                  <w:lang w:val="en-US"/>
                </w:rPr>
                <w:t>dderempei@yahoo.com</w:t>
              </w:r>
            </w:hyperlink>
          </w:p>
          <w:p w14:paraId="0DBA0ED7" w14:textId="77777777" w:rsidR="00163EFE" w:rsidRPr="00BB5D57" w:rsidRDefault="00163EFE" w:rsidP="00385590">
            <w:pPr>
              <w:spacing w:after="0"/>
              <w:jc w:val="both"/>
              <w:rPr>
                <w:rFonts w:ascii="Times New Roman" w:hAnsi="Times New Roman" w:cs="Times New Roman"/>
                <w:bCs/>
                <w:lang w:val="en-US"/>
              </w:rPr>
            </w:pPr>
            <w:r w:rsidRPr="00BB5D57">
              <w:rPr>
                <w:rFonts w:ascii="Times New Roman" w:hAnsi="Times New Roman" w:cs="Times New Roman"/>
                <w:bCs/>
                <w:lang w:val="en-US"/>
              </w:rPr>
              <w:t>Dubai</w:t>
            </w:r>
          </w:p>
        </w:tc>
      </w:tr>
      <w:tr w:rsidR="00673E28" w:rsidRPr="00BB5D57" w14:paraId="70FEA407" w14:textId="77777777" w:rsidTr="00921CE6">
        <w:tblPrEx>
          <w:tblCellMar>
            <w:left w:w="10" w:type="dxa"/>
            <w:right w:w="10" w:type="dxa"/>
          </w:tblCellMar>
          <w:tblLook w:val="04A0" w:firstRow="1" w:lastRow="0" w:firstColumn="1" w:lastColumn="0" w:noHBand="0" w:noVBand="1"/>
        </w:tblPrEx>
        <w:trPr>
          <w:trHeight w:val="397"/>
        </w:trPr>
        <w:tc>
          <w:tcPr>
            <w:tcW w:w="43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86C55A" w14:textId="77777777" w:rsidR="00673E28" w:rsidRPr="00BB5D57" w:rsidRDefault="00673E28" w:rsidP="00921CE6">
            <w:pPr>
              <w:spacing w:after="0"/>
              <w:jc w:val="both"/>
              <w:rPr>
                <w:rFonts w:ascii="Times New Roman" w:hAnsi="Times New Roman" w:cs="Times New Roman"/>
                <w:bCs/>
                <w:lang w:val="en-US"/>
              </w:rPr>
            </w:pPr>
            <w:r>
              <w:rPr>
                <w:rFonts w:ascii="Times New Roman" w:hAnsi="Times New Roman" w:cs="Times New Roman"/>
                <w:bCs/>
                <w:lang w:val="en-US"/>
              </w:rPr>
              <w:t>Greenberg Traurig</w:t>
            </w:r>
          </w:p>
        </w:tc>
        <w:tc>
          <w:tcPr>
            <w:tcW w:w="5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4DDF97" w14:textId="77777777" w:rsidR="00673E28" w:rsidRPr="00BB5D57" w:rsidRDefault="00673E28" w:rsidP="00921CE6">
            <w:pPr>
              <w:spacing w:after="0"/>
              <w:jc w:val="both"/>
              <w:rPr>
                <w:rFonts w:ascii="Times New Roman" w:hAnsi="Times New Roman" w:cs="Times New Roman"/>
                <w:bCs/>
                <w:lang w:val="en-US"/>
              </w:rPr>
            </w:pPr>
            <w:r w:rsidRPr="00BB5D57">
              <w:rPr>
                <w:rFonts w:ascii="Times New Roman" w:hAnsi="Times New Roman" w:cs="Times New Roman"/>
                <w:bCs/>
                <w:lang w:val="en-US"/>
              </w:rPr>
              <w:t xml:space="preserve">Alex Roussos, Office Managing Partner, </w:t>
            </w:r>
          </w:p>
          <w:p w14:paraId="49879226" w14:textId="77777777" w:rsidR="00673E28" w:rsidRPr="00163EFE" w:rsidRDefault="00673E28" w:rsidP="00921CE6">
            <w:pPr>
              <w:spacing w:after="0"/>
              <w:jc w:val="both"/>
              <w:rPr>
                <w:rFonts w:ascii="Times New Roman" w:hAnsi="Times New Roman" w:cs="Times New Roman"/>
                <w:bCs/>
                <w:lang w:val="en-US"/>
              </w:rPr>
            </w:pPr>
            <w:r w:rsidRPr="00337E11">
              <w:rPr>
                <w:rFonts w:ascii="Times New Roman" w:hAnsi="Times New Roman" w:cs="Times New Roman"/>
                <w:bCs/>
                <w:lang w:val="en-US"/>
              </w:rPr>
              <w:t>+971 (0) 4595 3642</w:t>
            </w:r>
            <w:r w:rsidRPr="00BB5D57">
              <w:rPr>
                <w:rFonts w:ascii="Times New Roman" w:hAnsi="Times New Roman" w:cs="Times New Roman"/>
                <w:bCs/>
                <w:lang w:val="en-US"/>
              </w:rPr>
              <w:t xml:space="preserve">, </w:t>
            </w:r>
            <w:hyperlink r:id="rId248" w:history="1">
              <w:r w:rsidRPr="00514C68">
                <w:rPr>
                  <w:rStyle w:val="Hyperlink"/>
                  <w:rFonts w:ascii="Times New Roman" w:hAnsi="Times New Roman" w:cs="Times New Roman"/>
                  <w:bCs/>
                  <w:lang w:val="en-US"/>
                </w:rPr>
                <w:t>Alexandros.Roussos@gtlaw.com</w:t>
              </w:r>
            </w:hyperlink>
            <w:r>
              <w:rPr>
                <w:rFonts w:ascii="Times New Roman" w:hAnsi="Times New Roman" w:cs="Times New Roman"/>
                <w:bCs/>
                <w:lang w:val="en-US"/>
              </w:rPr>
              <w:t xml:space="preserve"> </w:t>
            </w:r>
          </w:p>
        </w:tc>
      </w:tr>
      <w:tr w:rsidR="00163EFE" w:rsidRPr="00022BD6" w14:paraId="38D1DF14" w14:textId="77777777" w:rsidTr="00163EFE">
        <w:tblPrEx>
          <w:tblCellMar>
            <w:left w:w="10" w:type="dxa"/>
            <w:right w:w="10" w:type="dxa"/>
          </w:tblCellMar>
          <w:tblLook w:val="04A0" w:firstRow="1" w:lastRow="0" w:firstColumn="1" w:lastColumn="0" w:noHBand="0" w:noVBand="1"/>
        </w:tblPrEx>
        <w:trPr>
          <w:trHeight w:val="397"/>
        </w:trPr>
        <w:tc>
          <w:tcPr>
            <w:tcW w:w="43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1AB702" w14:textId="77777777" w:rsidR="00163EFE" w:rsidRPr="00BB5D57" w:rsidRDefault="00163EFE" w:rsidP="00385590">
            <w:pPr>
              <w:spacing w:after="0"/>
              <w:jc w:val="both"/>
              <w:rPr>
                <w:rFonts w:ascii="Times New Roman" w:hAnsi="Times New Roman" w:cs="Times New Roman"/>
                <w:bCs/>
                <w:lang w:val="en-US"/>
              </w:rPr>
            </w:pPr>
            <w:r w:rsidRPr="00BB5D57">
              <w:rPr>
                <w:rFonts w:ascii="Times New Roman" w:hAnsi="Times New Roman" w:cs="Times New Roman"/>
                <w:bCs/>
                <w:lang w:val="en-US"/>
              </w:rPr>
              <w:t>Insight UAE</w:t>
            </w:r>
            <w:r w:rsidRPr="00BB5D57">
              <w:rPr>
                <w:rFonts w:ascii="Times New Roman" w:hAnsi="Times New Roman" w:cs="Times New Roman"/>
                <w:bCs/>
                <w:lang w:val="en-US"/>
              </w:rPr>
              <w:tab/>
            </w:r>
          </w:p>
          <w:p w14:paraId="20EBAF94" w14:textId="77777777" w:rsidR="00163EFE" w:rsidRPr="00BB5D57" w:rsidRDefault="00163EFE" w:rsidP="00385590">
            <w:pPr>
              <w:spacing w:after="0"/>
              <w:jc w:val="both"/>
              <w:rPr>
                <w:rFonts w:ascii="Times New Roman" w:hAnsi="Times New Roman" w:cs="Times New Roman"/>
                <w:bCs/>
                <w:lang w:val="en-US"/>
              </w:rPr>
            </w:pPr>
          </w:p>
        </w:tc>
        <w:tc>
          <w:tcPr>
            <w:tcW w:w="5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BB912B" w14:textId="77777777" w:rsidR="00163EFE" w:rsidRPr="00BB5D57" w:rsidRDefault="00163EFE" w:rsidP="00385590">
            <w:pPr>
              <w:spacing w:after="0"/>
              <w:jc w:val="both"/>
              <w:rPr>
                <w:rFonts w:ascii="Times New Roman" w:hAnsi="Times New Roman" w:cs="Times New Roman"/>
                <w:bCs/>
                <w:lang w:val="en-US"/>
              </w:rPr>
            </w:pPr>
            <w:r w:rsidRPr="00BB5D57">
              <w:rPr>
                <w:rFonts w:ascii="Times New Roman" w:hAnsi="Times New Roman" w:cs="Times New Roman"/>
                <w:bCs/>
                <w:lang w:val="en-US"/>
              </w:rPr>
              <w:t>John Paravalos, Managing Director</w:t>
            </w:r>
            <w:r w:rsidRPr="00BB5D57">
              <w:rPr>
                <w:rFonts w:ascii="Times New Roman" w:hAnsi="Times New Roman" w:cs="Times New Roman"/>
                <w:bCs/>
                <w:lang w:val="en-US"/>
              </w:rPr>
              <w:tab/>
            </w:r>
          </w:p>
          <w:p w14:paraId="12BCCE47" w14:textId="77777777" w:rsidR="00163EFE" w:rsidRPr="00BB5D57" w:rsidRDefault="00163EFE" w:rsidP="00385590">
            <w:pPr>
              <w:spacing w:after="0"/>
              <w:jc w:val="both"/>
              <w:rPr>
                <w:rFonts w:ascii="Times New Roman" w:hAnsi="Times New Roman" w:cs="Times New Roman"/>
                <w:bCs/>
                <w:lang w:val="en-US"/>
              </w:rPr>
            </w:pPr>
            <w:r w:rsidRPr="00BB5D57">
              <w:rPr>
                <w:rFonts w:ascii="Times New Roman" w:hAnsi="Times New Roman" w:cs="Times New Roman"/>
                <w:bCs/>
                <w:lang w:val="en-US"/>
              </w:rPr>
              <w:t>00971 566044205, Dubai</w:t>
            </w:r>
          </w:p>
          <w:p w14:paraId="70424159" w14:textId="77777777" w:rsidR="00163EFE" w:rsidRPr="00BB5D57" w:rsidRDefault="00022BD6" w:rsidP="00385590">
            <w:pPr>
              <w:spacing w:after="0"/>
              <w:jc w:val="both"/>
              <w:rPr>
                <w:rFonts w:ascii="Times New Roman" w:hAnsi="Times New Roman" w:cs="Times New Roman"/>
                <w:bCs/>
                <w:lang w:val="en-US"/>
              </w:rPr>
            </w:pPr>
            <w:hyperlink r:id="rId249" w:history="1">
              <w:r w:rsidR="00163EFE" w:rsidRPr="00163EFE">
                <w:rPr>
                  <w:rStyle w:val="Hyperlink"/>
                  <w:rFonts w:ascii="Times New Roman" w:hAnsi="Times New Roman" w:cs="Times New Roman"/>
                  <w:bCs/>
                  <w:lang w:val="en-US"/>
                </w:rPr>
                <w:t>j.paravalos@insightuae.com</w:t>
              </w:r>
            </w:hyperlink>
            <w:r w:rsidR="00163EFE" w:rsidRPr="00BB5D57">
              <w:rPr>
                <w:rFonts w:ascii="Times New Roman" w:hAnsi="Times New Roman" w:cs="Times New Roman"/>
                <w:bCs/>
                <w:lang w:val="en-US"/>
              </w:rPr>
              <w:t xml:space="preserve">, </w:t>
            </w:r>
            <w:hyperlink r:id="rId250" w:history="1">
              <w:r w:rsidR="00163EFE" w:rsidRPr="00163EFE">
                <w:rPr>
                  <w:rStyle w:val="Hyperlink"/>
                  <w:rFonts w:ascii="Times New Roman" w:hAnsi="Times New Roman" w:cs="Times New Roman"/>
                  <w:bCs/>
                  <w:lang w:val="en-US"/>
                </w:rPr>
                <w:t>www.insightuae.com</w:t>
              </w:r>
            </w:hyperlink>
            <w:r w:rsidR="00163EFE" w:rsidRPr="00BB5D57">
              <w:rPr>
                <w:rFonts w:ascii="Times New Roman" w:hAnsi="Times New Roman" w:cs="Times New Roman"/>
                <w:bCs/>
                <w:lang w:val="en-US"/>
              </w:rPr>
              <w:t xml:space="preserve"> </w:t>
            </w:r>
          </w:p>
        </w:tc>
      </w:tr>
      <w:tr w:rsidR="004E6FC1" w:rsidRPr="00022BD6" w14:paraId="7C5A3AD6" w14:textId="77777777" w:rsidTr="007722AB">
        <w:tblPrEx>
          <w:tblCellMar>
            <w:left w:w="10" w:type="dxa"/>
            <w:right w:w="10" w:type="dxa"/>
          </w:tblCellMar>
          <w:tblLook w:val="04A0" w:firstRow="1" w:lastRow="0" w:firstColumn="1" w:lastColumn="0" w:noHBand="0" w:noVBand="1"/>
        </w:tblPrEx>
        <w:trPr>
          <w:trHeight w:val="397"/>
        </w:trPr>
        <w:tc>
          <w:tcPr>
            <w:tcW w:w="4320" w:type="dxa"/>
            <w:shd w:val="clear" w:color="auto" w:fill="auto"/>
            <w:tcMar>
              <w:top w:w="0" w:type="dxa"/>
              <w:left w:w="108" w:type="dxa"/>
              <w:bottom w:w="0" w:type="dxa"/>
              <w:right w:w="108" w:type="dxa"/>
            </w:tcMar>
          </w:tcPr>
          <w:p w14:paraId="7A1513E9" w14:textId="77777777" w:rsidR="004E6FC1" w:rsidRPr="00BB5D57" w:rsidRDefault="004E6FC1" w:rsidP="007722AB">
            <w:pPr>
              <w:spacing w:after="0"/>
              <w:jc w:val="both"/>
              <w:rPr>
                <w:rFonts w:ascii="Times New Roman" w:hAnsi="Times New Roman" w:cs="Times New Roman"/>
                <w:bCs/>
                <w:lang w:val="en-US"/>
              </w:rPr>
            </w:pPr>
            <w:r w:rsidRPr="00BB5D57">
              <w:rPr>
                <w:rFonts w:ascii="Times New Roman" w:hAnsi="Times New Roman" w:cs="Times New Roman"/>
                <w:bCs/>
                <w:lang w:val="en-US"/>
              </w:rPr>
              <w:t>HCS Hadjihannas Corporate Services</w:t>
            </w:r>
            <w:r w:rsidRPr="00BB5D57">
              <w:rPr>
                <w:rFonts w:ascii="Times New Roman" w:hAnsi="Times New Roman" w:cs="Times New Roman"/>
                <w:bCs/>
                <w:lang w:val="en-US"/>
              </w:rPr>
              <w:tab/>
            </w:r>
          </w:p>
          <w:p w14:paraId="15A9BBAC" w14:textId="77777777" w:rsidR="004E6FC1" w:rsidRPr="00BB5D57" w:rsidRDefault="004E6FC1" w:rsidP="007722AB">
            <w:pPr>
              <w:spacing w:after="0"/>
              <w:jc w:val="both"/>
              <w:rPr>
                <w:rFonts w:ascii="Times New Roman" w:hAnsi="Times New Roman" w:cs="Times New Roman"/>
                <w:bCs/>
                <w:lang w:val="en-US"/>
              </w:rPr>
            </w:pPr>
          </w:p>
        </w:tc>
        <w:tc>
          <w:tcPr>
            <w:tcW w:w="5130" w:type="dxa"/>
            <w:shd w:val="clear" w:color="auto" w:fill="auto"/>
            <w:tcMar>
              <w:top w:w="0" w:type="dxa"/>
              <w:left w:w="108" w:type="dxa"/>
              <w:bottom w:w="0" w:type="dxa"/>
              <w:right w:w="108" w:type="dxa"/>
            </w:tcMar>
          </w:tcPr>
          <w:p w14:paraId="2B9169DC" w14:textId="77777777" w:rsidR="004E6FC1" w:rsidRPr="00BB5D57" w:rsidRDefault="004E6FC1" w:rsidP="007722AB">
            <w:pPr>
              <w:spacing w:after="0"/>
              <w:jc w:val="both"/>
              <w:rPr>
                <w:rFonts w:ascii="Times New Roman" w:hAnsi="Times New Roman" w:cs="Times New Roman"/>
                <w:bCs/>
                <w:lang w:val="en-US"/>
              </w:rPr>
            </w:pPr>
            <w:r w:rsidRPr="00BB5D57">
              <w:rPr>
                <w:rFonts w:ascii="Times New Roman" w:hAnsi="Times New Roman" w:cs="Times New Roman"/>
                <w:bCs/>
                <w:lang w:val="en-US"/>
              </w:rPr>
              <w:t>Joseph G. Hadjihannas, Managing Director</w:t>
            </w:r>
          </w:p>
          <w:p w14:paraId="0496F57E" w14:textId="77777777" w:rsidR="004E6FC1" w:rsidRPr="00BB5D57" w:rsidRDefault="004E6FC1" w:rsidP="007722AB">
            <w:pPr>
              <w:spacing w:after="0"/>
              <w:jc w:val="both"/>
              <w:rPr>
                <w:rFonts w:ascii="Times New Roman" w:hAnsi="Times New Roman" w:cs="Times New Roman"/>
                <w:bCs/>
                <w:lang w:val="en-US"/>
              </w:rPr>
            </w:pPr>
            <w:r w:rsidRPr="00BB5D57">
              <w:rPr>
                <w:rFonts w:ascii="Times New Roman" w:hAnsi="Times New Roman" w:cs="Times New Roman"/>
                <w:bCs/>
                <w:lang w:val="en-US"/>
              </w:rPr>
              <w:t>+35797777777, Ras Al Khaimah</w:t>
            </w:r>
            <w:r w:rsidRPr="00BB5D57">
              <w:rPr>
                <w:rFonts w:ascii="Times New Roman" w:hAnsi="Times New Roman" w:cs="Times New Roman"/>
                <w:bCs/>
                <w:lang w:val="en-US"/>
              </w:rPr>
              <w:tab/>
            </w:r>
          </w:p>
          <w:p w14:paraId="2E548AB6" w14:textId="77777777" w:rsidR="004E6FC1" w:rsidRPr="00BB5D57" w:rsidRDefault="00022BD6" w:rsidP="007722AB">
            <w:pPr>
              <w:spacing w:after="0"/>
              <w:jc w:val="both"/>
              <w:rPr>
                <w:rFonts w:ascii="Times New Roman" w:hAnsi="Times New Roman" w:cs="Times New Roman"/>
                <w:bCs/>
                <w:lang w:val="en-US"/>
              </w:rPr>
            </w:pPr>
            <w:hyperlink r:id="rId251" w:history="1">
              <w:r w:rsidR="004E6FC1" w:rsidRPr="00BB5D57">
                <w:rPr>
                  <w:rStyle w:val="Hyperlink"/>
                  <w:rFonts w:ascii="Times New Roman" w:hAnsi="Times New Roman" w:cs="Times New Roman"/>
                  <w:lang w:val="en-US"/>
                </w:rPr>
                <w:t>joseph@hcs-corporate.com</w:t>
              </w:r>
            </w:hyperlink>
            <w:r w:rsidR="004E6FC1" w:rsidRPr="00BB5D57">
              <w:rPr>
                <w:rFonts w:ascii="Times New Roman" w:hAnsi="Times New Roman" w:cs="Times New Roman"/>
                <w:bCs/>
                <w:lang w:val="en-US"/>
              </w:rPr>
              <w:t xml:space="preserve">, </w:t>
            </w:r>
            <w:hyperlink r:id="rId252" w:history="1">
              <w:r w:rsidR="004E6FC1" w:rsidRPr="00BB5D57">
                <w:rPr>
                  <w:rStyle w:val="Hyperlink"/>
                  <w:rFonts w:ascii="Times New Roman" w:hAnsi="Times New Roman" w:cs="Times New Roman"/>
                  <w:lang w:val="en-US"/>
                </w:rPr>
                <w:t>www.hcs-corporate.com</w:t>
              </w:r>
            </w:hyperlink>
            <w:r w:rsidR="004E6FC1" w:rsidRPr="00BB5D57">
              <w:rPr>
                <w:rFonts w:ascii="Times New Roman" w:hAnsi="Times New Roman" w:cs="Times New Roman"/>
                <w:bCs/>
                <w:lang w:val="en-US"/>
              </w:rPr>
              <w:t xml:space="preserve">  </w:t>
            </w:r>
          </w:p>
        </w:tc>
      </w:tr>
      <w:tr w:rsidR="004E6FC1" w:rsidRPr="00163EFE" w14:paraId="007111DF" w14:textId="77777777" w:rsidTr="007722AB">
        <w:tblPrEx>
          <w:tblCellMar>
            <w:left w:w="10" w:type="dxa"/>
            <w:right w:w="10" w:type="dxa"/>
          </w:tblCellMar>
          <w:tblLook w:val="04A0" w:firstRow="1" w:lastRow="0" w:firstColumn="1" w:lastColumn="0" w:noHBand="0" w:noVBand="1"/>
        </w:tblPrEx>
        <w:trPr>
          <w:trHeight w:val="397"/>
        </w:trPr>
        <w:tc>
          <w:tcPr>
            <w:tcW w:w="4320" w:type="dxa"/>
            <w:shd w:val="clear" w:color="auto" w:fill="auto"/>
            <w:tcMar>
              <w:top w:w="0" w:type="dxa"/>
              <w:left w:w="108" w:type="dxa"/>
              <w:bottom w:w="0" w:type="dxa"/>
              <w:right w:w="108" w:type="dxa"/>
            </w:tcMar>
          </w:tcPr>
          <w:p w14:paraId="2C9011F7" w14:textId="1EFFB2C1" w:rsidR="004E6FC1" w:rsidRPr="00163EFE" w:rsidRDefault="00163EFE" w:rsidP="007722AB">
            <w:pPr>
              <w:spacing w:after="0"/>
              <w:jc w:val="both"/>
              <w:rPr>
                <w:rFonts w:ascii="Times New Roman" w:hAnsi="Times New Roman" w:cs="Times New Roman"/>
                <w:bCs/>
                <w:lang w:val="en-US"/>
              </w:rPr>
            </w:pPr>
            <w:r>
              <w:rPr>
                <w:rFonts w:ascii="Times New Roman" w:hAnsi="Times New Roman" w:cs="Times New Roman"/>
                <w:bCs/>
                <w:lang w:val="en-US"/>
              </w:rPr>
              <w:t>Stephenson Harwood ME</w:t>
            </w:r>
          </w:p>
        </w:tc>
        <w:tc>
          <w:tcPr>
            <w:tcW w:w="5130" w:type="dxa"/>
            <w:shd w:val="clear" w:color="auto" w:fill="auto"/>
            <w:tcMar>
              <w:top w:w="0" w:type="dxa"/>
              <w:left w:w="108" w:type="dxa"/>
              <w:bottom w:w="0" w:type="dxa"/>
              <w:right w:w="108" w:type="dxa"/>
            </w:tcMar>
          </w:tcPr>
          <w:p w14:paraId="2E0DEBB3" w14:textId="77777777" w:rsidR="004E6FC1" w:rsidRPr="00BB5D57" w:rsidRDefault="004E6FC1" w:rsidP="007722AB">
            <w:pPr>
              <w:spacing w:after="0"/>
              <w:jc w:val="both"/>
              <w:rPr>
                <w:rFonts w:ascii="Times New Roman" w:hAnsi="Times New Roman" w:cs="Times New Roman"/>
                <w:bCs/>
                <w:lang w:val="en-US"/>
              </w:rPr>
            </w:pPr>
            <w:r w:rsidRPr="00BB5D57">
              <w:rPr>
                <w:rFonts w:ascii="Times New Roman" w:hAnsi="Times New Roman" w:cs="Times New Roman"/>
                <w:bCs/>
                <w:lang w:val="en-US"/>
              </w:rPr>
              <w:t>Paul Katsouris, Associate</w:t>
            </w:r>
            <w:r w:rsidRPr="00BB5D57">
              <w:rPr>
                <w:rFonts w:ascii="Times New Roman" w:hAnsi="Times New Roman" w:cs="Times New Roman"/>
                <w:bCs/>
                <w:lang w:val="en-US"/>
              </w:rPr>
              <w:tab/>
            </w:r>
          </w:p>
          <w:p w14:paraId="671809FE" w14:textId="4AC17246" w:rsidR="004E6FC1" w:rsidRPr="00BB5D57" w:rsidRDefault="004E6FC1" w:rsidP="007722AB">
            <w:pPr>
              <w:spacing w:after="0"/>
              <w:jc w:val="both"/>
              <w:rPr>
                <w:rFonts w:ascii="Times New Roman" w:hAnsi="Times New Roman" w:cs="Times New Roman"/>
                <w:bCs/>
                <w:lang w:val="en-US"/>
              </w:rPr>
            </w:pPr>
            <w:r w:rsidRPr="00BB5D57">
              <w:rPr>
                <w:rFonts w:ascii="Times New Roman" w:hAnsi="Times New Roman" w:cs="Times New Roman"/>
                <w:bCs/>
                <w:lang w:val="en-US"/>
              </w:rPr>
              <w:t>Tel.+9715</w:t>
            </w:r>
            <w:r w:rsidR="00163EFE">
              <w:rPr>
                <w:rFonts w:ascii="Times New Roman" w:hAnsi="Times New Roman" w:cs="Times New Roman"/>
                <w:bCs/>
                <w:lang w:val="en-US"/>
              </w:rPr>
              <w:t>51169357</w:t>
            </w:r>
            <w:r w:rsidRPr="00BB5D57">
              <w:rPr>
                <w:rFonts w:ascii="Times New Roman" w:hAnsi="Times New Roman" w:cs="Times New Roman"/>
                <w:bCs/>
                <w:lang w:val="en-US"/>
              </w:rPr>
              <w:t>, Dubai</w:t>
            </w:r>
          </w:p>
          <w:p w14:paraId="361B4FC8" w14:textId="77777777" w:rsidR="00163EFE" w:rsidRDefault="00022BD6" w:rsidP="007722AB">
            <w:pPr>
              <w:spacing w:after="0"/>
              <w:jc w:val="both"/>
              <w:rPr>
                <w:rFonts w:ascii="Times New Roman" w:hAnsi="Times New Roman" w:cs="Times New Roman"/>
                <w:bCs/>
                <w:lang w:val="en-US"/>
              </w:rPr>
            </w:pPr>
            <w:hyperlink r:id="rId253" w:history="1">
              <w:r w:rsidR="00163EFE" w:rsidRPr="00F65695">
                <w:rPr>
                  <w:rStyle w:val="Hyperlink"/>
                  <w:rFonts w:ascii="Times New Roman" w:hAnsi="Times New Roman" w:cs="Times New Roman"/>
                  <w:bCs/>
                  <w:lang w:val="en-US"/>
                </w:rPr>
                <w:t>Paul.Katsouris@shlegal.com</w:t>
              </w:r>
            </w:hyperlink>
            <w:r w:rsidR="00163EFE">
              <w:rPr>
                <w:rFonts w:ascii="Times New Roman" w:hAnsi="Times New Roman" w:cs="Times New Roman"/>
                <w:bCs/>
                <w:lang w:val="en-US"/>
              </w:rPr>
              <w:t xml:space="preserve"> </w:t>
            </w:r>
          </w:p>
          <w:p w14:paraId="743A6CE9" w14:textId="73072EF5" w:rsidR="004E6FC1" w:rsidRPr="00BB5D57" w:rsidRDefault="00022BD6" w:rsidP="007722AB">
            <w:pPr>
              <w:spacing w:after="0"/>
              <w:jc w:val="both"/>
              <w:rPr>
                <w:rFonts w:ascii="Times New Roman" w:hAnsi="Times New Roman" w:cs="Times New Roman"/>
                <w:bCs/>
                <w:lang w:val="en-US"/>
              </w:rPr>
            </w:pPr>
            <w:hyperlink r:id="rId254" w:history="1">
              <w:r w:rsidR="00163EFE" w:rsidRPr="00F65695">
                <w:rPr>
                  <w:rStyle w:val="Hyperlink"/>
                  <w:rFonts w:ascii="Times New Roman" w:hAnsi="Times New Roman" w:cs="Times New Roman"/>
                  <w:bCs/>
                  <w:lang w:val="en-US"/>
                </w:rPr>
                <w:t>www.shlegal.com</w:t>
              </w:r>
            </w:hyperlink>
            <w:r w:rsidR="00163EFE">
              <w:rPr>
                <w:rFonts w:ascii="Times New Roman" w:hAnsi="Times New Roman" w:cs="Times New Roman"/>
                <w:bCs/>
                <w:lang w:val="en-US"/>
              </w:rPr>
              <w:t xml:space="preserve"> </w:t>
            </w:r>
            <w:r w:rsidR="004E6FC1" w:rsidRPr="00BB5D57">
              <w:rPr>
                <w:rFonts w:ascii="Times New Roman" w:hAnsi="Times New Roman" w:cs="Times New Roman"/>
                <w:bCs/>
                <w:lang w:val="en-US"/>
              </w:rPr>
              <w:t xml:space="preserve"> </w:t>
            </w:r>
          </w:p>
        </w:tc>
      </w:tr>
      <w:tr w:rsidR="00163EFE" w:rsidRPr="001B61FA" w14:paraId="2AE78BF9" w14:textId="77777777" w:rsidTr="00163EFE">
        <w:tblPrEx>
          <w:tblCellMar>
            <w:left w:w="10" w:type="dxa"/>
            <w:right w:w="10" w:type="dxa"/>
          </w:tblCellMar>
          <w:tblLook w:val="04A0" w:firstRow="1" w:lastRow="0" w:firstColumn="1" w:lastColumn="0" w:noHBand="0" w:noVBand="1"/>
        </w:tblPrEx>
        <w:trPr>
          <w:trHeight w:val="397"/>
        </w:trPr>
        <w:tc>
          <w:tcPr>
            <w:tcW w:w="43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12FAA6" w14:textId="77777777" w:rsidR="00163EFE" w:rsidRPr="00BB5D57" w:rsidRDefault="00163EFE" w:rsidP="00385590">
            <w:pPr>
              <w:spacing w:after="0"/>
              <w:jc w:val="both"/>
              <w:rPr>
                <w:rFonts w:ascii="Times New Roman" w:hAnsi="Times New Roman" w:cs="Times New Roman"/>
                <w:bCs/>
                <w:lang w:val="en-US"/>
              </w:rPr>
            </w:pPr>
            <w:r w:rsidRPr="00BB5D57">
              <w:rPr>
                <w:rFonts w:ascii="Times New Roman" w:hAnsi="Times New Roman" w:cs="Times New Roman"/>
                <w:bCs/>
                <w:lang w:val="en-US"/>
              </w:rPr>
              <w:t xml:space="preserve">Sasha Taktikou </w:t>
            </w:r>
          </w:p>
        </w:tc>
        <w:tc>
          <w:tcPr>
            <w:tcW w:w="5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266CF9" w14:textId="77777777" w:rsidR="00163EFE" w:rsidRPr="00BB5D57" w:rsidRDefault="00163EFE" w:rsidP="00385590">
            <w:pPr>
              <w:spacing w:after="0"/>
              <w:jc w:val="both"/>
              <w:rPr>
                <w:rFonts w:ascii="Times New Roman" w:hAnsi="Times New Roman" w:cs="Times New Roman"/>
                <w:bCs/>
                <w:lang w:val="en-US"/>
              </w:rPr>
            </w:pPr>
            <w:r w:rsidRPr="00BB5D57">
              <w:rPr>
                <w:rFonts w:ascii="Times New Roman" w:hAnsi="Times New Roman" w:cs="Times New Roman"/>
                <w:bCs/>
                <w:lang w:val="en-US"/>
              </w:rPr>
              <w:t>Legal Counsel</w:t>
            </w:r>
          </w:p>
          <w:p w14:paraId="112F6EEA" w14:textId="77777777" w:rsidR="00163EFE" w:rsidRPr="00BB5D57" w:rsidRDefault="00163EFE" w:rsidP="00385590">
            <w:pPr>
              <w:spacing w:after="0"/>
              <w:jc w:val="both"/>
              <w:rPr>
                <w:rFonts w:ascii="Times New Roman" w:hAnsi="Times New Roman" w:cs="Times New Roman"/>
                <w:bCs/>
                <w:lang w:val="en-US"/>
              </w:rPr>
            </w:pPr>
            <w:r w:rsidRPr="00BB5D57">
              <w:rPr>
                <w:rFonts w:ascii="Times New Roman" w:hAnsi="Times New Roman" w:cs="Times New Roman"/>
                <w:bCs/>
                <w:lang w:val="en-US"/>
              </w:rPr>
              <w:t>00971 507989562, Dubai</w:t>
            </w:r>
            <w:r w:rsidRPr="00BB5D57">
              <w:rPr>
                <w:rFonts w:ascii="Times New Roman" w:hAnsi="Times New Roman" w:cs="Times New Roman"/>
                <w:bCs/>
                <w:lang w:val="en-US"/>
              </w:rPr>
              <w:tab/>
            </w:r>
          </w:p>
          <w:p w14:paraId="63BED468" w14:textId="77777777" w:rsidR="00163EFE" w:rsidRPr="00BB5D57" w:rsidRDefault="00163EFE" w:rsidP="00385590">
            <w:pPr>
              <w:spacing w:after="0"/>
              <w:jc w:val="both"/>
              <w:rPr>
                <w:rFonts w:ascii="Times New Roman" w:hAnsi="Times New Roman" w:cs="Times New Roman"/>
                <w:bCs/>
                <w:lang w:val="en-US"/>
              </w:rPr>
            </w:pPr>
          </w:p>
        </w:tc>
      </w:tr>
    </w:tbl>
    <w:p w14:paraId="18BC3D23" w14:textId="77777777" w:rsidR="004E6FC1" w:rsidRDefault="004E6FC1" w:rsidP="004E6FC1">
      <w:pPr>
        <w:spacing w:after="0"/>
        <w:jc w:val="both"/>
        <w:rPr>
          <w:rFonts w:ascii="Century Gothic" w:hAnsi="Century Gothic"/>
          <w:lang w:val="en-GB"/>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482"/>
      </w:tblGrid>
      <w:tr w:rsidR="004E6FC1" w:rsidRPr="00BB5D57" w14:paraId="049BBE7B" w14:textId="77777777" w:rsidTr="004E6FC1">
        <w:trPr>
          <w:trHeight w:hRule="exact" w:val="535"/>
        </w:trPr>
        <w:tc>
          <w:tcPr>
            <w:tcW w:w="9360" w:type="dxa"/>
            <w:gridSpan w:val="2"/>
            <w:shd w:val="pct15" w:color="auto" w:fill="FFFFFF"/>
            <w:vAlign w:val="center"/>
          </w:tcPr>
          <w:p w14:paraId="08822A41" w14:textId="5D1A8820" w:rsidR="004E6FC1" w:rsidRPr="00BB5D57" w:rsidRDefault="004E6FC1" w:rsidP="00B86CFF">
            <w:r w:rsidRPr="00670C61">
              <w:rPr>
                <w:lang w:val="en-AE"/>
              </w:rPr>
              <w:br w:type="page"/>
            </w:r>
            <w:r w:rsidRPr="00670C61">
              <w:rPr>
                <w:lang w:val="en-AE"/>
              </w:rPr>
              <w:br w:type="page"/>
            </w:r>
            <w:bookmarkStart w:id="61" w:name="_Toc136423637"/>
            <w:r w:rsidR="00B86CFF" w:rsidRPr="00B86CFF">
              <w:rPr>
                <w:rFonts w:asciiTheme="majorHAnsi" w:hAnsiTheme="majorHAnsi"/>
                <w:b/>
                <w:color w:val="548DD4" w:themeColor="text2" w:themeTint="99"/>
                <w:sz w:val="26"/>
                <w:szCs w:val="26"/>
              </w:rPr>
              <w:t>5.5</w:t>
            </w:r>
            <w:r w:rsidR="00B86CFF">
              <w:t xml:space="preserve"> </w:t>
            </w:r>
            <w:r w:rsidRPr="00B86CFF">
              <w:rPr>
                <w:rFonts w:asciiTheme="majorHAnsi" w:hAnsiTheme="majorHAnsi"/>
                <w:b/>
                <w:color w:val="548DD4" w:themeColor="text2" w:themeTint="99"/>
                <w:sz w:val="26"/>
                <w:szCs w:val="26"/>
              </w:rPr>
              <w:t>Γενικές Πληροφορίες - Τύπος</w:t>
            </w:r>
            <w:bookmarkEnd w:id="61"/>
          </w:p>
        </w:tc>
      </w:tr>
      <w:tr w:rsidR="004E6FC1" w:rsidRPr="00420E95" w14:paraId="366651DF" w14:textId="77777777" w:rsidTr="007722AB">
        <w:tblPrEx>
          <w:tblCellMar>
            <w:left w:w="10" w:type="dxa"/>
            <w:right w:w="10" w:type="dxa"/>
          </w:tblCellMar>
          <w:tblLook w:val="04A0" w:firstRow="1" w:lastRow="0" w:firstColumn="1" w:lastColumn="0" w:noHBand="0" w:noVBand="1"/>
        </w:tblPrEx>
        <w:trPr>
          <w:trHeight w:val="397"/>
        </w:trPr>
        <w:tc>
          <w:tcPr>
            <w:tcW w:w="4878" w:type="dxa"/>
            <w:shd w:val="clear" w:color="auto" w:fill="auto"/>
            <w:tcMar>
              <w:top w:w="0" w:type="dxa"/>
              <w:left w:w="108" w:type="dxa"/>
              <w:bottom w:w="0" w:type="dxa"/>
              <w:right w:w="108" w:type="dxa"/>
            </w:tcMar>
          </w:tcPr>
          <w:p w14:paraId="65E7375E" w14:textId="77777777" w:rsidR="004E6FC1" w:rsidRPr="00420E95" w:rsidRDefault="004E6FC1" w:rsidP="007722AB">
            <w:pPr>
              <w:spacing w:after="0"/>
              <w:jc w:val="both"/>
              <w:rPr>
                <w:rFonts w:ascii="Times New Roman" w:hAnsi="Times New Roman" w:cs="Times New Roman"/>
                <w:bCs/>
              </w:rPr>
            </w:pPr>
            <w:r w:rsidRPr="00420E95">
              <w:rPr>
                <w:rFonts w:ascii="Times New Roman" w:hAnsi="Times New Roman" w:cs="Times New Roman"/>
                <w:bCs/>
                <w:iCs/>
                <w:lang w:val="en-GB"/>
              </w:rPr>
              <w:t>Emirates</w:t>
            </w:r>
            <w:r w:rsidRPr="00420E95">
              <w:rPr>
                <w:rFonts w:ascii="Times New Roman" w:hAnsi="Times New Roman" w:cs="Times New Roman"/>
                <w:bCs/>
                <w:iCs/>
              </w:rPr>
              <w:t xml:space="preserve"> </w:t>
            </w:r>
            <w:r w:rsidRPr="00420E95">
              <w:rPr>
                <w:rFonts w:ascii="Times New Roman" w:hAnsi="Times New Roman" w:cs="Times New Roman"/>
                <w:bCs/>
                <w:iCs/>
                <w:lang w:val="en-GB"/>
              </w:rPr>
              <w:t>News</w:t>
            </w:r>
            <w:r w:rsidRPr="00420E95">
              <w:rPr>
                <w:rFonts w:ascii="Times New Roman" w:hAnsi="Times New Roman" w:cs="Times New Roman"/>
                <w:bCs/>
                <w:iCs/>
              </w:rPr>
              <w:t xml:space="preserve"> </w:t>
            </w:r>
            <w:r w:rsidRPr="00420E95">
              <w:rPr>
                <w:rFonts w:ascii="Times New Roman" w:hAnsi="Times New Roman" w:cs="Times New Roman"/>
                <w:bCs/>
                <w:iCs/>
                <w:lang w:val="en-GB"/>
              </w:rPr>
              <w:t>Agency</w:t>
            </w:r>
          </w:p>
        </w:tc>
        <w:tc>
          <w:tcPr>
            <w:tcW w:w="4482" w:type="dxa"/>
            <w:shd w:val="clear" w:color="auto" w:fill="auto"/>
            <w:tcMar>
              <w:top w:w="0" w:type="dxa"/>
              <w:left w:w="108" w:type="dxa"/>
              <w:bottom w:w="0" w:type="dxa"/>
              <w:right w:w="108" w:type="dxa"/>
            </w:tcMar>
          </w:tcPr>
          <w:p w14:paraId="7244044F" w14:textId="77777777" w:rsidR="004E6FC1" w:rsidRPr="00420E95" w:rsidRDefault="00022BD6" w:rsidP="007722AB">
            <w:pPr>
              <w:spacing w:after="0"/>
              <w:jc w:val="both"/>
              <w:rPr>
                <w:rFonts w:ascii="Times New Roman" w:hAnsi="Times New Roman" w:cs="Times New Roman"/>
                <w:bCs/>
              </w:rPr>
            </w:pPr>
            <w:hyperlink r:id="rId255" w:history="1">
              <w:r w:rsidR="004E6FC1" w:rsidRPr="00420E95">
                <w:rPr>
                  <w:rStyle w:val="Hyperlink"/>
                  <w:rFonts w:ascii="Times New Roman" w:hAnsi="Times New Roman" w:cs="Times New Roman"/>
                </w:rPr>
                <w:t>http://wam.ae/en</w:t>
              </w:r>
            </w:hyperlink>
            <w:r w:rsidR="004E6FC1" w:rsidRPr="00420E95">
              <w:rPr>
                <w:rFonts w:ascii="Times New Roman" w:hAnsi="Times New Roman" w:cs="Times New Roman"/>
                <w:bCs/>
              </w:rPr>
              <w:t xml:space="preserve"> </w:t>
            </w:r>
          </w:p>
        </w:tc>
      </w:tr>
      <w:tr w:rsidR="004E6FC1" w:rsidRPr="00420E95" w14:paraId="13CF4CF9"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5FA591" w14:textId="77777777" w:rsidR="004E6FC1" w:rsidRPr="00420E95" w:rsidRDefault="004E6FC1" w:rsidP="007722AB">
            <w:pPr>
              <w:spacing w:after="0"/>
              <w:jc w:val="both"/>
              <w:rPr>
                <w:rFonts w:ascii="Times New Roman" w:hAnsi="Times New Roman" w:cs="Times New Roman"/>
                <w:bCs/>
                <w:iCs/>
                <w:lang w:val="en-GB"/>
              </w:rPr>
            </w:pPr>
            <w:r w:rsidRPr="00420E95">
              <w:rPr>
                <w:rFonts w:ascii="Times New Roman" w:hAnsi="Times New Roman" w:cs="Times New Roman"/>
                <w:bCs/>
                <w:iCs/>
                <w:lang w:val="en-GB"/>
              </w:rPr>
              <w:t>The National</w:t>
            </w:r>
          </w:p>
        </w:tc>
        <w:tc>
          <w:tcPr>
            <w:tcW w:w="44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5F5F15" w14:textId="77777777" w:rsidR="004E6FC1" w:rsidRPr="00420E95" w:rsidRDefault="00022BD6" w:rsidP="007722AB">
            <w:pPr>
              <w:spacing w:after="0"/>
              <w:jc w:val="both"/>
              <w:rPr>
                <w:rFonts w:ascii="Times New Roman" w:hAnsi="Times New Roman" w:cs="Times New Roman"/>
                <w:bCs/>
              </w:rPr>
            </w:pPr>
            <w:hyperlink r:id="rId256" w:history="1">
              <w:r w:rsidR="004E6FC1" w:rsidRPr="00420E95">
                <w:rPr>
                  <w:rStyle w:val="Hyperlink"/>
                  <w:rFonts w:ascii="Times New Roman" w:hAnsi="Times New Roman" w:cs="Times New Roman"/>
                </w:rPr>
                <w:t>http://www.thena</w:t>
              </w:r>
              <w:bookmarkStart w:id="62" w:name="_Hlt357706540"/>
              <w:r w:rsidR="004E6FC1" w:rsidRPr="00420E95">
                <w:rPr>
                  <w:rStyle w:val="Hyperlink"/>
                  <w:rFonts w:ascii="Times New Roman" w:hAnsi="Times New Roman" w:cs="Times New Roman"/>
                </w:rPr>
                <w:t>t</w:t>
              </w:r>
              <w:bookmarkEnd w:id="62"/>
              <w:r w:rsidR="004E6FC1" w:rsidRPr="00420E95">
                <w:rPr>
                  <w:rStyle w:val="Hyperlink"/>
                  <w:rFonts w:ascii="Times New Roman" w:hAnsi="Times New Roman" w:cs="Times New Roman"/>
                </w:rPr>
                <w:t>ional.ae/</w:t>
              </w:r>
            </w:hyperlink>
            <w:r w:rsidR="004E6FC1" w:rsidRPr="00420E95">
              <w:rPr>
                <w:rFonts w:ascii="Times New Roman" w:hAnsi="Times New Roman" w:cs="Times New Roman"/>
                <w:bCs/>
              </w:rPr>
              <w:t xml:space="preserve">     </w:t>
            </w:r>
          </w:p>
        </w:tc>
      </w:tr>
      <w:tr w:rsidR="004E6FC1" w:rsidRPr="00420E95" w14:paraId="4D38D72B" w14:textId="77777777" w:rsidTr="007722AB">
        <w:tblPrEx>
          <w:tblCellMar>
            <w:left w:w="10" w:type="dxa"/>
            <w:right w:w="10" w:type="dxa"/>
          </w:tblCellMar>
          <w:tblLook w:val="04A0" w:firstRow="1" w:lastRow="0" w:firstColumn="1" w:lastColumn="0" w:noHBand="0" w:noVBand="1"/>
        </w:tblPrEx>
        <w:trPr>
          <w:trHeight w:val="397"/>
        </w:trPr>
        <w:tc>
          <w:tcPr>
            <w:tcW w:w="4878" w:type="dxa"/>
            <w:shd w:val="clear" w:color="auto" w:fill="auto"/>
            <w:tcMar>
              <w:top w:w="0" w:type="dxa"/>
              <w:left w:w="108" w:type="dxa"/>
              <w:bottom w:w="0" w:type="dxa"/>
              <w:right w:w="108" w:type="dxa"/>
            </w:tcMar>
          </w:tcPr>
          <w:p w14:paraId="12C8A39B" w14:textId="77777777" w:rsidR="004E6FC1" w:rsidRPr="00420E95" w:rsidRDefault="004E6FC1" w:rsidP="007722AB">
            <w:pPr>
              <w:spacing w:after="0"/>
              <w:jc w:val="both"/>
              <w:rPr>
                <w:rFonts w:ascii="Times New Roman" w:hAnsi="Times New Roman" w:cs="Times New Roman"/>
                <w:bCs/>
              </w:rPr>
            </w:pPr>
            <w:r w:rsidRPr="00420E95">
              <w:rPr>
                <w:rFonts w:ascii="Times New Roman" w:hAnsi="Times New Roman" w:cs="Times New Roman"/>
                <w:bCs/>
                <w:iCs/>
                <w:lang w:val="en-GB"/>
              </w:rPr>
              <w:t>Gulf News</w:t>
            </w:r>
          </w:p>
        </w:tc>
        <w:tc>
          <w:tcPr>
            <w:tcW w:w="4482" w:type="dxa"/>
            <w:shd w:val="clear" w:color="auto" w:fill="auto"/>
            <w:tcMar>
              <w:top w:w="0" w:type="dxa"/>
              <w:left w:w="108" w:type="dxa"/>
              <w:bottom w:w="0" w:type="dxa"/>
              <w:right w:w="108" w:type="dxa"/>
            </w:tcMar>
          </w:tcPr>
          <w:p w14:paraId="36393F29" w14:textId="77777777" w:rsidR="004E6FC1" w:rsidRPr="00420E95" w:rsidRDefault="00022BD6" w:rsidP="007722AB">
            <w:pPr>
              <w:spacing w:after="0"/>
              <w:jc w:val="both"/>
              <w:rPr>
                <w:rFonts w:ascii="Times New Roman" w:hAnsi="Times New Roman" w:cs="Times New Roman"/>
                <w:bCs/>
              </w:rPr>
            </w:pPr>
            <w:hyperlink r:id="rId257" w:history="1">
              <w:r w:rsidR="004E6FC1" w:rsidRPr="00420E95">
                <w:rPr>
                  <w:rStyle w:val="Hyperlink"/>
                  <w:rFonts w:ascii="Times New Roman" w:hAnsi="Times New Roman" w:cs="Times New Roman"/>
                  <w:iCs/>
                  <w:lang w:val="en-GB"/>
                </w:rPr>
                <w:t>http://gulfn</w:t>
              </w:r>
              <w:bookmarkStart w:id="63" w:name="_Hlt357706528"/>
              <w:r w:rsidR="004E6FC1" w:rsidRPr="00420E95">
                <w:rPr>
                  <w:rStyle w:val="Hyperlink"/>
                  <w:rFonts w:ascii="Times New Roman" w:hAnsi="Times New Roman" w:cs="Times New Roman"/>
                  <w:iCs/>
                  <w:lang w:val="en-GB"/>
                </w:rPr>
                <w:t>e</w:t>
              </w:r>
              <w:bookmarkEnd w:id="63"/>
              <w:r w:rsidR="004E6FC1" w:rsidRPr="00420E95">
                <w:rPr>
                  <w:rStyle w:val="Hyperlink"/>
                  <w:rFonts w:ascii="Times New Roman" w:hAnsi="Times New Roman" w:cs="Times New Roman"/>
                  <w:iCs/>
                  <w:lang w:val="en-GB"/>
                </w:rPr>
                <w:t>ws.com/</w:t>
              </w:r>
            </w:hyperlink>
            <w:r w:rsidR="004E6FC1" w:rsidRPr="00420E95">
              <w:rPr>
                <w:rFonts w:ascii="Times New Roman" w:hAnsi="Times New Roman" w:cs="Times New Roman"/>
                <w:bCs/>
                <w:iCs/>
                <w:u w:val="single"/>
                <w:lang w:val="en-GB"/>
              </w:rPr>
              <w:t xml:space="preserve">  </w:t>
            </w:r>
          </w:p>
        </w:tc>
      </w:tr>
      <w:tr w:rsidR="004E6FC1" w:rsidRPr="00420E95" w14:paraId="559057AE" w14:textId="77777777" w:rsidTr="007722AB">
        <w:tblPrEx>
          <w:tblCellMar>
            <w:left w:w="10" w:type="dxa"/>
            <w:right w:w="10" w:type="dxa"/>
          </w:tblCellMar>
          <w:tblLook w:val="04A0" w:firstRow="1" w:lastRow="0" w:firstColumn="1" w:lastColumn="0" w:noHBand="0" w:noVBand="1"/>
        </w:tblPrEx>
        <w:trPr>
          <w:trHeight w:val="397"/>
        </w:trPr>
        <w:tc>
          <w:tcPr>
            <w:tcW w:w="4878" w:type="dxa"/>
            <w:shd w:val="clear" w:color="auto" w:fill="auto"/>
            <w:tcMar>
              <w:top w:w="0" w:type="dxa"/>
              <w:left w:w="108" w:type="dxa"/>
              <w:bottom w:w="0" w:type="dxa"/>
              <w:right w:w="108" w:type="dxa"/>
            </w:tcMar>
          </w:tcPr>
          <w:p w14:paraId="18A36D35" w14:textId="77777777" w:rsidR="004E6FC1" w:rsidRPr="00420E95" w:rsidRDefault="004E6FC1" w:rsidP="007722AB">
            <w:pPr>
              <w:spacing w:after="0"/>
              <w:jc w:val="both"/>
              <w:rPr>
                <w:rFonts w:ascii="Times New Roman" w:hAnsi="Times New Roman" w:cs="Times New Roman"/>
                <w:bCs/>
              </w:rPr>
            </w:pPr>
            <w:r w:rsidRPr="00420E95">
              <w:rPr>
                <w:rFonts w:ascii="Times New Roman" w:hAnsi="Times New Roman" w:cs="Times New Roman"/>
                <w:bCs/>
                <w:iCs/>
                <w:lang w:val="en-GB"/>
              </w:rPr>
              <w:t xml:space="preserve">Khaleej Times  </w:t>
            </w:r>
          </w:p>
        </w:tc>
        <w:tc>
          <w:tcPr>
            <w:tcW w:w="4482" w:type="dxa"/>
            <w:shd w:val="clear" w:color="auto" w:fill="auto"/>
            <w:tcMar>
              <w:top w:w="0" w:type="dxa"/>
              <w:left w:w="108" w:type="dxa"/>
              <w:bottom w:w="0" w:type="dxa"/>
              <w:right w:w="108" w:type="dxa"/>
            </w:tcMar>
          </w:tcPr>
          <w:p w14:paraId="50A142E6" w14:textId="77777777" w:rsidR="004E6FC1" w:rsidRPr="00420E95" w:rsidRDefault="00022BD6" w:rsidP="007722AB">
            <w:pPr>
              <w:spacing w:after="0"/>
              <w:jc w:val="both"/>
              <w:rPr>
                <w:rFonts w:ascii="Times New Roman" w:hAnsi="Times New Roman" w:cs="Times New Roman"/>
                <w:bCs/>
              </w:rPr>
            </w:pPr>
            <w:hyperlink r:id="rId258" w:history="1">
              <w:r w:rsidR="004E6FC1" w:rsidRPr="00420E95">
                <w:rPr>
                  <w:rStyle w:val="Hyperlink"/>
                  <w:rFonts w:ascii="Times New Roman" w:hAnsi="Times New Roman" w:cs="Times New Roman"/>
                  <w:iCs/>
                  <w:lang w:val="en-GB"/>
                </w:rPr>
                <w:t>http://www.khale</w:t>
              </w:r>
              <w:bookmarkStart w:id="64" w:name="_Hlt357706537"/>
              <w:bookmarkStart w:id="65" w:name="_Hlt357706538"/>
              <w:r w:rsidR="004E6FC1" w:rsidRPr="00420E95">
                <w:rPr>
                  <w:rStyle w:val="Hyperlink"/>
                  <w:rFonts w:ascii="Times New Roman" w:hAnsi="Times New Roman" w:cs="Times New Roman"/>
                  <w:iCs/>
                  <w:lang w:val="en-GB"/>
                </w:rPr>
                <w:t>e</w:t>
              </w:r>
              <w:bookmarkEnd w:id="64"/>
              <w:bookmarkEnd w:id="65"/>
              <w:r w:rsidR="004E6FC1" w:rsidRPr="00420E95">
                <w:rPr>
                  <w:rStyle w:val="Hyperlink"/>
                  <w:rFonts w:ascii="Times New Roman" w:hAnsi="Times New Roman" w:cs="Times New Roman"/>
                  <w:iCs/>
                  <w:lang w:val="en-GB"/>
                </w:rPr>
                <w:t>jtimes.com/</w:t>
              </w:r>
            </w:hyperlink>
            <w:r w:rsidR="004E6FC1" w:rsidRPr="00420E95">
              <w:rPr>
                <w:rFonts w:ascii="Times New Roman" w:hAnsi="Times New Roman" w:cs="Times New Roman"/>
                <w:bCs/>
                <w:iCs/>
                <w:u w:val="single"/>
              </w:rPr>
              <w:t xml:space="preserve"> </w:t>
            </w:r>
            <w:r w:rsidR="004E6FC1" w:rsidRPr="00420E95">
              <w:rPr>
                <w:rFonts w:ascii="Times New Roman" w:hAnsi="Times New Roman" w:cs="Times New Roman"/>
                <w:bCs/>
                <w:iCs/>
                <w:u w:val="single"/>
                <w:lang w:val="en-GB"/>
              </w:rPr>
              <w:t xml:space="preserve"> </w:t>
            </w:r>
          </w:p>
        </w:tc>
      </w:tr>
      <w:tr w:rsidR="004E6FC1" w:rsidRPr="00420E95" w14:paraId="3A07FDD4"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D809E28" w14:textId="77777777" w:rsidR="004E6FC1" w:rsidRPr="00420E95" w:rsidRDefault="004E6FC1" w:rsidP="007722AB">
            <w:pPr>
              <w:spacing w:after="0"/>
              <w:jc w:val="both"/>
              <w:rPr>
                <w:rFonts w:ascii="Times New Roman" w:hAnsi="Times New Roman" w:cs="Times New Roman"/>
                <w:bCs/>
                <w:iCs/>
                <w:lang w:val="en-GB"/>
              </w:rPr>
            </w:pPr>
            <w:r w:rsidRPr="00420E95">
              <w:rPr>
                <w:rFonts w:ascii="Times New Roman" w:hAnsi="Times New Roman" w:cs="Times New Roman"/>
                <w:bCs/>
                <w:iCs/>
                <w:lang w:val="en-GB"/>
              </w:rPr>
              <w:t>Al Arabiya News</w:t>
            </w:r>
          </w:p>
        </w:tc>
        <w:tc>
          <w:tcPr>
            <w:tcW w:w="44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A40263E" w14:textId="77777777" w:rsidR="004E6FC1" w:rsidRPr="00420E95" w:rsidRDefault="00022BD6" w:rsidP="007722AB">
            <w:pPr>
              <w:spacing w:after="0"/>
              <w:jc w:val="both"/>
              <w:rPr>
                <w:rFonts w:ascii="Times New Roman" w:hAnsi="Times New Roman" w:cs="Times New Roman"/>
                <w:bCs/>
                <w:lang w:val="en-GB"/>
              </w:rPr>
            </w:pPr>
            <w:hyperlink r:id="rId259" w:history="1">
              <w:r w:rsidR="004E6FC1" w:rsidRPr="00420E95">
                <w:rPr>
                  <w:rStyle w:val="Hyperlink"/>
                  <w:rFonts w:ascii="Times New Roman" w:hAnsi="Times New Roman" w:cs="Times New Roman"/>
                </w:rPr>
                <w:t>https://english.alarabiya.net/</w:t>
              </w:r>
            </w:hyperlink>
            <w:r w:rsidR="004E6FC1" w:rsidRPr="00420E95">
              <w:rPr>
                <w:rFonts w:ascii="Times New Roman" w:hAnsi="Times New Roman" w:cs="Times New Roman"/>
                <w:bCs/>
                <w:lang w:val="en-GB"/>
              </w:rPr>
              <w:t xml:space="preserve"> </w:t>
            </w:r>
          </w:p>
        </w:tc>
      </w:tr>
      <w:tr w:rsidR="004E6FC1" w:rsidRPr="00420E95" w14:paraId="44F08E71"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A177AB" w14:textId="77777777" w:rsidR="004E6FC1" w:rsidRPr="00420E95" w:rsidRDefault="004E6FC1" w:rsidP="007722AB">
            <w:pPr>
              <w:spacing w:after="0"/>
              <w:jc w:val="both"/>
              <w:rPr>
                <w:rFonts w:ascii="Times New Roman" w:hAnsi="Times New Roman" w:cs="Times New Roman"/>
                <w:bCs/>
                <w:iCs/>
                <w:lang w:val="en-GB"/>
              </w:rPr>
            </w:pPr>
            <w:r w:rsidRPr="00420E95">
              <w:rPr>
                <w:rFonts w:ascii="Times New Roman" w:hAnsi="Times New Roman" w:cs="Times New Roman"/>
                <w:bCs/>
                <w:iCs/>
                <w:lang w:val="en-GB"/>
              </w:rPr>
              <w:t>Arabian Gulf Business Insights</w:t>
            </w:r>
          </w:p>
        </w:tc>
        <w:tc>
          <w:tcPr>
            <w:tcW w:w="44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78CA2A" w14:textId="77777777" w:rsidR="004E6FC1" w:rsidRPr="00420E95" w:rsidRDefault="00022BD6" w:rsidP="007722AB">
            <w:pPr>
              <w:spacing w:after="0"/>
              <w:jc w:val="both"/>
              <w:rPr>
                <w:rFonts w:ascii="Times New Roman" w:hAnsi="Times New Roman" w:cs="Times New Roman"/>
                <w:bCs/>
              </w:rPr>
            </w:pPr>
            <w:hyperlink r:id="rId260" w:history="1">
              <w:r w:rsidR="004E6FC1" w:rsidRPr="00420E95">
                <w:rPr>
                  <w:rStyle w:val="Hyperlink"/>
                  <w:rFonts w:ascii="Times New Roman" w:hAnsi="Times New Roman" w:cs="Times New Roman"/>
                </w:rPr>
                <w:t>https://www.agbi.com/</w:t>
              </w:r>
            </w:hyperlink>
            <w:r w:rsidR="004E6FC1" w:rsidRPr="00420E95">
              <w:rPr>
                <w:rFonts w:ascii="Times New Roman" w:hAnsi="Times New Roman" w:cs="Times New Roman"/>
                <w:bCs/>
              </w:rPr>
              <w:t xml:space="preserve"> </w:t>
            </w:r>
          </w:p>
        </w:tc>
      </w:tr>
      <w:tr w:rsidR="004E6FC1" w:rsidRPr="00420E95" w14:paraId="613D1AF5"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954F14" w14:textId="77777777" w:rsidR="004E6FC1" w:rsidRPr="00420E95" w:rsidRDefault="004E6FC1" w:rsidP="007722AB">
            <w:pPr>
              <w:spacing w:after="0"/>
              <w:jc w:val="both"/>
              <w:rPr>
                <w:rFonts w:ascii="Times New Roman" w:hAnsi="Times New Roman" w:cs="Times New Roman"/>
                <w:bCs/>
                <w:iCs/>
                <w:lang w:val="en-GB"/>
              </w:rPr>
            </w:pPr>
            <w:r w:rsidRPr="00420E95">
              <w:rPr>
                <w:rFonts w:ascii="Times New Roman" w:hAnsi="Times New Roman" w:cs="Times New Roman"/>
                <w:bCs/>
                <w:iCs/>
                <w:lang w:val="en-GB"/>
              </w:rPr>
              <w:t>Zawya /Middle East Business Information</w:t>
            </w:r>
          </w:p>
        </w:tc>
        <w:tc>
          <w:tcPr>
            <w:tcW w:w="44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079DCB" w14:textId="77777777" w:rsidR="004E6FC1" w:rsidRPr="00420E95" w:rsidRDefault="00022BD6" w:rsidP="007722AB">
            <w:pPr>
              <w:spacing w:after="0"/>
              <w:jc w:val="both"/>
              <w:rPr>
                <w:rFonts w:ascii="Times New Roman" w:hAnsi="Times New Roman" w:cs="Times New Roman"/>
                <w:bCs/>
              </w:rPr>
            </w:pPr>
            <w:hyperlink r:id="rId261" w:history="1">
              <w:r w:rsidR="004E6FC1" w:rsidRPr="00420E95">
                <w:rPr>
                  <w:rStyle w:val="Hyperlink"/>
                  <w:rFonts w:ascii="Times New Roman" w:hAnsi="Times New Roman" w:cs="Times New Roman"/>
                </w:rPr>
                <w:t>www.</w:t>
              </w:r>
              <w:bookmarkStart w:id="66" w:name="_Hlt357706016"/>
              <w:bookmarkStart w:id="67" w:name="_Hlt357706017"/>
              <w:r w:rsidR="004E6FC1" w:rsidRPr="00420E95">
                <w:rPr>
                  <w:rStyle w:val="Hyperlink"/>
                  <w:rFonts w:ascii="Times New Roman" w:hAnsi="Times New Roman" w:cs="Times New Roman"/>
                </w:rPr>
                <w:t>z</w:t>
              </w:r>
              <w:bookmarkEnd w:id="66"/>
              <w:bookmarkEnd w:id="67"/>
              <w:r w:rsidR="004E6FC1" w:rsidRPr="00420E95">
                <w:rPr>
                  <w:rStyle w:val="Hyperlink"/>
                  <w:rFonts w:ascii="Times New Roman" w:hAnsi="Times New Roman" w:cs="Times New Roman"/>
                </w:rPr>
                <w:t>awya.com</w:t>
              </w:r>
            </w:hyperlink>
            <w:r w:rsidR="004E6FC1" w:rsidRPr="00420E95">
              <w:rPr>
                <w:rFonts w:ascii="Times New Roman" w:hAnsi="Times New Roman" w:cs="Times New Roman"/>
                <w:bCs/>
              </w:rPr>
              <w:t xml:space="preserve">  </w:t>
            </w:r>
          </w:p>
        </w:tc>
      </w:tr>
      <w:tr w:rsidR="004E6FC1" w:rsidRPr="00420E95" w14:paraId="0F0318D4"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401B46" w14:textId="77777777" w:rsidR="004E6FC1" w:rsidRPr="00420E95" w:rsidRDefault="004E6FC1" w:rsidP="007722AB">
            <w:pPr>
              <w:spacing w:after="0"/>
              <w:jc w:val="both"/>
              <w:rPr>
                <w:rFonts w:ascii="Times New Roman" w:hAnsi="Times New Roman" w:cs="Times New Roman"/>
                <w:bCs/>
                <w:iCs/>
                <w:lang w:val="en-GB"/>
              </w:rPr>
            </w:pPr>
            <w:r w:rsidRPr="00420E95">
              <w:rPr>
                <w:rFonts w:ascii="Times New Roman" w:hAnsi="Times New Roman" w:cs="Times New Roman"/>
                <w:bCs/>
                <w:iCs/>
                <w:lang w:val="en-GB"/>
              </w:rPr>
              <w:t>Arabian Business</w:t>
            </w:r>
          </w:p>
        </w:tc>
        <w:tc>
          <w:tcPr>
            <w:tcW w:w="44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62FFFB" w14:textId="77777777" w:rsidR="004E6FC1" w:rsidRPr="00420E95" w:rsidRDefault="00022BD6" w:rsidP="007722AB">
            <w:pPr>
              <w:spacing w:after="0"/>
              <w:jc w:val="both"/>
              <w:rPr>
                <w:rFonts w:ascii="Times New Roman" w:hAnsi="Times New Roman" w:cs="Times New Roman"/>
                <w:bCs/>
                <w:lang w:val="en-GB"/>
              </w:rPr>
            </w:pPr>
            <w:hyperlink r:id="rId262" w:history="1">
              <w:r w:rsidR="004E6FC1" w:rsidRPr="00420E95">
                <w:rPr>
                  <w:rStyle w:val="Hyperlink"/>
                  <w:rFonts w:ascii="Times New Roman" w:hAnsi="Times New Roman" w:cs="Times New Roman"/>
                </w:rPr>
                <w:t>https://www.arabianbusiness.com/</w:t>
              </w:r>
            </w:hyperlink>
            <w:r w:rsidR="004E6FC1" w:rsidRPr="00420E95">
              <w:rPr>
                <w:rFonts w:ascii="Times New Roman" w:hAnsi="Times New Roman" w:cs="Times New Roman"/>
                <w:bCs/>
                <w:lang w:val="en-GB"/>
              </w:rPr>
              <w:t xml:space="preserve"> </w:t>
            </w:r>
          </w:p>
        </w:tc>
      </w:tr>
      <w:tr w:rsidR="004E6FC1" w:rsidRPr="00420E95" w14:paraId="488DD57B"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DC3A50" w14:textId="77777777" w:rsidR="004E6FC1" w:rsidRPr="00420E95" w:rsidRDefault="004E6FC1" w:rsidP="007722AB">
            <w:pPr>
              <w:spacing w:after="0"/>
              <w:jc w:val="both"/>
              <w:rPr>
                <w:rFonts w:ascii="Times New Roman" w:hAnsi="Times New Roman" w:cs="Times New Roman"/>
                <w:bCs/>
                <w:iCs/>
                <w:lang w:val="en-GB"/>
              </w:rPr>
            </w:pPr>
            <w:r w:rsidRPr="00420E95">
              <w:rPr>
                <w:rFonts w:ascii="Times New Roman" w:hAnsi="Times New Roman" w:cs="Times New Roman"/>
                <w:bCs/>
                <w:iCs/>
                <w:lang w:val="en-GB"/>
              </w:rPr>
              <w:t>The Arabian Post</w:t>
            </w:r>
          </w:p>
        </w:tc>
        <w:tc>
          <w:tcPr>
            <w:tcW w:w="44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B5B282" w14:textId="77777777" w:rsidR="004E6FC1" w:rsidRPr="00420E95" w:rsidRDefault="00022BD6" w:rsidP="007722AB">
            <w:pPr>
              <w:spacing w:after="0"/>
              <w:jc w:val="both"/>
              <w:rPr>
                <w:rFonts w:ascii="Times New Roman" w:hAnsi="Times New Roman" w:cs="Times New Roman"/>
                <w:bCs/>
                <w:lang w:val="en-GB"/>
              </w:rPr>
            </w:pPr>
            <w:hyperlink r:id="rId263" w:history="1">
              <w:r w:rsidR="004E6FC1" w:rsidRPr="00420E95">
                <w:rPr>
                  <w:rStyle w:val="Hyperlink"/>
                  <w:rFonts w:ascii="Times New Roman" w:hAnsi="Times New Roman" w:cs="Times New Roman"/>
                </w:rPr>
                <w:t>https://thearabianpost.com/</w:t>
              </w:r>
            </w:hyperlink>
            <w:r w:rsidR="004E6FC1" w:rsidRPr="00420E95">
              <w:rPr>
                <w:rFonts w:ascii="Times New Roman" w:hAnsi="Times New Roman" w:cs="Times New Roman"/>
                <w:bCs/>
                <w:lang w:val="en-GB"/>
              </w:rPr>
              <w:t xml:space="preserve"> </w:t>
            </w:r>
          </w:p>
        </w:tc>
      </w:tr>
      <w:tr w:rsidR="004E6FC1" w:rsidRPr="00022BD6" w14:paraId="10C99E66"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3A8A1" w14:textId="77777777" w:rsidR="004E6FC1" w:rsidRPr="00420E95" w:rsidRDefault="004E6FC1" w:rsidP="007722AB">
            <w:pPr>
              <w:spacing w:after="0"/>
              <w:jc w:val="both"/>
              <w:rPr>
                <w:rFonts w:ascii="Times New Roman" w:hAnsi="Times New Roman" w:cs="Times New Roman"/>
                <w:bCs/>
                <w:iCs/>
                <w:lang w:val="en-GB"/>
              </w:rPr>
            </w:pPr>
            <w:r w:rsidRPr="00420E95">
              <w:rPr>
                <w:rFonts w:ascii="Times New Roman" w:hAnsi="Times New Roman" w:cs="Times New Roman"/>
                <w:bCs/>
                <w:iCs/>
                <w:lang w:val="en-GB"/>
              </w:rPr>
              <w:t>Gulf Business</w:t>
            </w:r>
          </w:p>
        </w:tc>
        <w:tc>
          <w:tcPr>
            <w:tcW w:w="44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A8CCE8" w14:textId="77777777" w:rsidR="004E6FC1" w:rsidRPr="00420E95" w:rsidRDefault="00022BD6" w:rsidP="007722AB">
            <w:pPr>
              <w:spacing w:after="0"/>
              <w:jc w:val="both"/>
              <w:rPr>
                <w:rFonts w:ascii="Times New Roman" w:hAnsi="Times New Roman" w:cs="Times New Roman"/>
                <w:bCs/>
                <w:lang w:val="en-GB"/>
              </w:rPr>
            </w:pPr>
            <w:hyperlink r:id="rId264" w:history="1">
              <w:r w:rsidR="004E6FC1" w:rsidRPr="00420E95">
                <w:rPr>
                  <w:rStyle w:val="Hyperlink"/>
                  <w:rFonts w:ascii="Times New Roman" w:hAnsi="Times New Roman" w:cs="Times New Roman"/>
                  <w:lang w:val="en-GB"/>
                </w:rPr>
                <w:t>https://gulfbusiness.com/section/world/middle-east/uae/</w:t>
              </w:r>
            </w:hyperlink>
            <w:r w:rsidR="004E6FC1" w:rsidRPr="00420E95">
              <w:rPr>
                <w:rFonts w:ascii="Times New Roman" w:hAnsi="Times New Roman" w:cs="Times New Roman"/>
                <w:bCs/>
                <w:lang w:val="en-GB"/>
              </w:rPr>
              <w:t xml:space="preserve"> </w:t>
            </w:r>
          </w:p>
        </w:tc>
      </w:tr>
      <w:tr w:rsidR="004E6FC1" w:rsidRPr="00420E95" w14:paraId="5AC72B2E" w14:textId="77777777" w:rsidTr="007722AB">
        <w:tblPrEx>
          <w:tblCellMar>
            <w:left w:w="10" w:type="dxa"/>
            <w:right w:w="10" w:type="dxa"/>
          </w:tblCellMar>
          <w:tblLook w:val="04A0" w:firstRow="1" w:lastRow="0" w:firstColumn="1" w:lastColumn="0" w:noHBand="0" w:noVBand="1"/>
        </w:tblPrEx>
        <w:trPr>
          <w:trHeight w:val="397"/>
        </w:trPr>
        <w:tc>
          <w:tcPr>
            <w:tcW w:w="48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CE78C9" w14:textId="77777777" w:rsidR="004E6FC1" w:rsidRPr="00420E95" w:rsidRDefault="004E6FC1" w:rsidP="007722AB">
            <w:pPr>
              <w:spacing w:after="0"/>
              <w:jc w:val="both"/>
              <w:rPr>
                <w:rFonts w:ascii="Times New Roman" w:hAnsi="Times New Roman" w:cs="Times New Roman"/>
                <w:bCs/>
                <w:iCs/>
                <w:lang w:val="en-GB"/>
              </w:rPr>
            </w:pPr>
            <w:r w:rsidRPr="00420E95">
              <w:rPr>
                <w:rFonts w:ascii="Times New Roman" w:hAnsi="Times New Roman" w:cs="Times New Roman"/>
                <w:bCs/>
                <w:iCs/>
                <w:lang w:val="en-GB"/>
              </w:rPr>
              <w:t>Middle East Business Intelligence</w:t>
            </w:r>
          </w:p>
        </w:tc>
        <w:tc>
          <w:tcPr>
            <w:tcW w:w="44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FC86AC" w14:textId="77777777" w:rsidR="004E6FC1" w:rsidRPr="00420E95" w:rsidRDefault="00022BD6" w:rsidP="007722AB">
            <w:pPr>
              <w:spacing w:after="0"/>
              <w:jc w:val="both"/>
              <w:rPr>
                <w:rFonts w:ascii="Times New Roman" w:hAnsi="Times New Roman" w:cs="Times New Roman"/>
                <w:bCs/>
              </w:rPr>
            </w:pPr>
            <w:hyperlink r:id="rId265" w:history="1">
              <w:r w:rsidR="004E6FC1" w:rsidRPr="00420E95">
                <w:rPr>
                  <w:rStyle w:val="Hyperlink"/>
                  <w:rFonts w:ascii="Times New Roman" w:hAnsi="Times New Roman" w:cs="Times New Roman"/>
                </w:rPr>
                <w:t>www.me</w:t>
              </w:r>
              <w:bookmarkStart w:id="68" w:name="_Hlt357705973"/>
              <w:bookmarkStart w:id="69" w:name="_Hlt357705974"/>
              <w:r w:rsidR="004E6FC1" w:rsidRPr="00420E95">
                <w:rPr>
                  <w:rStyle w:val="Hyperlink"/>
                  <w:rFonts w:ascii="Times New Roman" w:hAnsi="Times New Roman" w:cs="Times New Roman"/>
                </w:rPr>
                <w:t>e</w:t>
              </w:r>
              <w:bookmarkEnd w:id="68"/>
              <w:bookmarkEnd w:id="69"/>
              <w:r w:rsidR="004E6FC1" w:rsidRPr="00420E95">
                <w:rPr>
                  <w:rStyle w:val="Hyperlink"/>
                  <w:rFonts w:ascii="Times New Roman" w:hAnsi="Times New Roman" w:cs="Times New Roman"/>
                </w:rPr>
                <w:t>d.com</w:t>
              </w:r>
            </w:hyperlink>
            <w:r w:rsidR="004E6FC1" w:rsidRPr="00420E95">
              <w:rPr>
                <w:rFonts w:ascii="Times New Roman" w:hAnsi="Times New Roman" w:cs="Times New Roman"/>
                <w:bCs/>
              </w:rPr>
              <w:t xml:space="preserve">  </w:t>
            </w:r>
          </w:p>
        </w:tc>
      </w:tr>
      <w:tr w:rsidR="004E6FC1" w:rsidRPr="00420E95" w14:paraId="38DCAC20" w14:textId="77777777" w:rsidTr="007722AB">
        <w:tblPrEx>
          <w:tblCellMar>
            <w:left w:w="10" w:type="dxa"/>
            <w:right w:w="10" w:type="dxa"/>
          </w:tblCellMar>
          <w:tblLook w:val="04A0" w:firstRow="1" w:lastRow="0" w:firstColumn="1" w:lastColumn="0" w:noHBand="0" w:noVBand="1"/>
        </w:tblPrEx>
        <w:trPr>
          <w:trHeight w:val="397"/>
        </w:trPr>
        <w:tc>
          <w:tcPr>
            <w:tcW w:w="4878" w:type="dxa"/>
            <w:shd w:val="clear" w:color="auto" w:fill="auto"/>
            <w:tcMar>
              <w:top w:w="0" w:type="dxa"/>
              <w:left w:w="108" w:type="dxa"/>
              <w:bottom w:w="0" w:type="dxa"/>
              <w:right w:w="108" w:type="dxa"/>
            </w:tcMar>
          </w:tcPr>
          <w:p w14:paraId="25D0747B" w14:textId="77777777" w:rsidR="004E6FC1" w:rsidRPr="00420E95" w:rsidRDefault="004E6FC1" w:rsidP="007722AB">
            <w:pPr>
              <w:spacing w:after="0"/>
              <w:jc w:val="both"/>
              <w:rPr>
                <w:rFonts w:ascii="Times New Roman" w:hAnsi="Times New Roman" w:cs="Times New Roman"/>
                <w:bCs/>
              </w:rPr>
            </w:pPr>
            <w:r w:rsidRPr="00420E95">
              <w:rPr>
                <w:rFonts w:ascii="Times New Roman" w:hAnsi="Times New Roman" w:cs="Times New Roman"/>
                <w:bCs/>
                <w:iCs/>
                <w:lang w:val="en-GB"/>
              </w:rPr>
              <w:t>UAE Yellow Pages</w:t>
            </w:r>
          </w:p>
        </w:tc>
        <w:tc>
          <w:tcPr>
            <w:tcW w:w="4482" w:type="dxa"/>
            <w:shd w:val="clear" w:color="auto" w:fill="auto"/>
            <w:tcMar>
              <w:top w:w="0" w:type="dxa"/>
              <w:left w:w="108" w:type="dxa"/>
              <w:bottom w:w="0" w:type="dxa"/>
              <w:right w:w="108" w:type="dxa"/>
            </w:tcMar>
          </w:tcPr>
          <w:p w14:paraId="49115452" w14:textId="77777777" w:rsidR="004E6FC1" w:rsidRPr="00420E95" w:rsidRDefault="00022BD6" w:rsidP="007722AB">
            <w:pPr>
              <w:spacing w:after="0"/>
              <w:jc w:val="both"/>
              <w:rPr>
                <w:rFonts w:ascii="Times New Roman" w:hAnsi="Times New Roman" w:cs="Times New Roman"/>
                <w:bCs/>
              </w:rPr>
            </w:pPr>
            <w:hyperlink r:id="rId266" w:history="1">
              <w:r w:rsidR="004E6FC1" w:rsidRPr="00420E95">
                <w:rPr>
                  <w:rStyle w:val="Hyperlink"/>
                  <w:rFonts w:ascii="Times New Roman" w:hAnsi="Times New Roman" w:cs="Times New Roman"/>
                  <w:iCs/>
                  <w:lang w:val="en-GB"/>
                </w:rPr>
                <w:t>www.yellowpag</w:t>
              </w:r>
              <w:bookmarkStart w:id="70" w:name="_Hlt357706019"/>
              <w:r w:rsidR="004E6FC1" w:rsidRPr="00420E95">
                <w:rPr>
                  <w:rStyle w:val="Hyperlink"/>
                  <w:rFonts w:ascii="Times New Roman" w:hAnsi="Times New Roman" w:cs="Times New Roman"/>
                  <w:iCs/>
                  <w:lang w:val="en-GB"/>
                </w:rPr>
                <w:t>e</w:t>
              </w:r>
              <w:bookmarkEnd w:id="70"/>
              <w:r w:rsidR="004E6FC1" w:rsidRPr="00420E95">
                <w:rPr>
                  <w:rStyle w:val="Hyperlink"/>
                  <w:rFonts w:ascii="Times New Roman" w:hAnsi="Times New Roman" w:cs="Times New Roman"/>
                  <w:iCs/>
                  <w:lang w:val="en-GB"/>
                </w:rPr>
                <w:t>s.ae</w:t>
              </w:r>
            </w:hyperlink>
            <w:r w:rsidR="004E6FC1" w:rsidRPr="00420E95">
              <w:rPr>
                <w:rFonts w:ascii="Times New Roman" w:hAnsi="Times New Roman" w:cs="Times New Roman"/>
                <w:bCs/>
                <w:iCs/>
                <w:u w:val="single"/>
                <w:lang w:val="en-GB"/>
              </w:rPr>
              <w:t xml:space="preserve">  </w:t>
            </w:r>
          </w:p>
        </w:tc>
      </w:tr>
      <w:tr w:rsidR="004E6FC1" w:rsidRPr="00420E95" w14:paraId="510815E9" w14:textId="77777777" w:rsidTr="007722AB">
        <w:tblPrEx>
          <w:tblCellMar>
            <w:left w:w="10" w:type="dxa"/>
            <w:right w:w="10" w:type="dxa"/>
          </w:tblCellMar>
          <w:tblLook w:val="04A0" w:firstRow="1" w:lastRow="0" w:firstColumn="1" w:lastColumn="0" w:noHBand="0" w:noVBand="1"/>
        </w:tblPrEx>
        <w:trPr>
          <w:trHeight w:val="397"/>
        </w:trPr>
        <w:tc>
          <w:tcPr>
            <w:tcW w:w="4878" w:type="dxa"/>
            <w:shd w:val="clear" w:color="auto" w:fill="auto"/>
            <w:tcMar>
              <w:top w:w="0" w:type="dxa"/>
              <w:left w:w="108" w:type="dxa"/>
              <w:bottom w:w="0" w:type="dxa"/>
              <w:right w:w="108" w:type="dxa"/>
            </w:tcMar>
          </w:tcPr>
          <w:p w14:paraId="04C41568" w14:textId="77777777" w:rsidR="004E6FC1" w:rsidRPr="00420E95" w:rsidRDefault="004E6FC1" w:rsidP="007722AB">
            <w:pPr>
              <w:spacing w:after="0"/>
              <w:jc w:val="both"/>
              <w:rPr>
                <w:rFonts w:ascii="Times New Roman" w:hAnsi="Times New Roman" w:cs="Times New Roman"/>
                <w:bCs/>
              </w:rPr>
            </w:pPr>
            <w:r w:rsidRPr="00420E95">
              <w:rPr>
                <w:rFonts w:ascii="Times New Roman" w:hAnsi="Times New Roman" w:cs="Times New Roman"/>
                <w:bCs/>
                <w:iCs/>
                <w:lang w:val="en-GB"/>
              </w:rPr>
              <w:t>Dubizzle (</w:t>
            </w:r>
            <w:r w:rsidRPr="00420E95">
              <w:rPr>
                <w:rFonts w:ascii="Times New Roman" w:hAnsi="Times New Roman" w:cs="Times New Roman"/>
                <w:bCs/>
                <w:iCs/>
              </w:rPr>
              <w:t>Αγγελίες)</w:t>
            </w:r>
          </w:p>
        </w:tc>
        <w:tc>
          <w:tcPr>
            <w:tcW w:w="4482" w:type="dxa"/>
            <w:shd w:val="clear" w:color="auto" w:fill="auto"/>
            <w:tcMar>
              <w:top w:w="0" w:type="dxa"/>
              <w:left w:w="108" w:type="dxa"/>
              <w:bottom w:w="0" w:type="dxa"/>
              <w:right w:w="108" w:type="dxa"/>
            </w:tcMar>
          </w:tcPr>
          <w:p w14:paraId="7175D8B9" w14:textId="77777777" w:rsidR="004E6FC1" w:rsidRPr="00420E95" w:rsidRDefault="00022BD6" w:rsidP="007722AB">
            <w:pPr>
              <w:spacing w:after="0"/>
              <w:jc w:val="both"/>
              <w:rPr>
                <w:rFonts w:ascii="Times New Roman" w:hAnsi="Times New Roman" w:cs="Times New Roman"/>
                <w:bCs/>
              </w:rPr>
            </w:pPr>
            <w:hyperlink r:id="rId267" w:history="1">
              <w:r w:rsidR="004E6FC1" w:rsidRPr="00420E95">
                <w:rPr>
                  <w:rStyle w:val="Hyperlink"/>
                  <w:rFonts w:ascii="Times New Roman" w:hAnsi="Times New Roman" w:cs="Times New Roman"/>
                  <w:iCs/>
                  <w:lang w:val="en-GB"/>
                </w:rPr>
                <w:t>www.dubizz</w:t>
              </w:r>
              <w:bookmarkStart w:id="71" w:name="_Hlt357706527"/>
              <w:r w:rsidR="004E6FC1" w:rsidRPr="00420E95">
                <w:rPr>
                  <w:rStyle w:val="Hyperlink"/>
                  <w:rFonts w:ascii="Times New Roman" w:hAnsi="Times New Roman" w:cs="Times New Roman"/>
                  <w:iCs/>
                  <w:lang w:val="en-GB"/>
                </w:rPr>
                <w:t>l</w:t>
              </w:r>
              <w:bookmarkEnd w:id="71"/>
              <w:r w:rsidR="004E6FC1" w:rsidRPr="00420E95">
                <w:rPr>
                  <w:rStyle w:val="Hyperlink"/>
                  <w:rFonts w:ascii="Times New Roman" w:hAnsi="Times New Roman" w:cs="Times New Roman"/>
                  <w:iCs/>
                  <w:lang w:val="en-GB"/>
                </w:rPr>
                <w:t>e.com</w:t>
              </w:r>
            </w:hyperlink>
            <w:r w:rsidR="004E6FC1" w:rsidRPr="00420E95">
              <w:rPr>
                <w:rFonts w:ascii="Times New Roman" w:hAnsi="Times New Roman" w:cs="Times New Roman"/>
                <w:bCs/>
                <w:iCs/>
                <w:u w:val="single"/>
                <w:lang w:val="en-GB"/>
              </w:rPr>
              <w:t xml:space="preserve">  </w:t>
            </w:r>
          </w:p>
        </w:tc>
      </w:tr>
    </w:tbl>
    <w:p w14:paraId="3E3D6A48" w14:textId="77777777" w:rsidR="004E6FC1" w:rsidRPr="003032E8" w:rsidRDefault="004E6FC1" w:rsidP="004E6FC1">
      <w:pPr>
        <w:spacing w:after="0"/>
        <w:jc w:val="both"/>
        <w:rPr>
          <w:rFonts w:ascii="Century Gothic" w:hAnsi="Century Gothic"/>
          <w:lang w:val="en-GB"/>
        </w:rPr>
      </w:pPr>
    </w:p>
    <w:p w14:paraId="39B0CECB" w14:textId="77777777" w:rsidR="0092551B" w:rsidRPr="002A7345" w:rsidRDefault="0092551B" w:rsidP="007331AD">
      <w:pPr>
        <w:rPr>
          <w:rFonts w:ascii="Times New Roman" w:hAnsi="Times New Roman" w:cs="Times New Roman"/>
        </w:rPr>
      </w:pPr>
    </w:p>
    <w:sectPr w:rsidR="0092551B" w:rsidRPr="002A7345" w:rsidSect="00CB5AB3">
      <w:footerReference w:type="default" r:id="rId268"/>
      <w:pgSz w:w="11906" w:h="16838"/>
      <w:pgMar w:top="709" w:right="849" w:bottom="1135"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164C1" w14:textId="77777777" w:rsidR="00022BD6" w:rsidRDefault="00022BD6" w:rsidP="00A36517">
      <w:pPr>
        <w:spacing w:after="0" w:line="240" w:lineRule="auto"/>
      </w:pPr>
      <w:r>
        <w:separator/>
      </w:r>
    </w:p>
  </w:endnote>
  <w:endnote w:type="continuationSeparator" w:id="0">
    <w:p w14:paraId="48BEBCBE" w14:textId="77777777" w:rsidR="00022BD6" w:rsidRDefault="00022BD6" w:rsidP="00A36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OpenSymbol">
    <w:altName w:val="Segoe UI Symbol"/>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A00002EF" w:usb1="4000004B" w:usb2="00000000"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Arial Black">
    <w:panose1 w:val="020B0A04020102020204"/>
    <w:charset w:val="A1"/>
    <w:family w:val="swiss"/>
    <w:pitch w:val="variable"/>
    <w:sig w:usb0="A00002AF" w:usb1="400078FB" w:usb2="00000000" w:usb3="00000000" w:csb0="0000009F"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FA69B" w14:textId="77777777" w:rsidR="00022BD6" w:rsidRDefault="00022BD6">
    <w:pPr>
      <w:pStyle w:val="NoSpacing"/>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E13DC" w14:textId="77777777" w:rsidR="00022BD6" w:rsidRDefault="00022BD6" w:rsidP="00A36517">
      <w:pPr>
        <w:spacing w:after="0" w:line="240" w:lineRule="auto"/>
      </w:pPr>
      <w:r>
        <w:separator/>
      </w:r>
    </w:p>
  </w:footnote>
  <w:footnote w:type="continuationSeparator" w:id="0">
    <w:p w14:paraId="27B0E68A" w14:textId="77777777" w:rsidR="00022BD6" w:rsidRDefault="00022BD6" w:rsidP="00A36517">
      <w:pPr>
        <w:spacing w:after="0" w:line="240" w:lineRule="auto"/>
      </w:pPr>
      <w:r>
        <w:continuationSeparator/>
      </w:r>
    </w:p>
  </w:footnote>
  <w:footnote w:id="1">
    <w:p w14:paraId="1F100C6F" w14:textId="77777777" w:rsidR="00022BD6" w:rsidRDefault="00022BD6" w:rsidP="00C97E6B">
      <w:pPr>
        <w:pStyle w:val="FootnoteText"/>
        <w:rPr>
          <w:rFonts w:ascii="Times New Roman" w:hAnsi="Times New Roman" w:cs="Times New Roman"/>
          <w:sz w:val="18"/>
          <w:szCs w:val="18"/>
        </w:rPr>
      </w:pPr>
      <w:r w:rsidRPr="009F1BB8">
        <w:rPr>
          <w:rStyle w:val="FootnoteReference"/>
          <w:rFonts w:ascii="Times New Roman" w:hAnsi="Times New Roman" w:cs="Times New Roman"/>
          <w:sz w:val="18"/>
          <w:szCs w:val="18"/>
        </w:rPr>
        <w:footnoteRef/>
      </w:r>
      <w:r w:rsidRPr="009F1BB8">
        <w:rPr>
          <w:rFonts w:ascii="Times New Roman" w:hAnsi="Times New Roman" w:cs="Times New Roman"/>
          <w:sz w:val="18"/>
          <w:szCs w:val="18"/>
        </w:rPr>
        <w:t xml:space="preserve"> Για το Σύνταγμα των ΗΑΕ βλ. κάτωθι σύνδεσμο: </w:t>
      </w:r>
    </w:p>
    <w:p w14:paraId="0C6DAFC1" w14:textId="5A25D8E3" w:rsidR="00022BD6" w:rsidRPr="007A5AE6" w:rsidRDefault="00022BD6" w:rsidP="00C97E6B">
      <w:pPr>
        <w:pStyle w:val="FootnoteText"/>
        <w:rPr>
          <w:rFonts w:ascii="Times New Roman" w:hAnsi="Times New Roman" w:cs="Times New Roman"/>
          <w:sz w:val="18"/>
          <w:szCs w:val="18"/>
        </w:rPr>
      </w:pPr>
      <w:hyperlink r:id="rId1" w:history="1">
        <w:r w:rsidRPr="00B4457C">
          <w:rPr>
            <w:rStyle w:val="Hyperlink"/>
            <w:rFonts w:ascii="Times New Roman" w:hAnsi="Times New Roman" w:cs="Times New Roman"/>
            <w:sz w:val="18"/>
            <w:szCs w:val="18"/>
          </w:rPr>
          <w:t>https://www.constituteproject.org/constitution/United_Arab_Emirates_2004.pdf</w:t>
        </w:r>
      </w:hyperlink>
      <w:r w:rsidRPr="007A5AE6">
        <w:rPr>
          <w:rFonts w:ascii="Times New Roman" w:hAnsi="Times New Roman" w:cs="Times New Roman"/>
          <w:sz w:val="18"/>
          <w:szCs w:val="18"/>
        </w:rPr>
        <w:t xml:space="preserve"> </w:t>
      </w:r>
    </w:p>
  </w:footnote>
  <w:footnote w:id="2">
    <w:p w14:paraId="21C90B8B" w14:textId="65A34BDD" w:rsidR="00022BD6" w:rsidRPr="00073890" w:rsidRDefault="00022BD6" w:rsidP="00F10D09">
      <w:pPr>
        <w:pStyle w:val="FootnoteText"/>
        <w:rPr>
          <w:rFonts w:ascii="Times New Roman" w:hAnsi="Times New Roman" w:cs="Times New Roman"/>
          <w:sz w:val="18"/>
          <w:szCs w:val="18"/>
          <w:lang w:val="en-AE"/>
        </w:rPr>
      </w:pPr>
      <w:r>
        <w:rPr>
          <w:rFonts w:ascii="Times New Roman" w:hAnsi="Times New Roman" w:cs="Times New Roman"/>
          <w:sz w:val="18"/>
          <w:szCs w:val="18"/>
          <w:lang w:val="en-US"/>
        </w:rPr>
        <w:t>ei</w:t>
      </w:r>
      <w:r w:rsidRPr="003240C4">
        <w:rPr>
          <w:rStyle w:val="FootnoteReference"/>
          <w:rFonts w:ascii="Times New Roman" w:hAnsi="Times New Roman" w:cs="Times New Roman"/>
          <w:sz w:val="18"/>
          <w:szCs w:val="18"/>
        </w:rPr>
        <w:footnoteRef/>
      </w:r>
      <w:r w:rsidRPr="00073890">
        <w:rPr>
          <w:rFonts w:ascii="Times New Roman" w:hAnsi="Times New Roman" w:cs="Times New Roman"/>
          <w:sz w:val="18"/>
          <w:szCs w:val="18"/>
          <w:lang w:val="en-AE"/>
        </w:rPr>
        <w:t xml:space="preserve"> </w:t>
      </w:r>
      <w:hyperlink r:id="rId2" w:history="1">
        <w:r w:rsidRPr="00073890">
          <w:rPr>
            <w:rStyle w:val="Hyperlink"/>
            <w:rFonts w:ascii="Times New Roman" w:hAnsi="Times New Roman" w:cs="Times New Roman"/>
            <w:sz w:val="18"/>
            <w:szCs w:val="18"/>
            <w:lang w:val="en-AE"/>
          </w:rPr>
          <w:t>https://u.ae/en/about-the-uae/strategies-initiatives-and-awards/federal-governments-strategies-and-plans/uae-centennial-2071</w:t>
        </w:r>
      </w:hyperlink>
    </w:p>
    <w:p w14:paraId="38CC8699" w14:textId="77777777" w:rsidR="00022BD6" w:rsidRPr="00073890" w:rsidRDefault="00022BD6" w:rsidP="00F10D09">
      <w:pPr>
        <w:pStyle w:val="FootnoteText"/>
        <w:rPr>
          <w:rFonts w:ascii="Times New Roman" w:hAnsi="Times New Roman" w:cs="Times New Roman"/>
          <w:sz w:val="18"/>
          <w:szCs w:val="18"/>
          <w:lang w:val="en-AE"/>
        </w:rPr>
      </w:pPr>
    </w:p>
  </w:footnote>
  <w:footnote w:id="3">
    <w:p w14:paraId="6577C21E" w14:textId="2D4E9D15" w:rsidR="00022BD6" w:rsidRPr="00C033D1" w:rsidRDefault="00022BD6">
      <w:pPr>
        <w:pStyle w:val="FootnoteText"/>
        <w:rPr>
          <w:rFonts w:ascii="Times New Roman" w:hAnsi="Times New Roman" w:cs="Times New Roman"/>
          <w:sz w:val="18"/>
          <w:szCs w:val="18"/>
          <w:lang w:val="en-AE"/>
        </w:rPr>
      </w:pPr>
      <w:r>
        <w:rPr>
          <w:rStyle w:val="FootnoteReference"/>
        </w:rPr>
        <w:footnoteRef/>
      </w:r>
      <w:r w:rsidRPr="00C033D1">
        <w:rPr>
          <w:lang w:val="en-AE"/>
        </w:rPr>
        <w:t xml:space="preserve"> </w:t>
      </w:r>
      <w:hyperlink r:id="rId3" w:history="1">
        <w:r w:rsidRPr="00C033D1">
          <w:rPr>
            <w:rStyle w:val="Hyperlink"/>
            <w:rFonts w:ascii="Times New Roman" w:hAnsi="Times New Roman" w:cs="Times New Roman"/>
            <w:sz w:val="18"/>
            <w:szCs w:val="18"/>
            <w:lang w:val="en-AE"/>
          </w:rPr>
          <w:t>https://www.moec.gov.ae/en/free-zones</w:t>
        </w:r>
      </w:hyperlink>
    </w:p>
  </w:footnote>
  <w:footnote w:id="4">
    <w:p w14:paraId="44802E61" w14:textId="77777777" w:rsidR="00022BD6" w:rsidRPr="00C033D1" w:rsidRDefault="00022BD6" w:rsidP="001653BA">
      <w:pPr>
        <w:pStyle w:val="FootnoteText"/>
        <w:rPr>
          <w:rFonts w:ascii="Times New Roman" w:hAnsi="Times New Roman" w:cs="Times New Roman"/>
          <w:sz w:val="18"/>
          <w:szCs w:val="18"/>
          <w:lang w:val="en-AE"/>
        </w:rPr>
      </w:pPr>
      <w:r w:rsidRPr="00E45C6B">
        <w:rPr>
          <w:rStyle w:val="FootnoteReference"/>
          <w:rFonts w:ascii="Times New Roman" w:hAnsi="Times New Roman" w:cs="Times New Roman"/>
          <w:sz w:val="18"/>
          <w:szCs w:val="18"/>
        </w:rPr>
        <w:footnoteRef/>
      </w:r>
      <w:r w:rsidRPr="00C033D1">
        <w:rPr>
          <w:rFonts w:ascii="Times New Roman" w:hAnsi="Times New Roman" w:cs="Times New Roman"/>
          <w:sz w:val="18"/>
          <w:szCs w:val="18"/>
          <w:lang w:val="en-AE"/>
        </w:rPr>
        <w:t xml:space="preserve"> </w:t>
      </w:r>
      <w:hyperlink r:id="rId4" w:history="1">
        <w:r w:rsidRPr="00C033D1">
          <w:rPr>
            <w:rStyle w:val="Hyperlink"/>
            <w:rFonts w:ascii="Times New Roman" w:hAnsi="Times New Roman" w:cs="Times New Roman"/>
            <w:sz w:val="18"/>
            <w:szCs w:val="18"/>
            <w:lang w:val="en-AE"/>
          </w:rPr>
          <w:t>https://moiat.gov.ae/-/media/site/moiat/media-kit/operation-300bn-media-kit-en.ashx</w:t>
        </w:r>
      </w:hyperlink>
      <w:r w:rsidRPr="00C033D1">
        <w:rPr>
          <w:rFonts w:ascii="Times New Roman" w:hAnsi="Times New Roman" w:cs="Times New Roman"/>
          <w:sz w:val="18"/>
          <w:szCs w:val="18"/>
          <w:lang w:val="en-AE"/>
        </w:rPr>
        <w:t xml:space="preserve"> </w:t>
      </w:r>
    </w:p>
  </w:footnote>
  <w:footnote w:id="5">
    <w:p w14:paraId="45995544" w14:textId="637B0608" w:rsidR="00022BD6" w:rsidRPr="005E5F82" w:rsidRDefault="00022BD6">
      <w:pPr>
        <w:pStyle w:val="FootnoteText"/>
        <w:rPr>
          <w:lang w:val="en-AE"/>
        </w:rPr>
      </w:pPr>
      <w:r>
        <w:rPr>
          <w:rStyle w:val="FootnoteReference"/>
        </w:rPr>
        <w:footnoteRef/>
      </w:r>
      <w:r w:rsidRPr="005E5F82">
        <w:rPr>
          <w:lang w:val="en-AE"/>
        </w:rPr>
        <w:t xml:space="preserve"> </w:t>
      </w:r>
      <w:hyperlink r:id="rId5" w:history="1">
        <w:r w:rsidRPr="005E5F82">
          <w:rPr>
            <w:rStyle w:val="Hyperlink"/>
            <w:rFonts w:ascii="Times New Roman" w:hAnsi="Times New Roman" w:cs="Times New Roman"/>
            <w:sz w:val="18"/>
            <w:szCs w:val="18"/>
            <w:lang w:val="en-AE"/>
          </w:rPr>
          <w:t>https://u.ae/en/information-and-services/jobs/training-and-development/emiratisation</w:t>
        </w:r>
      </w:hyperlink>
      <w:r w:rsidRPr="005E5F82">
        <w:rPr>
          <w:lang w:val="en-AE"/>
        </w:rPr>
        <w:t xml:space="preserve"> </w:t>
      </w:r>
    </w:p>
  </w:footnote>
  <w:footnote w:id="6">
    <w:p w14:paraId="08BD0945" w14:textId="38C37102" w:rsidR="00022BD6" w:rsidRPr="008C2655" w:rsidRDefault="00022BD6">
      <w:pPr>
        <w:pStyle w:val="FootnoteText"/>
        <w:rPr>
          <w:rFonts w:ascii="Times New Roman" w:hAnsi="Times New Roman" w:cs="Times New Roman"/>
          <w:sz w:val="18"/>
          <w:szCs w:val="18"/>
          <w:lang w:val="en-AE"/>
        </w:rPr>
      </w:pPr>
      <w:r>
        <w:rPr>
          <w:rStyle w:val="FootnoteReference"/>
        </w:rPr>
        <w:footnoteRef/>
      </w:r>
      <w:r w:rsidRPr="008C2655">
        <w:rPr>
          <w:lang w:val="en-AE"/>
        </w:rPr>
        <w:t xml:space="preserve"> </w:t>
      </w:r>
      <w:hyperlink r:id="rId6" w:history="1">
        <w:r w:rsidRPr="008C2655">
          <w:rPr>
            <w:rStyle w:val="Hyperlink"/>
            <w:rFonts w:ascii="Times New Roman" w:hAnsi="Times New Roman" w:cs="Times New Roman"/>
            <w:sz w:val="18"/>
            <w:szCs w:val="18"/>
            <w:lang w:val="en-AE"/>
          </w:rPr>
          <w:t>https://disclosure.spglobal.com/ratings/en/regulatory/article/-/view/type/HTML/id/3341637</w:t>
        </w:r>
      </w:hyperlink>
      <w:r w:rsidRPr="008C2655">
        <w:rPr>
          <w:rFonts w:ascii="Times New Roman" w:hAnsi="Times New Roman" w:cs="Times New Roman"/>
          <w:sz w:val="18"/>
          <w:szCs w:val="18"/>
          <w:lang w:val="en-AE"/>
        </w:rPr>
        <w:t xml:space="preserve"> </w:t>
      </w:r>
    </w:p>
  </w:footnote>
  <w:footnote w:id="7">
    <w:p w14:paraId="3775E604" w14:textId="4F41C3C3" w:rsidR="00022BD6" w:rsidRPr="00D9598E" w:rsidRDefault="00022BD6">
      <w:pPr>
        <w:pStyle w:val="FootnoteText"/>
        <w:rPr>
          <w:rFonts w:ascii="Times New Roman" w:hAnsi="Times New Roman" w:cs="Times New Roman"/>
          <w:sz w:val="18"/>
          <w:szCs w:val="18"/>
          <w:lang w:val="en-AE"/>
        </w:rPr>
      </w:pPr>
      <w:r w:rsidRPr="00A93FA5">
        <w:rPr>
          <w:rStyle w:val="FootnoteReference"/>
          <w:rFonts w:ascii="Times New Roman" w:hAnsi="Times New Roman" w:cs="Times New Roman"/>
          <w:sz w:val="18"/>
          <w:szCs w:val="18"/>
        </w:rPr>
        <w:footnoteRef/>
      </w:r>
      <w:r w:rsidRPr="00D9598E">
        <w:rPr>
          <w:rFonts w:ascii="Times New Roman" w:hAnsi="Times New Roman" w:cs="Times New Roman"/>
          <w:sz w:val="18"/>
          <w:szCs w:val="18"/>
          <w:lang w:val="en-AE"/>
        </w:rPr>
        <w:t xml:space="preserve"> </w:t>
      </w:r>
      <w:hyperlink r:id="rId7" w:history="1">
        <w:r w:rsidRPr="00D9598E">
          <w:rPr>
            <w:rStyle w:val="Hyperlink"/>
            <w:rFonts w:ascii="Times New Roman" w:hAnsi="Times New Roman" w:cs="Times New Roman"/>
            <w:sz w:val="18"/>
            <w:szCs w:val="18"/>
            <w:lang w:val="en-AE"/>
          </w:rPr>
          <w:t>https://www.fitchratings.com/research/sovereigns/fitch-affirms-ras-al-khaimah-at-a-outlook-stable-14-05-2025</w:t>
        </w:r>
      </w:hyperlink>
      <w:r w:rsidRPr="00D9598E">
        <w:rPr>
          <w:rFonts w:ascii="Times New Roman" w:hAnsi="Times New Roman" w:cs="Times New Roman"/>
          <w:sz w:val="18"/>
          <w:szCs w:val="18"/>
          <w:lang w:val="en-AE"/>
        </w:rPr>
        <w:t xml:space="preserve"> </w:t>
      </w:r>
    </w:p>
  </w:footnote>
  <w:footnote w:id="8">
    <w:p w14:paraId="68B2B6C2" w14:textId="75BACD62" w:rsidR="00022BD6" w:rsidRPr="00D9598E" w:rsidRDefault="00022BD6">
      <w:pPr>
        <w:pStyle w:val="FootnoteText"/>
        <w:rPr>
          <w:lang w:val="en-AE"/>
        </w:rPr>
      </w:pPr>
      <w:r w:rsidRPr="00A93FA5">
        <w:rPr>
          <w:rStyle w:val="FootnoteReference"/>
          <w:rFonts w:ascii="Times New Roman" w:hAnsi="Times New Roman" w:cs="Times New Roman"/>
          <w:sz w:val="18"/>
          <w:szCs w:val="18"/>
        </w:rPr>
        <w:footnoteRef/>
      </w:r>
      <w:r w:rsidRPr="00D9598E">
        <w:rPr>
          <w:rFonts w:ascii="Times New Roman" w:hAnsi="Times New Roman" w:cs="Times New Roman"/>
          <w:sz w:val="18"/>
          <w:szCs w:val="18"/>
          <w:lang w:val="en-AE"/>
        </w:rPr>
        <w:t xml:space="preserve"> </w:t>
      </w:r>
      <w:hyperlink r:id="rId8" w:history="1">
        <w:r w:rsidRPr="00D9598E">
          <w:rPr>
            <w:rStyle w:val="Hyperlink"/>
            <w:rFonts w:ascii="Times New Roman" w:hAnsi="Times New Roman" w:cs="Times New Roman"/>
            <w:sz w:val="18"/>
            <w:szCs w:val="18"/>
            <w:lang w:val="en-AE"/>
          </w:rPr>
          <w:t>https://www.fscfuj.gov.ae/WebsiteFiles/Reports/1071/Chapter13FinancialandEconomicStatistics.pdf</w:t>
        </w:r>
      </w:hyperlink>
      <w:r w:rsidRPr="00D9598E">
        <w:rPr>
          <w:lang w:val="en-AE"/>
        </w:rPr>
        <w:t xml:space="preserve"> </w:t>
      </w:r>
    </w:p>
  </w:footnote>
  <w:footnote w:id="9">
    <w:p w14:paraId="4BF2A8EF" w14:textId="43F09DB5" w:rsidR="00022BD6" w:rsidRPr="00D9598E" w:rsidRDefault="00022BD6">
      <w:pPr>
        <w:pStyle w:val="FootnoteText"/>
        <w:rPr>
          <w:rFonts w:ascii="Times New Roman" w:hAnsi="Times New Roman" w:cs="Times New Roman"/>
          <w:sz w:val="18"/>
          <w:szCs w:val="18"/>
          <w:lang w:val="en-A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Wingdings" w:hAnsi="Wingdings" w:cs="OpenSymbol"/>
        <w:sz w:val="26"/>
        <w:szCs w:val="26"/>
      </w:rPr>
    </w:lvl>
    <w:lvl w:ilvl="2">
      <w:start w:val="1"/>
      <w:numFmt w:val="bullet"/>
      <w:lvlText w:val=""/>
      <w:lvlJc w:val="left"/>
      <w:pPr>
        <w:tabs>
          <w:tab w:val="num" w:pos="1440"/>
        </w:tabs>
        <w:ind w:left="1440" w:hanging="360"/>
      </w:pPr>
      <w:rPr>
        <w:rFonts w:ascii="Wingdings" w:hAnsi="Wingdings" w:cs="OpenSymbol"/>
        <w:sz w:val="26"/>
        <w:szCs w:val="26"/>
      </w:rPr>
    </w:lvl>
    <w:lvl w:ilvl="3">
      <w:start w:val="1"/>
      <w:numFmt w:val="bullet"/>
      <w:lvlText w:val=""/>
      <w:lvlJc w:val="left"/>
      <w:pPr>
        <w:tabs>
          <w:tab w:val="num" w:pos="1800"/>
        </w:tabs>
        <w:ind w:left="1800" w:hanging="360"/>
      </w:pPr>
      <w:rPr>
        <w:rFonts w:ascii="Wingdings" w:hAnsi="Wingdings" w:cs="OpenSymbol"/>
        <w:sz w:val="26"/>
        <w:szCs w:val="26"/>
      </w:rPr>
    </w:lvl>
    <w:lvl w:ilvl="4">
      <w:start w:val="1"/>
      <w:numFmt w:val="bullet"/>
      <w:lvlText w:val=""/>
      <w:lvlJc w:val="left"/>
      <w:pPr>
        <w:tabs>
          <w:tab w:val="num" w:pos="2160"/>
        </w:tabs>
        <w:ind w:left="2160" w:hanging="360"/>
      </w:pPr>
      <w:rPr>
        <w:rFonts w:ascii="Wingdings" w:hAnsi="Wingdings" w:cs="OpenSymbol"/>
        <w:sz w:val="26"/>
        <w:szCs w:val="26"/>
      </w:rPr>
    </w:lvl>
    <w:lvl w:ilvl="5">
      <w:start w:val="1"/>
      <w:numFmt w:val="bullet"/>
      <w:lvlText w:val=""/>
      <w:lvlJc w:val="left"/>
      <w:pPr>
        <w:tabs>
          <w:tab w:val="num" w:pos="2520"/>
        </w:tabs>
        <w:ind w:left="2520" w:hanging="360"/>
      </w:pPr>
      <w:rPr>
        <w:rFonts w:ascii="Wingdings" w:hAnsi="Wingdings" w:cs="OpenSymbol"/>
        <w:sz w:val="26"/>
        <w:szCs w:val="26"/>
      </w:rPr>
    </w:lvl>
    <w:lvl w:ilvl="6">
      <w:start w:val="1"/>
      <w:numFmt w:val="bullet"/>
      <w:lvlText w:val=""/>
      <w:lvlJc w:val="left"/>
      <w:pPr>
        <w:tabs>
          <w:tab w:val="num" w:pos="2880"/>
        </w:tabs>
        <w:ind w:left="2880" w:hanging="360"/>
      </w:pPr>
      <w:rPr>
        <w:rFonts w:ascii="Wingdings" w:hAnsi="Wingdings" w:cs="OpenSymbol"/>
        <w:sz w:val="26"/>
        <w:szCs w:val="26"/>
      </w:rPr>
    </w:lvl>
    <w:lvl w:ilvl="7">
      <w:start w:val="1"/>
      <w:numFmt w:val="bullet"/>
      <w:lvlText w:val=""/>
      <w:lvlJc w:val="left"/>
      <w:pPr>
        <w:tabs>
          <w:tab w:val="num" w:pos="3240"/>
        </w:tabs>
        <w:ind w:left="3240" w:hanging="360"/>
      </w:pPr>
      <w:rPr>
        <w:rFonts w:ascii="Wingdings" w:hAnsi="Wingdings" w:cs="OpenSymbol"/>
        <w:sz w:val="26"/>
        <w:szCs w:val="26"/>
      </w:rPr>
    </w:lvl>
    <w:lvl w:ilvl="8">
      <w:start w:val="1"/>
      <w:numFmt w:val="bullet"/>
      <w:lvlText w:val=""/>
      <w:lvlJc w:val="left"/>
      <w:pPr>
        <w:tabs>
          <w:tab w:val="num" w:pos="3600"/>
        </w:tabs>
        <w:ind w:left="3600" w:hanging="360"/>
      </w:pPr>
      <w:rPr>
        <w:rFonts w:ascii="Wingdings" w:hAnsi="Wingdings" w:cs="OpenSymbol"/>
        <w:sz w:val="26"/>
        <w:szCs w:val="26"/>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3" w15:restartNumberingAfterBreak="0">
    <w:nsid w:val="00014B9D"/>
    <w:multiLevelType w:val="hybridMultilevel"/>
    <w:tmpl w:val="0A70CA16"/>
    <w:lvl w:ilvl="0" w:tplc="4C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4" w15:restartNumberingAfterBreak="0">
    <w:nsid w:val="00D6517D"/>
    <w:multiLevelType w:val="hybridMultilevel"/>
    <w:tmpl w:val="FC7854B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5" w15:restartNumberingAfterBreak="0">
    <w:nsid w:val="17765039"/>
    <w:multiLevelType w:val="hybridMultilevel"/>
    <w:tmpl w:val="E60E614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6" w15:restartNumberingAfterBreak="0">
    <w:nsid w:val="187910DA"/>
    <w:multiLevelType w:val="hybridMultilevel"/>
    <w:tmpl w:val="67A0CC2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7" w15:restartNumberingAfterBreak="0">
    <w:nsid w:val="1C4F320B"/>
    <w:multiLevelType w:val="multilevel"/>
    <w:tmpl w:val="042667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51A119C"/>
    <w:multiLevelType w:val="hybridMultilevel"/>
    <w:tmpl w:val="6F662AE0"/>
    <w:lvl w:ilvl="0" w:tplc="4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2948E7"/>
    <w:multiLevelType w:val="hybridMultilevel"/>
    <w:tmpl w:val="1D64D008"/>
    <w:lvl w:ilvl="0" w:tplc="4C090001">
      <w:start w:val="1"/>
      <w:numFmt w:val="bullet"/>
      <w:lvlText w:val=""/>
      <w:lvlJc w:val="left"/>
      <w:pPr>
        <w:ind w:left="1287" w:hanging="360"/>
      </w:pPr>
      <w:rPr>
        <w:rFonts w:ascii="Symbol" w:hAnsi="Symbol" w:hint="default"/>
      </w:rPr>
    </w:lvl>
    <w:lvl w:ilvl="1" w:tplc="4C090003" w:tentative="1">
      <w:start w:val="1"/>
      <w:numFmt w:val="bullet"/>
      <w:lvlText w:val="o"/>
      <w:lvlJc w:val="left"/>
      <w:pPr>
        <w:ind w:left="2007" w:hanging="360"/>
      </w:pPr>
      <w:rPr>
        <w:rFonts w:ascii="Courier New" w:hAnsi="Courier New" w:cs="Courier New" w:hint="default"/>
      </w:rPr>
    </w:lvl>
    <w:lvl w:ilvl="2" w:tplc="4C090005" w:tentative="1">
      <w:start w:val="1"/>
      <w:numFmt w:val="bullet"/>
      <w:lvlText w:val=""/>
      <w:lvlJc w:val="left"/>
      <w:pPr>
        <w:ind w:left="2727" w:hanging="360"/>
      </w:pPr>
      <w:rPr>
        <w:rFonts w:ascii="Wingdings" w:hAnsi="Wingdings" w:hint="default"/>
      </w:rPr>
    </w:lvl>
    <w:lvl w:ilvl="3" w:tplc="4C090001" w:tentative="1">
      <w:start w:val="1"/>
      <w:numFmt w:val="bullet"/>
      <w:lvlText w:val=""/>
      <w:lvlJc w:val="left"/>
      <w:pPr>
        <w:ind w:left="3447" w:hanging="360"/>
      </w:pPr>
      <w:rPr>
        <w:rFonts w:ascii="Symbol" w:hAnsi="Symbol" w:hint="default"/>
      </w:rPr>
    </w:lvl>
    <w:lvl w:ilvl="4" w:tplc="4C090003" w:tentative="1">
      <w:start w:val="1"/>
      <w:numFmt w:val="bullet"/>
      <w:lvlText w:val="o"/>
      <w:lvlJc w:val="left"/>
      <w:pPr>
        <w:ind w:left="4167" w:hanging="360"/>
      </w:pPr>
      <w:rPr>
        <w:rFonts w:ascii="Courier New" w:hAnsi="Courier New" w:cs="Courier New" w:hint="default"/>
      </w:rPr>
    </w:lvl>
    <w:lvl w:ilvl="5" w:tplc="4C090005" w:tentative="1">
      <w:start w:val="1"/>
      <w:numFmt w:val="bullet"/>
      <w:lvlText w:val=""/>
      <w:lvlJc w:val="left"/>
      <w:pPr>
        <w:ind w:left="4887" w:hanging="360"/>
      </w:pPr>
      <w:rPr>
        <w:rFonts w:ascii="Wingdings" w:hAnsi="Wingdings" w:hint="default"/>
      </w:rPr>
    </w:lvl>
    <w:lvl w:ilvl="6" w:tplc="4C090001" w:tentative="1">
      <w:start w:val="1"/>
      <w:numFmt w:val="bullet"/>
      <w:lvlText w:val=""/>
      <w:lvlJc w:val="left"/>
      <w:pPr>
        <w:ind w:left="5607" w:hanging="360"/>
      </w:pPr>
      <w:rPr>
        <w:rFonts w:ascii="Symbol" w:hAnsi="Symbol" w:hint="default"/>
      </w:rPr>
    </w:lvl>
    <w:lvl w:ilvl="7" w:tplc="4C090003" w:tentative="1">
      <w:start w:val="1"/>
      <w:numFmt w:val="bullet"/>
      <w:lvlText w:val="o"/>
      <w:lvlJc w:val="left"/>
      <w:pPr>
        <w:ind w:left="6327" w:hanging="360"/>
      </w:pPr>
      <w:rPr>
        <w:rFonts w:ascii="Courier New" w:hAnsi="Courier New" w:cs="Courier New" w:hint="default"/>
      </w:rPr>
    </w:lvl>
    <w:lvl w:ilvl="8" w:tplc="4C090005" w:tentative="1">
      <w:start w:val="1"/>
      <w:numFmt w:val="bullet"/>
      <w:lvlText w:val=""/>
      <w:lvlJc w:val="left"/>
      <w:pPr>
        <w:ind w:left="7047" w:hanging="360"/>
      </w:pPr>
      <w:rPr>
        <w:rFonts w:ascii="Wingdings" w:hAnsi="Wingdings" w:hint="default"/>
      </w:rPr>
    </w:lvl>
  </w:abstractNum>
  <w:abstractNum w:abstractNumId="10" w15:restartNumberingAfterBreak="0">
    <w:nsid w:val="29A55044"/>
    <w:multiLevelType w:val="hybridMultilevel"/>
    <w:tmpl w:val="286299B0"/>
    <w:lvl w:ilvl="0" w:tplc="4C090001">
      <w:start w:val="1"/>
      <w:numFmt w:val="bullet"/>
      <w:lvlText w:val=""/>
      <w:lvlJc w:val="left"/>
      <w:pPr>
        <w:ind w:left="1287" w:hanging="360"/>
      </w:pPr>
      <w:rPr>
        <w:rFonts w:ascii="Symbol" w:hAnsi="Symbol" w:hint="default"/>
      </w:rPr>
    </w:lvl>
    <w:lvl w:ilvl="1" w:tplc="4C090003" w:tentative="1">
      <w:start w:val="1"/>
      <w:numFmt w:val="bullet"/>
      <w:lvlText w:val="o"/>
      <w:lvlJc w:val="left"/>
      <w:pPr>
        <w:ind w:left="2007" w:hanging="360"/>
      </w:pPr>
      <w:rPr>
        <w:rFonts w:ascii="Courier New" w:hAnsi="Courier New" w:cs="Courier New" w:hint="default"/>
      </w:rPr>
    </w:lvl>
    <w:lvl w:ilvl="2" w:tplc="4C090005" w:tentative="1">
      <w:start w:val="1"/>
      <w:numFmt w:val="bullet"/>
      <w:lvlText w:val=""/>
      <w:lvlJc w:val="left"/>
      <w:pPr>
        <w:ind w:left="2727" w:hanging="360"/>
      </w:pPr>
      <w:rPr>
        <w:rFonts w:ascii="Wingdings" w:hAnsi="Wingdings" w:hint="default"/>
      </w:rPr>
    </w:lvl>
    <w:lvl w:ilvl="3" w:tplc="4C090001" w:tentative="1">
      <w:start w:val="1"/>
      <w:numFmt w:val="bullet"/>
      <w:lvlText w:val=""/>
      <w:lvlJc w:val="left"/>
      <w:pPr>
        <w:ind w:left="3447" w:hanging="360"/>
      </w:pPr>
      <w:rPr>
        <w:rFonts w:ascii="Symbol" w:hAnsi="Symbol" w:hint="default"/>
      </w:rPr>
    </w:lvl>
    <w:lvl w:ilvl="4" w:tplc="4C090003" w:tentative="1">
      <w:start w:val="1"/>
      <w:numFmt w:val="bullet"/>
      <w:lvlText w:val="o"/>
      <w:lvlJc w:val="left"/>
      <w:pPr>
        <w:ind w:left="4167" w:hanging="360"/>
      </w:pPr>
      <w:rPr>
        <w:rFonts w:ascii="Courier New" w:hAnsi="Courier New" w:cs="Courier New" w:hint="default"/>
      </w:rPr>
    </w:lvl>
    <w:lvl w:ilvl="5" w:tplc="4C090005" w:tentative="1">
      <w:start w:val="1"/>
      <w:numFmt w:val="bullet"/>
      <w:lvlText w:val=""/>
      <w:lvlJc w:val="left"/>
      <w:pPr>
        <w:ind w:left="4887" w:hanging="360"/>
      </w:pPr>
      <w:rPr>
        <w:rFonts w:ascii="Wingdings" w:hAnsi="Wingdings" w:hint="default"/>
      </w:rPr>
    </w:lvl>
    <w:lvl w:ilvl="6" w:tplc="4C090001" w:tentative="1">
      <w:start w:val="1"/>
      <w:numFmt w:val="bullet"/>
      <w:lvlText w:val=""/>
      <w:lvlJc w:val="left"/>
      <w:pPr>
        <w:ind w:left="5607" w:hanging="360"/>
      </w:pPr>
      <w:rPr>
        <w:rFonts w:ascii="Symbol" w:hAnsi="Symbol" w:hint="default"/>
      </w:rPr>
    </w:lvl>
    <w:lvl w:ilvl="7" w:tplc="4C090003" w:tentative="1">
      <w:start w:val="1"/>
      <w:numFmt w:val="bullet"/>
      <w:lvlText w:val="o"/>
      <w:lvlJc w:val="left"/>
      <w:pPr>
        <w:ind w:left="6327" w:hanging="360"/>
      </w:pPr>
      <w:rPr>
        <w:rFonts w:ascii="Courier New" w:hAnsi="Courier New" w:cs="Courier New" w:hint="default"/>
      </w:rPr>
    </w:lvl>
    <w:lvl w:ilvl="8" w:tplc="4C090005" w:tentative="1">
      <w:start w:val="1"/>
      <w:numFmt w:val="bullet"/>
      <w:lvlText w:val=""/>
      <w:lvlJc w:val="left"/>
      <w:pPr>
        <w:ind w:left="7047" w:hanging="360"/>
      </w:pPr>
      <w:rPr>
        <w:rFonts w:ascii="Wingdings" w:hAnsi="Wingdings" w:hint="default"/>
      </w:rPr>
    </w:lvl>
  </w:abstractNum>
  <w:abstractNum w:abstractNumId="11" w15:restartNumberingAfterBreak="0">
    <w:nsid w:val="2A9963F3"/>
    <w:multiLevelType w:val="hybridMultilevel"/>
    <w:tmpl w:val="29A4CF5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2F620C85"/>
    <w:multiLevelType w:val="hybridMultilevel"/>
    <w:tmpl w:val="ABCA12C0"/>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3" w15:restartNumberingAfterBreak="0">
    <w:nsid w:val="31E27AD3"/>
    <w:multiLevelType w:val="hybridMultilevel"/>
    <w:tmpl w:val="36583E10"/>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B77058"/>
    <w:multiLevelType w:val="multilevel"/>
    <w:tmpl w:val="F3661E6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070" w:hanging="720"/>
      </w:pPr>
      <w:rPr>
        <w:b w:val="0"/>
        <w:bCs w:val="0"/>
        <w:i w:val="0"/>
        <w:iCs w:val="0"/>
        <w:caps w:val="0"/>
        <w:smallCaps w:val="0"/>
        <w:strike w:val="0"/>
        <w:dstrike w:val="0"/>
        <w:noProof w:val="0"/>
        <w:vanish w:val="0"/>
        <w:color w:val="1F497D"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C7F1164"/>
    <w:multiLevelType w:val="hybridMultilevel"/>
    <w:tmpl w:val="A9E65034"/>
    <w:lvl w:ilvl="0" w:tplc="4C090001">
      <w:start w:val="1"/>
      <w:numFmt w:val="bullet"/>
      <w:lvlText w:val=""/>
      <w:lvlJc w:val="left"/>
      <w:pPr>
        <w:ind w:left="1152" w:hanging="360"/>
      </w:pPr>
      <w:rPr>
        <w:rFonts w:ascii="Symbol" w:hAnsi="Symbol" w:hint="default"/>
      </w:rPr>
    </w:lvl>
    <w:lvl w:ilvl="1" w:tplc="4C090003" w:tentative="1">
      <w:start w:val="1"/>
      <w:numFmt w:val="bullet"/>
      <w:lvlText w:val="o"/>
      <w:lvlJc w:val="left"/>
      <w:pPr>
        <w:ind w:left="1872" w:hanging="360"/>
      </w:pPr>
      <w:rPr>
        <w:rFonts w:ascii="Courier New" w:hAnsi="Courier New" w:cs="Courier New" w:hint="default"/>
      </w:rPr>
    </w:lvl>
    <w:lvl w:ilvl="2" w:tplc="4C090005" w:tentative="1">
      <w:start w:val="1"/>
      <w:numFmt w:val="bullet"/>
      <w:lvlText w:val=""/>
      <w:lvlJc w:val="left"/>
      <w:pPr>
        <w:ind w:left="2592" w:hanging="360"/>
      </w:pPr>
      <w:rPr>
        <w:rFonts w:ascii="Wingdings" w:hAnsi="Wingdings" w:hint="default"/>
      </w:rPr>
    </w:lvl>
    <w:lvl w:ilvl="3" w:tplc="4C090001" w:tentative="1">
      <w:start w:val="1"/>
      <w:numFmt w:val="bullet"/>
      <w:lvlText w:val=""/>
      <w:lvlJc w:val="left"/>
      <w:pPr>
        <w:ind w:left="3312" w:hanging="360"/>
      </w:pPr>
      <w:rPr>
        <w:rFonts w:ascii="Symbol" w:hAnsi="Symbol" w:hint="default"/>
      </w:rPr>
    </w:lvl>
    <w:lvl w:ilvl="4" w:tplc="4C090003" w:tentative="1">
      <w:start w:val="1"/>
      <w:numFmt w:val="bullet"/>
      <w:lvlText w:val="o"/>
      <w:lvlJc w:val="left"/>
      <w:pPr>
        <w:ind w:left="4032" w:hanging="360"/>
      </w:pPr>
      <w:rPr>
        <w:rFonts w:ascii="Courier New" w:hAnsi="Courier New" w:cs="Courier New" w:hint="default"/>
      </w:rPr>
    </w:lvl>
    <w:lvl w:ilvl="5" w:tplc="4C090005" w:tentative="1">
      <w:start w:val="1"/>
      <w:numFmt w:val="bullet"/>
      <w:lvlText w:val=""/>
      <w:lvlJc w:val="left"/>
      <w:pPr>
        <w:ind w:left="4752" w:hanging="360"/>
      </w:pPr>
      <w:rPr>
        <w:rFonts w:ascii="Wingdings" w:hAnsi="Wingdings" w:hint="default"/>
      </w:rPr>
    </w:lvl>
    <w:lvl w:ilvl="6" w:tplc="4C090001" w:tentative="1">
      <w:start w:val="1"/>
      <w:numFmt w:val="bullet"/>
      <w:lvlText w:val=""/>
      <w:lvlJc w:val="left"/>
      <w:pPr>
        <w:ind w:left="5472" w:hanging="360"/>
      </w:pPr>
      <w:rPr>
        <w:rFonts w:ascii="Symbol" w:hAnsi="Symbol" w:hint="default"/>
      </w:rPr>
    </w:lvl>
    <w:lvl w:ilvl="7" w:tplc="4C090003" w:tentative="1">
      <w:start w:val="1"/>
      <w:numFmt w:val="bullet"/>
      <w:lvlText w:val="o"/>
      <w:lvlJc w:val="left"/>
      <w:pPr>
        <w:ind w:left="6192" w:hanging="360"/>
      </w:pPr>
      <w:rPr>
        <w:rFonts w:ascii="Courier New" w:hAnsi="Courier New" w:cs="Courier New" w:hint="default"/>
      </w:rPr>
    </w:lvl>
    <w:lvl w:ilvl="8" w:tplc="4C090005" w:tentative="1">
      <w:start w:val="1"/>
      <w:numFmt w:val="bullet"/>
      <w:lvlText w:val=""/>
      <w:lvlJc w:val="left"/>
      <w:pPr>
        <w:ind w:left="6912" w:hanging="360"/>
      </w:pPr>
      <w:rPr>
        <w:rFonts w:ascii="Wingdings" w:hAnsi="Wingdings" w:hint="default"/>
      </w:rPr>
    </w:lvl>
  </w:abstractNum>
  <w:abstractNum w:abstractNumId="16" w15:restartNumberingAfterBreak="0">
    <w:nsid w:val="3EAD2248"/>
    <w:multiLevelType w:val="hybridMultilevel"/>
    <w:tmpl w:val="C2EC6A2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7" w15:restartNumberingAfterBreak="0">
    <w:nsid w:val="3FF01547"/>
    <w:multiLevelType w:val="hybridMultilevel"/>
    <w:tmpl w:val="F5A8BD22"/>
    <w:lvl w:ilvl="0" w:tplc="4C090001">
      <w:start w:val="1"/>
      <w:numFmt w:val="bullet"/>
      <w:lvlText w:val=""/>
      <w:lvlJc w:val="left"/>
      <w:pPr>
        <w:ind w:left="1287" w:hanging="360"/>
      </w:pPr>
      <w:rPr>
        <w:rFonts w:ascii="Symbol" w:hAnsi="Symbol" w:hint="default"/>
      </w:rPr>
    </w:lvl>
    <w:lvl w:ilvl="1" w:tplc="4C090003" w:tentative="1">
      <w:start w:val="1"/>
      <w:numFmt w:val="bullet"/>
      <w:lvlText w:val="o"/>
      <w:lvlJc w:val="left"/>
      <w:pPr>
        <w:ind w:left="2007" w:hanging="360"/>
      </w:pPr>
      <w:rPr>
        <w:rFonts w:ascii="Courier New" w:hAnsi="Courier New" w:cs="Courier New" w:hint="default"/>
      </w:rPr>
    </w:lvl>
    <w:lvl w:ilvl="2" w:tplc="4C090005" w:tentative="1">
      <w:start w:val="1"/>
      <w:numFmt w:val="bullet"/>
      <w:lvlText w:val=""/>
      <w:lvlJc w:val="left"/>
      <w:pPr>
        <w:ind w:left="2727" w:hanging="360"/>
      </w:pPr>
      <w:rPr>
        <w:rFonts w:ascii="Wingdings" w:hAnsi="Wingdings" w:hint="default"/>
      </w:rPr>
    </w:lvl>
    <w:lvl w:ilvl="3" w:tplc="4C090001" w:tentative="1">
      <w:start w:val="1"/>
      <w:numFmt w:val="bullet"/>
      <w:lvlText w:val=""/>
      <w:lvlJc w:val="left"/>
      <w:pPr>
        <w:ind w:left="3447" w:hanging="360"/>
      </w:pPr>
      <w:rPr>
        <w:rFonts w:ascii="Symbol" w:hAnsi="Symbol" w:hint="default"/>
      </w:rPr>
    </w:lvl>
    <w:lvl w:ilvl="4" w:tplc="4C090003" w:tentative="1">
      <w:start w:val="1"/>
      <w:numFmt w:val="bullet"/>
      <w:lvlText w:val="o"/>
      <w:lvlJc w:val="left"/>
      <w:pPr>
        <w:ind w:left="4167" w:hanging="360"/>
      </w:pPr>
      <w:rPr>
        <w:rFonts w:ascii="Courier New" w:hAnsi="Courier New" w:cs="Courier New" w:hint="default"/>
      </w:rPr>
    </w:lvl>
    <w:lvl w:ilvl="5" w:tplc="4C090005" w:tentative="1">
      <w:start w:val="1"/>
      <w:numFmt w:val="bullet"/>
      <w:lvlText w:val=""/>
      <w:lvlJc w:val="left"/>
      <w:pPr>
        <w:ind w:left="4887" w:hanging="360"/>
      </w:pPr>
      <w:rPr>
        <w:rFonts w:ascii="Wingdings" w:hAnsi="Wingdings" w:hint="default"/>
      </w:rPr>
    </w:lvl>
    <w:lvl w:ilvl="6" w:tplc="4C090001" w:tentative="1">
      <w:start w:val="1"/>
      <w:numFmt w:val="bullet"/>
      <w:lvlText w:val=""/>
      <w:lvlJc w:val="left"/>
      <w:pPr>
        <w:ind w:left="5607" w:hanging="360"/>
      </w:pPr>
      <w:rPr>
        <w:rFonts w:ascii="Symbol" w:hAnsi="Symbol" w:hint="default"/>
      </w:rPr>
    </w:lvl>
    <w:lvl w:ilvl="7" w:tplc="4C090003" w:tentative="1">
      <w:start w:val="1"/>
      <w:numFmt w:val="bullet"/>
      <w:lvlText w:val="o"/>
      <w:lvlJc w:val="left"/>
      <w:pPr>
        <w:ind w:left="6327" w:hanging="360"/>
      </w:pPr>
      <w:rPr>
        <w:rFonts w:ascii="Courier New" w:hAnsi="Courier New" w:cs="Courier New" w:hint="default"/>
      </w:rPr>
    </w:lvl>
    <w:lvl w:ilvl="8" w:tplc="4C090005" w:tentative="1">
      <w:start w:val="1"/>
      <w:numFmt w:val="bullet"/>
      <w:lvlText w:val=""/>
      <w:lvlJc w:val="left"/>
      <w:pPr>
        <w:ind w:left="7047" w:hanging="360"/>
      </w:pPr>
      <w:rPr>
        <w:rFonts w:ascii="Wingdings" w:hAnsi="Wingdings" w:hint="default"/>
      </w:rPr>
    </w:lvl>
  </w:abstractNum>
  <w:abstractNum w:abstractNumId="18" w15:restartNumberingAfterBreak="0">
    <w:nsid w:val="42002B4D"/>
    <w:multiLevelType w:val="hybridMultilevel"/>
    <w:tmpl w:val="A72A8DAA"/>
    <w:lvl w:ilvl="0" w:tplc="4C090001">
      <w:start w:val="1"/>
      <w:numFmt w:val="bullet"/>
      <w:lvlText w:val=""/>
      <w:lvlJc w:val="left"/>
      <w:pPr>
        <w:ind w:left="780" w:hanging="360"/>
      </w:pPr>
      <w:rPr>
        <w:rFonts w:ascii="Symbol" w:hAnsi="Symbol" w:hint="default"/>
      </w:rPr>
    </w:lvl>
    <w:lvl w:ilvl="1" w:tplc="4C090003" w:tentative="1">
      <w:start w:val="1"/>
      <w:numFmt w:val="bullet"/>
      <w:lvlText w:val="o"/>
      <w:lvlJc w:val="left"/>
      <w:pPr>
        <w:ind w:left="1500" w:hanging="360"/>
      </w:pPr>
      <w:rPr>
        <w:rFonts w:ascii="Courier New" w:hAnsi="Courier New" w:cs="Courier New" w:hint="default"/>
      </w:rPr>
    </w:lvl>
    <w:lvl w:ilvl="2" w:tplc="4C090005" w:tentative="1">
      <w:start w:val="1"/>
      <w:numFmt w:val="bullet"/>
      <w:lvlText w:val=""/>
      <w:lvlJc w:val="left"/>
      <w:pPr>
        <w:ind w:left="2220" w:hanging="360"/>
      </w:pPr>
      <w:rPr>
        <w:rFonts w:ascii="Wingdings" w:hAnsi="Wingdings" w:hint="default"/>
      </w:rPr>
    </w:lvl>
    <w:lvl w:ilvl="3" w:tplc="4C090001" w:tentative="1">
      <w:start w:val="1"/>
      <w:numFmt w:val="bullet"/>
      <w:lvlText w:val=""/>
      <w:lvlJc w:val="left"/>
      <w:pPr>
        <w:ind w:left="2940" w:hanging="360"/>
      </w:pPr>
      <w:rPr>
        <w:rFonts w:ascii="Symbol" w:hAnsi="Symbol" w:hint="default"/>
      </w:rPr>
    </w:lvl>
    <w:lvl w:ilvl="4" w:tplc="4C090003" w:tentative="1">
      <w:start w:val="1"/>
      <w:numFmt w:val="bullet"/>
      <w:lvlText w:val="o"/>
      <w:lvlJc w:val="left"/>
      <w:pPr>
        <w:ind w:left="3660" w:hanging="360"/>
      </w:pPr>
      <w:rPr>
        <w:rFonts w:ascii="Courier New" w:hAnsi="Courier New" w:cs="Courier New" w:hint="default"/>
      </w:rPr>
    </w:lvl>
    <w:lvl w:ilvl="5" w:tplc="4C090005" w:tentative="1">
      <w:start w:val="1"/>
      <w:numFmt w:val="bullet"/>
      <w:lvlText w:val=""/>
      <w:lvlJc w:val="left"/>
      <w:pPr>
        <w:ind w:left="4380" w:hanging="360"/>
      </w:pPr>
      <w:rPr>
        <w:rFonts w:ascii="Wingdings" w:hAnsi="Wingdings" w:hint="default"/>
      </w:rPr>
    </w:lvl>
    <w:lvl w:ilvl="6" w:tplc="4C090001" w:tentative="1">
      <w:start w:val="1"/>
      <w:numFmt w:val="bullet"/>
      <w:lvlText w:val=""/>
      <w:lvlJc w:val="left"/>
      <w:pPr>
        <w:ind w:left="5100" w:hanging="360"/>
      </w:pPr>
      <w:rPr>
        <w:rFonts w:ascii="Symbol" w:hAnsi="Symbol" w:hint="default"/>
      </w:rPr>
    </w:lvl>
    <w:lvl w:ilvl="7" w:tplc="4C090003" w:tentative="1">
      <w:start w:val="1"/>
      <w:numFmt w:val="bullet"/>
      <w:lvlText w:val="o"/>
      <w:lvlJc w:val="left"/>
      <w:pPr>
        <w:ind w:left="5820" w:hanging="360"/>
      </w:pPr>
      <w:rPr>
        <w:rFonts w:ascii="Courier New" w:hAnsi="Courier New" w:cs="Courier New" w:hint="default"/>
      </w:rPr>
    </w:lvl>
    <w:lvl w:ilvl="8" w:tplc="4C090005" w:tentative="1">
      <w:start w:val="1"/>
      <w:numFmt w:val="bullet"/>
      <w:lvlText w:val=""/>
      <w:lvlJc w:val="left"/>
      <w:pPr>
        <w:ind w:left="6540" w:hanging="360"/>
      </w:pPr>
      <w:rPr>
        <w:rFonts w:ascii="Wingdings" w:hAnsi="Wingdings" w:hint="default"/>
      </w:rPr>
    </w:lvl>
  </w:abstractNum>
  <w:abstractNum w:abstractNumId="19" w15:restartNumberingAfterBreak="0">
    <w:nsid w:val="42C96683"/>
    <w:multiLevelType w:val="hybridMultilevel"/>
    <w:tmpl w:val="0046C138"/>
    <w:lvl w:ilvl="0" w:tplc="83803D6C">
      <w:start w:val="1"/>
      <w:numFmt w:val="bullet"/>
      <w:lvlText w:val=""/>
      <w:lvlJc w:val="left"/>
      <w:pPr>
        <w:ind w:left="720" w:hanging="360"/>
      </w:pPr>
      <w:rPr>
        <w:rFonts w:ascii="Symbol" w:hAnsi="Symbol" w:cs="Symbol" w:hint="default"/>
        <w:b/>
        <w:color w:val="auto"/>
        <w:szCs w:val="22"/>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0" w15:restartNumberingAfterBreak="0">
    <w:nsid w:val="49660F73"/>
    <w:multiLevelType w:val="hybridMultilevel"/>
    <w:tmpl w:val="D764B488"/>
    <w:lvl w:ilvl="0" w:tplc="4C090001">
      <w:start w:val="1"/>
      <w:numFmt w:val="bullet"/>
      <w:lvlText w:val=""/>
      <w:lvlJc w:val="left"/>
      <w:pPr>
        <w:ind w:left="1152" w:hanging="360"/>
      </w:pPr>
      <w:rPr>
        <w:rFonts w:ascii="Symbol" w:hAnsi="Symbol" w:hint="default"/>
      </w:rPr>
    </w:lvl>
    <w:lvl w:ilvl="1" w:tplc="4C090003" w:tentative="1">
      <w:start w:val="1"/>
      <w:numFmt w:val="bullet"/>
      <w:lvlText w:val="o"/>
      <w:lvlJc w:val="left"/>
      <w:pPr>
        <w:ind w:left="1872" w:hanging="360"/>
      </w:pPr>
      <w:rPr>
        <w:rFonts w:ascii="Courier New" w:hAnsi="Courier New" w:cs="Courier New" w:hint="default"/>
      </w:rPr>
    </w:lvl>
    <w:lvl w:ilvl="2" w:tplc="4C090005" w:tentative="1">
      <w:start w:val="1"/>
      <w:numFmt w:val="bullet"/>
      <w:lvlText w:val=""/>
      <w:lvlJc w:val="left"/>
      <w:pPr>
        <w:ind w:left="2592" w:hanging="360"/>
      </w:pPr>
      <w:rPr>
        <w:rFonts w:ascii="Wingdings" w:hAnsi="Wingdings" w:hint="default"/>
      </w:rPr>
    </w:lvl>
    <w:lvl w:ilvl="3" w:tplc="4C090001" w:tentative="1">
      <w:start w:val="1"/>
      <w:numFmt w:val="bullet"/>
      <w:lvlText w:val=""/>
      <w:lvlJc w:val="left"/>
      <w:pPr>
        <w:ind w:left="3312" w:hanging="360"/>
      </w:pPr>
      <w:rPr>
        <w:rFonts w:ascii="Symbol" w:hAnsi="Symbol" w:hint="default"/>
      </w:rPr>
    </w:lvl>
    <w:lvl w:ilvl="4" w:tplc="4C090003" w:tentative="1">
      <w:start w:val="1"/>
      <w:numFmt w:val="bullet"/>
      <w:lvlText w:val="o"/>
      <w:lvlJc w:val="left"/>
      <w:pPr>
        <w:ind w:left="4032" w:hanging="360"/>
      </w:pPr>
      <w:rPr>
        <w:rFonts w:ascii="Courier New" w:hAnsi="Courier New" w:cs="Courier New" w:hint="default"/>
      </w:rPr>
    </w:lvl>
    <w:lvl w:ilvl="5" w:tplc="4C090005" w:tentative="1">
      <w:start w:val="1"/>
      <w:numFmt w:val="bullet"/>
      <w:lvlText w:val=""/>
      <w:lvlJc w:val="left"/>
      <w:pPr>
        <w:ind w:left="4752" w:hanging="360"/>
      </w:pPr>
      <w:rPr>
        <w:rFonts w:ascii="Wingdings" w:hAnsi="Wingdings" w:hint="default"/>
      </w:rPr>
    </w:lvl>
    <w:lvl w:ilvl="6" w:tplc="4C090001" w:tentative="1">
      <w:start w:val="1"/>
      <w:numFmt w:val="bullet"/>
      <w:lvlText w:val=""/>
      <w:lvlJc w:val="left"/>
      <w:pPr>
        <w:ind w:left="5472" w:hanging="360"/>
      </w:pPr>
      <w:rPr>
        <w:rFonts w:ascii="Symbol" w:hAnsi="Symbol" w:hint="default"/>
      </w:rPr>
    </w:lvl>
    <w:lvl w:ilvl="7" w:tplc="4C090003" w:tentative="1">
      <w:start w:val="1"/>
      <w:numFmt w:val="bullet"/>
      <w:lvlText w:val="o"/>
      <w:lvlJc w:val="left"/>
      <w:pPr>
        <w:ind w:left="6192" w:hanging="360"/>
      </w:pPr>
      <w:rPr>
        <w:rFonts w:ascii="Courier New" w:hAnsi="Courier New" w:cs="Courier New" w:hint="default"/>
      </w:rPr>
    </w:lvl>
    <w:lvl w:ilvl="8" w:tplc="4C090005" w:tentative="1">
      <w:start w:val="1"/>
      <w:numFmt w:val="bullet"/>
      <w:lvlText w:val=""/>
      <w:lvlJc w:val="left"/>
      <w:pPr>
        <w:ind w:left="6912" w:hanging="360"/>
      </w:pPr>
      <w:rPr>
        <w:rFonts w:ascii="Wingdings" w:hAnsi="Wingdings" w:hint="default"/>
      </w:rPr>
    </w:lvl>
  </w:abstractNum>
  <w:abstractNum w:abstractNumId="21" w15:restartNumberingAfterBreak="0">
    <w:nsid w:val="4FD2615D"/>
    <w:multiLevelType w:val="hybridMultilevel"/>
    <w:tmpl w:val="F03027D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3A94BCE"/>
    <w:multiLevelType w:val="hybridMultilevel"/>
    <w:tmpl w:val="760E8C7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3" w15:restartNumberingAfterBreak="0">
    <w:nsid w:val="55D75DC5"/>
    <w:multiLevelType w:val="hybridMultilevel"/>
    <w:tmpl w:val="0C08C96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4" w15:restartNumberingAfterBreak="0">
    <w:nsid w:val="59874B07"/>
    <w:multiLevelType w:val="hybridMultilevel"/>
    <w:tmpl w:val="83EA2A5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5" w15:restartNumberingAfterBreak="0">
    <w:nsid w:val="63E92686"/>
    <w:multiLevelType w:val="hybridMultilevel"/>
    <w:tmpl w:val="59B02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46F3B5D"/>
    <w:multiLevelType w:val="hybridMultilevel"/>
    <w:tmpl w:val="D1926A30"/>
    <w:lvl w:ilvl="0" w:tplc="543A9272">
      <w:start w:val="1"/>
      <w:numFmt w:val="bullet"/>
      <w:lvlText w:val=""/>
      <w:lvlJc w:val="left"/>
      <w:pPr>
        <w:ind w:left="720" w:hanging="360"/>
      </w:pPr>
      <w:rPr>
        <w:rFonts w:ascii="Symbol" w:hAnsi="Symbol" w:cs="Symbol" w:hint="default"/>
        <w:b/>
        <w:color w:val="auto"/>
        <w:szCs w:val="22"/>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7" w15:restartNumberingAfterBreak="0">
    <w:nsid w:val="68234AC2"/>
    <w:multiLevelType w:val="hybridMultilevel"/>
    <w:tmpl w:val="56FA4B9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8" w15:restartNumberingAfterBreak="0">
    <w:nsid w:val="6AFF000C"/>
    <w:multiLevelType w:val="hybridMultilevel"/>
    <w:tmpl w:val="8CEEFDC4"/>
    <w:lvl w:ilvl="0" w:tplc="04080001">
      <w:start w:val="1"/>
      <w:numFmt w:val="bullet"/>
      <w:lvlText w:val=""/>
      <w:lvlJc w:val="left"/>
      <w:pPr>
        <w:ind w:left="436" w:hanging="360"/>
      </w:pPr>
      <w:rPr>
        <w:rFonts w:ascii="Symbol" w:hAnsi="Symbol"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9" w15:restartNumberingAfterBreak="0">
    <w:nsid w:val="763B7B4D"/>
    <w:multiLevelType w:val="multilevel"/>
    <w:tmpl w:val="F0A6CC76"/>
    <w:lvl w:ilvl="0">
      <w:start w:val="1"/>
      <w:numFmt w:val="bullet"/>
      <w:lvlText w:val=""/>
      <w:lvlJc w:val="left"/>
      <w:pPr>
        <w:ind w:left="360" w:hanging="360"/>
      </w:pPr>
      <w:rPr>
        <w:rFonts w:ascii="Symbol" w:hAnsi="Symbol" w:hint="default"/>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76B26113"/>
    <w:multiLevelType w:val="hybridMultilevel"/>
    <w:tmpl w:val="B6B60230"/>
    <w:lvl w:ilvl="0" w:tplc="4C090001">
      <w:start w:val="1"/>
      <w:numFmt w:val="bullet"/>
      <w:lvlText w:val=""/>
      <w:lvlJc w:val="left"/>
      <w:pPr>
        <w:ind w:left="1152" w:hanging="360"/>
      </w:pPr>
      <w:rPr>
        <w:rFonts w:ascii="Symbol" w:hAnsi="Symbol" w:hint="default"/>
      </w:rPr>
    </w:lvl>
    <w:lvl w:ilvl="1" w:tplc="4C090003" w:tentative="1">
      <w:start w:val="1"/>
      <w:numFmt w:val="bullet"/>
      <w:lvlText w:val="o"/>
      <w:lvlJc w:val="left"/>
      <w:pPr>
        <w:ind w:left="1872" w:hanging="360"/>
      </w:pPr>
      <w:rPr>
        <w:rFonts w:ascii="Courier New" w:hAnsi="Courier New" w:cs="Courier New" w:hint="default"/>
      </w:rPr>
    </w:lvl>
    <w:lvl w:ilvl="2" w:tplc="4C090005" w:tentative="1">
      <w:start w:val="1"/>
      <w:numFmt w:val="bullet"/>
      <w:lvlText w:val=""/>
      <w:lvlJc w:val="left"/>
      <w:pPr>
        <w:ind w:left="2592" w:hanging="360"/>
      </w:pPr>
      <w:rPr>
        <w:rFonts w:ascii="Wingdings" w:hAnsi="Wingdings" w:hint="default"/>
      </w:rPr>
    </w:lvl>
    <w:lvl w:ilvl="3" w:tplc="4C090001" w:tentative="1">
      <w:start w:val="1"/>
      <w:numFmt w:val="bullet"/>
      <w:lvlText w:val=""/>
      <w:lvlJc w:val="left"/>
      <w:pPr>
        <w:ind w:left="3312" w:hanging="360"/>
      </w:pPr>
      <w:rPr>
        <w:rFonts w:ascii="Symbol" w:hAnsi="Symbol" w:hint="default"/>
      </w:rPr>
    </w:lvl>
    <w:lvl w:ilvl="4" w:tplc="4C090003" w:tentative="1">
      <w:start w:val="1"/>
      <w:numFmt w:val="bullet"/>
      <w:lvlText w:val="o"/>
      <w:lvlJc w:val="left"/>
      <w:pPr>
        <w:ind w:left="4032" w:hanging="360"/>
      </w:pPr>
      <w:rPr>
        <w:rFonts w:ascii="Courier New" w:hAnsi="Courier New" w:cs="Courier New" w:hint="default"/>
      </w:rPr>
    </w:lvl>
    <w:lvl w:ilvl="5" w:tplc="4C090005" w:tentative="1">
      <w:start w:val="1"/>
      <w:numFmt w:val="bullet"/>
      <w:lvlText w:val=""/>
      <w:lvlJc w:val="left"/>
      <w:pPr>
        <w:ind w:left="4752" w:hanging="360"/>
      </w:pPr>
      <w:rPr>
        <w:rFonts w:ascii="Wingdings" w:hAnsi="Wingdings" w:hint="default"/>
      </w:rPr>
    </w:lvl>
    <w:lvl w:ilvl="6" w:tplc="4C090001" w:tentative="1">
      <w:start w:val="1"/>
      <w:numFmt w:val="bullet"/>
      <w:lvlText w:val=""/>
      <w:lvlJc w:val="left"/>
      <w:pPr>
        <w:ind w:left="5472" w:hanging="360"/>
      </w:pPr>
      <w:rPr>
        <w:rFonts w:ascii="Symbol" w:hAnsi="Symbol" w:hint="default"/>
      </w:rPr>
    </w:lvl>
    <w:lvl w:ilvl="7" w:tplc="4C090003" w:tentative="1">
      <w:start w:val="1"/>
      <w:numFmt w:val="bullet"/>
      <w:lvlText w:val="o"/>
      <w:lvlJc w:val="left"/>
      <w:pPr>
        <w:ind w:left="6192" w:hanging="360"/>
      </w:pPr>
      <w:rPr>
        <w:rFonts w:ascii="Courier New" w:hAnsi="Courier New" w:cs="Courier New" w:hint="default"/>
      </w:rPr>
    </w:lvl>
    <w:lvl w:ilvl="8" w:tplc="4C090005" w:tentative="1">
      <w:start w:val="1"/>
      <w:numFmt w:val="bullet"/>
      <w:lvlText w:val=""/>
      <w:lvlJc w:val="left"/>
      <w:pPr>
        <w:ind w:left="6912" w:hanging="360"/>
      </w:pPr>
      <w:rPr>
        <w:rFonts w:ascii="Wingdings" w:hAnsi="Wingdings" w:hint="default"/>
      </w:rPr>
    </w:lvl>
  </w:abstractNum>
  <w:abstractNum w:abstractNumId="31" w15:restartNumberingAfterBreak="0">
    <w:nsid w:val="7D9B78AE"/>
    <w:multiLevelType w:val="multilevel"/>
    <w:tmpl w:val="A81A7D70"/>
    <w:lvl w:ilvl="0">
      <w:start w:val="1"/>
      <w:numFmt w:val="bullet"/>
      <w:lvlText w:val=""/>
      <w:lvlJc w:val="left"/>
      <w:pPr>
        <w:tabs>
          <w:tab w:val="num" w:pos="360"/>
        </w:tabs>
        <w:ind w:left="360" w:hanging="360"/>
      </w:pPr>
      <w:rPr>
        <w:rFonts w:ascii="Symbol" w:hAnsi="Symbol" w:hint="default"/>
        <w:sz w:val="20"/>
      </w:rPr>
    </w:lvl>
    <w:lvl w:ilvl="1">
      <w:start w:val="3"/>
      <w:numFmt w:val="decimal"/>
      <w:lvlText w:val="%2."/>
      <w:lvlJc w:val="left"/>
      <w:pPr>
        <w:ind w:left="1080" w:hanging="360"/>
      </w:pPr>
      <w:rPr>
        <w:rFonts w:eastAsia="Calibri" w:hint="default"/>
      </w:rPr>
    </w:lvl>
    <w:lvl w:ilvl="2">
      <w:start w:val="125"/>
      <w:numFmt w:val="bullet"/>
      <w:lvlText w:val="-"/>
      <w:lvlJc w:val="left"/>
      <w:pPr>
        <w:ind w:left="1800" w:hanging="360"/>
      </w:pPr>
      <w:rPr>
        <w:rFonts w:ascii="Times New Roman" w:eastAsia="Times New Roman" w:hAnsi="Times New Roman" w:cs="Times New Roman" w:hint="default"/>
      </w:rPr>
    </w:lvl>
    <w:lvl w:ilvl="3">
      <w:numFmt w:val="bullet"/>
      <w:lvlText w:val="•"/>
      <w:lvlJc w:val="left"/>
      <w:pPr>
        <w:ind w:left="2745" w:hanging="585"/>
      </w:pPr>
      <w:rPr>
        <w:rFonts w:ascii="Calibri" w:eastAsia="Calibri" w:hAnsi="Calibri" w:cs="Times New Roman"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E491D1B"/>
    <w:multiLevelType w:val="hybridMultilevel"/>
    <w:tmpl w:val="89F29C60"/>
    <w:lvl w:ilvl="0" w:tplc="4C090001">
      <w:start w:val="1"/>
      <w:numFmt w:val="bullet"/>
      <w:lvlText w:val=""/>
      <w:lvlJc w:val="left"/>
      <w:pPr>
        <w:ind w:left="1080" w:hanging="360"/>
      </w:pPr>
      <w:rPr>
        <w:rFonts w:ascii="Symbol" w:hAnsi="Symbol"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num w:numId="1">
    <w:abstractNumId w:val="14"/>
  </w:num>
  <w:num w:numId="2">
    <w:abstractNumId w:val="31"/>
  </w:num>
  <w:num w:numId="3">
    <w:abstractNumId w:val="7"/>
  </w:num>
  <w:num w:numId="4">
    <w:abstractNumId w:val="3"/>
  </w:num>
  <w:num w:numId="5">
    <w:abstractNumId w:val="29"/>
  </w:num>
  <w:num w:numId="6">
    <w:abstractNumId w:val="21"/>
  </w:num>
  <w:num w:numId="7">
    <w:abstractNumId w:val="11"/>
  </w:num>
  <w:num w:numId="8">
    <w:abstractNumId w:val="26"/>
  </w:num>
  <w:num w:numId="9">
    <w:abstractNumId w:val="28"/>
  </w:num>
  <w:num w:numId="10">
    <w:abstractNumId w:val="25"/>
  </w:num>
  <w:num w:numId="11">
    <w:abstractNumId w:val="4"/>
  </w:num>
  <w:num w:numId="12">
    <w:abstractNumId w:val="19"/>
  </w:num>
  <w:num w:numId="13">
    <w:abstractNumId w:val="8"/>
  </w:num>
  <w:num w:numId="14">
    <w:abstractNumId w:val="9"/>
  </w:num>
  <w:num w:numId="15">
    <w:abstractNumId w:val="23"/>
  </w:num>
  <w:num w:numId="16">
    <w:abstractNumId w:val="13"/>
  </w:num>
  <w:num w:numId="17">
    <w:abstractNumId w:val="10"/>
  </w:num>
  <w:num w:numId="18">
    <w:abstractNumId w:val="15"/>
  </w:num>
  <w:num w:numId="19">
    <w:abstractNumId w:val="20"/>
  </w:num>
  <w:num w:numId="20">
    <w:abstractNumId w:val="30"/>
  </w:num>
  <w:num w:numId="21">
    <w:abstractNumId w:val="22"/>
  </w:num>
  <w:num w:numId="22">
    <w:abstractNumId w:val="17"/>
  </w:num>
  <w:num w:numId="23">
    <w:abstractNumId w:val="32"/>
  </w:num>
  <w:num w:numId="24">
    <w:abstractNumId w:val="24"/>
  </w:num>
  <w:num w:numId="25">
    <w:abstractNumId w:val="16"/>
  </w:num>
  <w:num w:numId="26">
    <w:abstractNumId w:val="5"/>
  </w:num>
  <w:num w:numId="27">
    <w:abstractNumId w:val="12"/>
  </w:num>
  <w:num w:numId="28">
    <w:abstractNumId w:val="6"/>
  </w:num>
  <w:num w:numId="29">
    <w:abstractNumId w:val="27"/>
  </w:num>
  <w:num w:numId="3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grammar="clean"/>
  <w:defaultTabStop w:val="720"/>
  <w:noPunctuationKerning/>
  <w:characterSpacingControl w:val="doNotCompress"/>
  <w:hdrShapeDefaults>
    <o:shapedefaults v:ext="edit" spidmax="4505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28F"/>
    <w:rsid w:val="0000039F"/>
    <w:rsid w:val="00000737"/>
    <w:rsid w:val="00000887"/>
    <w:rsid w:val="000011F8"/>
    <w:rsid w:val="0000123D"/>
    <w:rsid w:val="000014AD"/>
    <w:rsid w:val="000018B2"/>
    <w:rsid w:val="00002040"/>
    <w:rsid w:val="00003173"/>
    <w:rsid w:val="00003FCE"/>
    <w:rsid w:val="000041E6"/>
    <w:rsid w:val="00004400"/>
    <w:rsid w:val="000049B7"/>
    <w:rsid w:val="00004D6C"/>
    <w:rsid w:val="00005583"/>
    <w:rsid w:val="000061D5"/>
    <w:rsid w:val="00006DE5"/>
    <w:rsid w:val="00007A2D"/>
    <w:rsid w:val="000106BB"/>
    <w:rsid w:val="00011337"/>
    <w:rsid w:val="0001147E"/>
    <w:rsid w:val="00012A9C"/>
    <w:rsid w:val="00012E42"/>
    <w:rsid w:val="0001302B"/>
    <w:rsid w:val="000136E8"/>
    <w:rsid w:val="00013943"/>
    <w:rsid w:val="00013B61"/>
    <w:rsid w:val="00015A9C"/>
    <w:rsid w:val="0001614D"/>
    <w:rsid w:val="00016195"/>
    <w:rsid w:val="00016A7B"/>
    <w:rsid w:val="000176A0"/>
    <w:rsid w:val="0001774E"/>
    <w:rsid w:val="00017BF4"/>
    <w:rsid w:val="00020012"/>
    <w:rsid w:val="000202D3"/>
    <w:rsid w:val="000203E3"/>
    <w:rsid w:val="000209FA"/>
    <w:rsid w:val="00020CB5"/>
    <w:rsid w:val="0002120C"/>
    <w:rsid w:val="0002139B"/>
    <w:rsid w:val="000214E7"/>
    <w:rsid w:val="000218B2"/>
    <w:rsid w:val="00021CFC"/>
    <w:rsid w:val="00021D68"/>
    <w:rsid w:val="00022001"/>
    <w:rsid w:val="00022BD6"/>
    <w:rsid w:val="00022DAE"/>
    <w:rsid w:val="00023763"/>
    <w:rsid w:val="00024052"/>
    <w:rsid w:val="0002408B"/>
    <w:rsid w:val="00024424"/>
    <w:rsid w:val="0002545A"/>
    <w:rsid w:val="00025D9B"/>
    <w:rsid w:val="00026058"/>
    <w:rsid w:val="00026338"/>
    <w:rsid w:val="00026ADC"/>
    <w:rsid w:val="00027CC3"/>
    <w:rsid w:val="00030A11"/>
    <w:rsid w:val="00032043"/>
    <w:rsid w:val="0003248C"/>
    <w:rsid w:val="00032882"/>
    <w:rsid w:val="00032AB4"/>
    <w:rsid w:val="00032FD6"/>
    <w:rsid w:val="00034632"/>
    <w:rsid w:val="000346C9"/>
    <w:rsid w:val="00035DAF"/>
    <w:rsid w:val="000368B7"/>
    <w:rsid w:val="00036986"/>
    <w:rsid w:val="0003728F"/>
    <w:rsid w:val="00037899"/>
    <w:rsid w:val="00037A0B"/>
    <w:rsid w:val="000408C3"/>
    <w:rsid w:val="00040AD8"/>
    <w:rsid w:val="00040BE3"/>
    <w:rsid w:val="000412C2"/>
    <w:rsid w:val="000415ED"/>
    <w:rsid w:val="00041F81"/>
    <w:rsid w:val="00042B4D"/>
    <w:rsid w:val="00043010"/>
    <w:rsid w:val="000437FE"/>
    <w:rsid w:val="00043896"/>
    <w:rsid w:val="0004452F"/>
    <w:rsid w:val="00044759"/>
    <w:rsid w:val="000463A7"/>
    <w:rsid w:val="0004660F"/>
    <w:rsid w:val="00046C30"/>
    <w:rsid w:val="00046D47"/>
    <w:rsid w:val="000472F2"/>
    <w:rsid w:val="00047527"/>
    <w:rsid w:val="00050A5B"/>
    <w:rsid w:val="00050B38"/>
    <w:rsid w:val="00051E0F"/>
    <w:rsid w:val="000534CA"/>
    <w:rsid w:val="00054183"/>
    <w:rsid w:val="00054F78"/>
    <w:rsid w:val="0005510C"/>
    <w:rsid w:val="00055435"/>
    <w:rsid w:val="00055E17"/>
    <w:rsid w:val="000568F7"/>
    <w:rsid w:val="00056F0A"/>
    <w:rsid w:val="000570B7"/>
    <w:rsid w:val="00057EF7"/>
    <w:rsid w:val="0006097A"/>
    <w:rsid w:val="00060A0F"/>
    <w:rsid w:val="00060BE8"/>
    <w:rsid w:val="00061FA8"/>
    <w:rsid w:val="00062591"/>
    <w:rsid w:val="00064833"/>
    <w:rsid w:val="0006498A"/>
    <w:rsid w:val="00064D10"/>
    <w:rsid w:val="00065F44"/>
    <w:rsid w:val="00066437"/>
    <w:rsid w:val="00066C8F"/>
    <w:rsid w:val="00066CAB"/>
    <w:rsid w:val="000700FA"/>
    <w:rsid w:val="00070661"/>
    <w:rsid w:val="0007081B"/>
    <w:rsid w:val="000714EA"/>
    <w:rsid w:val="00071EB8"/>
    <w:rsid w:val="000721F6"/>
    <w:rsid w:val="000727C1"/>
    <w:rsid w:val="000736CB"/>
    <w:rsid w:val="000737D8"/>
    <w:rsid w:val="00073890"/>
    <w:rsid w:val="000739E2"/>
    <w:rsid w:val="00073B01"/>
    <w:rsid w:val="00073D1E"/>
    <w:rsid w:val="00073DD3"/>
    <w:rsid w:val="0007402A"/>
    <w:rsid w:val="000742DD"/>
    <w:rsid w:val="000747FE"/>
    <w:rsid w:val="00074F10"/>
    <w:rsid w:val="000750AD"/>
    <w:rsid w:val="000752D5"/>
    <w:rsid w:val="00075395"/>
    <w:rsid w:val="00075759"/>
    <w:rsid w:val="00075AFE"/>
    <w:rsid w:val="00075B16"/>
    <w:rsid w:val="00075CFA"/>
    <w:rsid w:val="00075E04"/>
    <w:rsid w:val="00077F27"/>
    <w:rsid w:val="000807C7"/>
    <w:rsid w:val="00080E01"/>
    <w:rsid w:val="00082454"/>
    <w:rsid w:val="00082918"/>
    <w:rsid w:val="00082A2B"/>
    <w:rsid w:val="00082C0A"/>
    <w:rsid w:val="00082DFA"/>
    <w:rsid w:val="00082F8C"/>
    <w:rsid w:val="000834C4"/>
    <w:rsid w:val="00083519"/>
    <w:rsid w:val="000839E3"/>
    <w:rsid w:val="00083FD5"/>
    <w:rsid w:val="000849BB"/>
    <w:rsid w:val="00084CBB"/>
    <w:rsid w:val="00086BCC"/>
    <w:rsid w:val="0008745B"/>
    <w:rsid w:val="0008758B"/>
    <w:rsid w:val="00087C31"/>
    <w:rsid w:val="00090112"/>
    <w:rsid w:val="0009046D"/>
    <w:rsid w:val="00092951"/>
    <w:rsid w:val="000941E7"/>
    <w:rsid w:val="000944F4"/>
    <w:rsid w:val="00095276"/>
    <w:rsid w:val="00095555"/>
    <w:rsid w:val="000956F0"/>
    <w:rsid w:val="00095B34"/>
    <w:rsid w:val="00095DDC"/>
    <w:rsid w:val="00095E1F"/>
    <w:rsid w:val="00095E8F"/>
    <w:rsid w:val="000960C9"/>
    <w:rsid w:val="000966FA"/>
    <w:rsid w:val="0009704C"/>
    <w:rsid w:val="00097782"/>
    <w:rsid w:val="000978C1"/>
    <w:rsid w:val="000979B0"/>
    <w:rsid w:val="000A0298"/>
    <w:rsid w:val="000A0B9A"/>
    <w:rsid w:val="000A0C56"/>
    <w:rsid w:val="000A1226"/>
    <w:rsid w:val="000A1322"/>
    <w:rsid w:val="000A1E01"/>
    <w:rsid w:val="000A2422"/>
    <w:rsid w:val="000A248E"/>
    <w:rsid w:val="000A2CCE"/>
    <w:rsid w:val="000A31EA"/>
    <w:rsid w:val="000A32AA"/>
    <w:rsid w:val="000A35A0"/>
    <w:rsid w:val="000A4459"/>
    <w:rsid w:val="000A4AF5"/>
    <w:rsid w:val="000A5003"/>
    <w:rsid w:val="000A50B4"/>
    <w:rsid w:val="000A50E6"/>
    <w:rsid w:val="000A5289"/>
    <w:rsid w:val="000A6CF0"/>
    <w:rsid w:val="000A71D0"/>
    <w:rsid w:val="000A720A"/>
    <w:rsid w:val="000A7EF1"/>
    <w:rsid w:val="000B04F0"/>
    <w:rsid w:val="000B0627"/>
    <w:rsid w:val="000B0641"/>
    <w:rsid w:val="000B0DD9"/>
    <w:rsid w:val="000B0E28"/>
    <w:rsid w:val="000B0EF3"/>
    <w:rsid w:val="000B15A4"/>
    <w:rsid w:val="000B18C8"/>
    <w:rsid w:val="000B1C3A"/>
    <w:rsid w:val="000B211D"/>
    <w:rsid w:val="000B26C0"/>
    <w:rsid w:val="000B3B70"/>
    <w:rsid w:val="000B41A9"/>
    <w:rsid w:val="000B4273"/>
    <w:rsid w:val="000B4562"/>
    <w:rsid w:val="000B4688"/>
    <w:rsid w:val="000B4867"/>
    <w:rsid w:val="000B5065"/>
    <w:rsid w:val="000B53EA"/>
    <w:rsid w:val="000B5E6A"/>
    <w:rsid w:val="000C0536"/>
    <w:rsid w:val="000C05E6"/>
    <w:rsid w:val="000C1B73"/>
    <w:rsid w:val="000C2343"/>
    <w:rsid w:val="000C2A03"/>
    <w:rsid w:val="000C2A78"/>
    <w:rsid w:val="000C2C46"/>
    <w:rsid w:val="000C3002"/>
    <w:rsid w:val="000C34A9"/>
    <w:rsid w:val="000C3654"/>
    <w:rsid w:val="000C3DBE"/>
    <w:rsid w:val="000C46A8"/>
    <w:rsid w:val="000C48FA"/>
    <w:rsid w:val="000C4EEE"/>
    <w:rsid w:val="000C4F4E"/>
    <w:rsid w:val="000C5F0A"/>
    <w:rsid w:val="000C5F5B"/>
    <w:rsid w:val="000C6662"/>
    <w:rsid w:val="000C67C4"/>
    <w:rsid w:val="000C6825"/>
    <w:rsid w:val="000C6A35"/>
    <w:rsid w:val="000D03F3"/>
    <w:rsid w:val="000D0C85"/>
    <w:rsid w:val="000D0E47"/>
    <w:rsid w:val="000D0E51"/>
    <w:rsid w:val="000D0F0E"/>
    <w:rsid w:val="000D1516"/>
    <w:rsid w:val="000D17BD"/>
    <w:rsid w:val="000D1EBF"/>
    <w:rsid w:val="000D20F2"/>
    <w:rsid w:val="000D24C2"/>
    <w:rsid w:val="000D3736"/>
    <w:rsid w:val="000D3D42"/>
    <w:rsid w:val="000D3D64"/>
    <w:rsid w:val="000D4527"/>
    <w:rsid w:val="000D4C4B"/>
    <w:rsid w:val="000D4CAE"/>
    <w:rsid w:val="000D5CA5"/>
    <w:rsid w:val="000D6107"/>
    <w:rsid w:val="000D787A"/>
    <w:rsid w:val="000E078E"/>
    <w:rsid w:val="000E0BC4"/>
    <w:rsid w:val="000E0DA1"/>
    <w:rsid w:val="000E12C7"/>
    <w:rsid w:val="000E24DF"/>
    <w:rsid w:val="000E24F7"/>
    <w:rsid w:val="000E323C"/>
    <w:rsid w:val="000E3986"/>
    <w:rsid w:val="000E3E80"/>
    <w:rsid w:val="000E3FB7"/>
    <w:rsid w:val="000E46F0"/>
    <w:rsid w:val="000E4924"/>
    <w:rsid w:val="000E4E9D"/>
    <w:rsid w:val="000E5116"/>
    <w:rsid w:val="000E51EB"/>
    <w:rsid w:val="000E562E"/>
    <w:rsid w:val="000E65D9"/>
    <w:rsid w:val="000E6DE0"/>
    <w:rsid w:val="000E712F"/>
    <w:rsid w:val="000E7E48"/>
    <w:rsid w:val="000F0EE1"/>
    <w:rsid w:val="000F13D8"/>
    <w:rsid w:val="000F1940"/>
    <w:rsid w:val="000F22C4"/>
    <w:rsid w:val="000F2F27"/>
    <w:rsid w:val="000F35A2"/>
    <w:rsid w:val="000F4F42"/>
    <w:rsid w:val="000F54F2"/>
    <w:rsid w:val="000F5DE4"/>
    <w:rsid w:val="000F5E83"/>
    <w:rsid w:val="000F631D"/>
    <w:rsid w:val="000F65AD"/>
    <w:rsid w:val="000F6E12"/>
    <w:rsid w:val="000F78D9"/>
    <w:rsid w:val="0010098F"/>
    <w:rsid w:val="00100F14"/>
    <w:rsid w:val="00101ED5"/>
    <w:rsid w:val="00102F6E"/>
    <w:rsid w:val="00102FC9"/>
    <w:rsid w:val="001034EA"/>
    <w:rsid w:val="0010371D"/>
    <w:rsid w:val="00103D0C"/>
    <w:rsid w:val="00104032"/>
    <w:rsid w:val="0010434F"/>
    <w:rsid w:val="001050BB"/>
    <w:rsid w:val="00105241"/>
    <w:rsid w:val="0010565D"/>
    <w:rsid w:val="00106EC2"/>
    <w:rsid w:val="00107A12"/>
    <w:rsid w:val="00107DC0"/>
    <w:rsid w:val="00107E02"/>
    <w:rsid w:val="00111774"/>
    <w:rsid w:val="00111B4B"/>
    <w:rsid w:val="00112739"/>
    <w:rsid w:val="00112A2A"/>
    <w:rsid w:val="00112A8B"/>
    <w:rsid w:val="00112BD3"/>
    <w:rsid w:val="001137C0"/>
    <w:rsid w:val="00113A15"/>
    <w:rsid w:val="0011459B"/>
    <w:rsid w:val="0011490F"/>
    <w:rsid w:val="001151F4"/>
    <w:rsid w:val="001164F7"/>
    <w:rsid w:val="0011674E"/>
    <w:rsid w:val="00116870"/>
    <w:rsid w:val="00117317"/>
    <w:rsid w:val="00117CD7"/>
    <w:rsid w:val="0012023B"/>
    <w:rsid w:val="0012166C"/>
    <w:rsid w:val="00122C5F"/>
    <w:rsid w:val="001230E2"/>
    <w:rsid w:val="001232B9"/>
    <w:rsid w:val="00123AA1"/>
    <w:rsid w:val="00123E4D"/>
    <w:rsid w:val="0012473A"/>
    <w:rsid w:val="0012502A"/>
    <w:rsid w:val="001251BE"/>
    <w:rsid w:val="001254C5"/>
    <w:rsid w:val="001256EA"/>
    <w:rsid w:val="001258F7"/>
    <w:rsid w:val="00125B2F"/>
    <w:rsid w:val="00125B73"/>
    <w:rsid w:val="001272F8"/>
    <w:rsid w:val="001279C3"/>
    <w:rsid w:val="00127E38"/>
    <w:rsid w:val="00130EF7"/>
    <w:rsid w:val="00131A4D"/>
    <w:rsid w:val="00133844"/>
    <w:rsid w:val="00133926"/>
    <w:rsid w:val="0013409F"/>
    <w:rsid w:val="00134413"/>
    <w:rsid w:val="001350ED"/>
    <w:rsid w:val="001352EC"/>
    <w:rsid w:val="0013542D"/>
    <w:rsid w:val="001369F0"/>
    <w:rsid w:val="00137723"/>
    <w:rsid w:val="00137BD8"/>
    <w:rsid w:val="0014022C"/>
    <w:rsid w:val="0014027C"/>
    <w:rsid w:val="00141E12"/>
    <w:rsid w:val="00142A5B"/>
    <w:rsid w:val="0014302D"/>
    <w:rsid w:val="001442C4"/>
    <w:rsid w:val="0014472D"/>
    <w:rsid w:val="0014585F"/>
    <w:rsid w:val="001458A6"/>
    <w:rsid w:val="00145AD5"/>
    <w:rsid w:val="0014666B"/>
    <w:rsid w:val="00146C06"/>
    <w:rsid w:val="00147740"/>
    <w:rsid w:val="001479C7"/>
    <w:rsid w:val="00147B18"/>
    <w:rsid w:val="00147ECF"/>
    <w:rsid w:val="00150447"/>
    <w:rsid w:val="00150DB9"/>
    <w:rsid w:val="0015100D"/>
    <w:rsid w:val="00151D22"/>
    <w:rsid w:val="00152470"/>
    <w:rsid w:val="00152DBA"/>
    <w:rsid w:val="00153451"/>
    <w:rsid w:val="00153546"/>
    <w:rsid w:val="00154966"/>
    <w:rsid w:val="0015608D"/>
    <w:rsid w:val="001562C4"/>
    <w:rsid w:val="001578A9"/>
    <w:rsid w:val="00160EFD"/>
    <w:rsid w:val="001612F7"/>
    <w:rsid w:val="0016139F"/>
    <w:rsid w:val="001616DF"/>
    <w:rsid w:val="00161EA8"/>
    <w:rsid w:val="0016310D"/>
    <w:rsid w:val="001638C2"/>
    <w:rsid w:val="00163EFE"/>
    <w:rsid w:val="001641F9"/>
    <w:rsid w:val="001653BA"/>
    <w:rsid w:val="001657F8"/>
    <w:rsid w:val="00165EDE"/>
    <w:rsid w:val="0016646D"/>
    <w:rsid w:val="00166E37"/>
    <w:rsid w:val="00167078"/>
    <w:rsid w:val="001672DE"/>
    <w:rsid w:val="00167806"/>
    <w:rsid w:val="00167E74"/>
    <w:rsid w:val="00167F81"/>
    <w:rsid w:val="0017020B"/>
    <w:rsid w:val="001706C9"/>
    <w:rsid w:val="00171106"/>
    <w:rsid w:val="00171224"/>
    <w:rsid w:val="001726FC"/>
    <w:rsid w:val="00174CCA"/>
    <w:rsid w:val="00174EC6"/>
    <w:rsid w:val="001753BA"/>
    <w:rsid w:val="00175597"/>
    <w:rsid w:val="00175DED"/>
    <w:rsid w:val="0017623E"/>
    <w:rsid w:val="001768F0"/>
    <w:rsid w:val="00176A0D"/>
    <w:rsid w:val="001772B0"/>
    <w:rsid w:val="00177A8B"/>
    <w:rsid w:val="001800CE"/>
    <w:rsid w:val="00180815"/>
    <w:rsid w:val="00180A27"/>
    <w:rsid w:val="00180B87"/>
    <w:rsid w:val="00180E6A"/>
    <w:rsid w:val="00181052"/>
    <w:rsid w:val="00181A43"/>
    <w:rsid w:val="00182010"/>
    <w:rsid w:val="001820D6"/>
    <w:rsid w:val="00182327"/>
    <w:rsid w:val="001824D8"/>
    <w:rsid w:val="00182AC3"/>
    <w:rsid w:val="001834E0"/>
    <w:rsid w:val="001835CB"/>
    <w:rsid w:val="001836F9"/>
    <w:rsid w:val="00183979"/>
    <w:rsid w:val="00183D00"/>
    <w:rsid w:val="001844B7"/>
    <w:rsid w:val="00184AEF"/>
    <w:rsid w:val="00184C85"/>
    <w:rsid w:val="00185B91"/>
    <w:rsid w:val="00185BBF"/>
    <w:rsid w:val="00185E76"/>
    <w:rsid w:val="001861F4"/>
    <w:rsid w:val="001874A2"/>
    <w:rsid w:val="0019083D"/>
    <w:rsid w:val="00190F96"/>
    <w:rsid w:val="001916A3"/>
    <w:rsid w:val="00191789"/>
    <w:rsid w:val="001922F2"/>
    <w:rsid w:val="00192470"/>
    <w:rsid w:val="001927C5"/>
    <w:rsid w:val="001935D1"/>
    <w:rsid w:val="00193F74"/>
    <w:rsid w:val="001942AB"/>
    <w:rsid w:val="001944E1"/>
    <w:rsid w:val="001948C4"/>
    <w:rsid w:val="00194FBD"/>
    <w:rsid w:val="00195147"/>
    <w:rsid w:val="0019515F"/>
    <w:rsid w:val="00195164"/>
    <w:rsid w:val="00195539"/>
    <w:rsid w:val="0019556B"/>
    <w:rsid w:val="00195963"/>
    <w:rsid w:val="00195BC8"/>
    <w:rsid w:val="0019629A"/>
    <w:rsid w:val="001963FC"/>
    <w:rsid w:val="00196409"/>
    <w:rsid w:val="00196A25"/>
    <w:rsid w:val="001A10DE"/>
    <w:rsid w:val="001A1164"/>
    <w:rsid w:val="001A136F"/>
    <w:rsid w:val="001A1595"/>
    <w:rsid w:val="001A16E8"/>
    <w:rsid w:val="001A17E7"/>
    <w:rsid w:val="001A1878"/>
    <w:rsid w:val="001A1F5C"/>
    <w:rsid w:val="001A2726"/>
    <w:rsid w:val="001A2C9B"/>
    <w:rsid w:val="001A2E02"/>
    <w:rsid w:val="001A2EB3"/>
    <w:rsid w:val="001A354F"/>
    <w:rsid w:val="001A35C9"/>
    <w:rsid w:val="001A4356"/>
    <w:rsid w:val="001A45A5"/>
    <w:rsid w:val="001A4715"/>
    <w:rsid w:val="001A4E09"/>
    <w:rsid w:val="001A5429"/>
    <w:rsid w:val="001A5785"/>
    <w:rsid w:val="001A5DFE"/>
    <w:rsid w:val="001A63EF"/>
    <w:rsid w:val="001A6500"/>
    <w:rsid w:val="001A680F"/>
    <w:rsid w:val="001A6FCE"/>
    <w:rsid w:val="001A7A5F"/>
    <w:rsid w:val="001B012C"/>
    <w:rsid w:val="001B0386"/>
    <w:rsid w:val="001B04B5"/>
    <w:rsid w:val="001B0660"/>
    <w:rsid w:val="001B0958"/>
    <w:rsid w:val="001B1CAC"/>
    <w:rsid w:val="001B23BB"/>
    <w:rsid w:val="001B2A60"/>
    <w:rsid w:val="001B2DEB"/>
    <w:rsid w:val="001B31CC"/>
    <w:rsid w:val="001B37D2"/>
    <w:rsid w:val="001B4FE9"/>
    <w:rsid w:val="001B5C67"/>
    <w:rsid w:val="001B61FA"/>
    <w:rsid w:val="001B6A65"/>
    <w:rsid w:val="001B71CC"/>
    <w:rsid w:val="001B7A4E"/>
    <w:rsid w:val="001B7AE0"/>
    <w:rsid w:val="001B7B6B"/>
    <w:rsid w:val="001B7DAB"/>
    <w:rsid w:val="001C058A"/>
    <w:rsid w:val="001C0C9B"/>
    <w:rsid w:val="001C1D61"/>
    <w:rsid w:val="001C22D2"/>
    <w:rsid w:val="001C2A86"/>
    <w:rsid w:val="001C2EAE"/>
    <w:rsid w:val="001C3A23"/>
    <w:rsid w:val="001C436E"/>
    <w:rsid w:val="001C44DB"/>
    <w:rsid w:val="001C480C"/>
    <w:rsid w:val="001C50B8"/>
    <w:rsid w:val="001C52E7"/>
    <w:rsid w:val="001C724B"/>
    <w:rsid w:val="001D004A"/>
    <w:rsid w:val="001D0617"/>
    <w:rsid w:val="001D179A"/>
    <w:rsid w:val="001D1845"/>
    <w:rsid w:val="001D1908"/>
    <w:rsid w:val="001D1AA6"/>
    <w:rsid w:val="001D1F98"/>
    <w:rsid w:val="001D22A0"/>
    <w:rsid w:val="001D303C"/>
    <w:rsid w:val="001D3079"/>
    <w:rsid w:val="001D3313"/>
    <w:rsid w:val="001D4060"/>
    <w:rsid w:val="001D4538"/>
    <w:rsid w:val="001D469A"/>
    <w:rsid w:val="001D472E"/>
    <w:rsid w:val="001D4F07"/>
    <w:rsid w:val="001D51D3"/>
    <w:rsid w:val="001D5460"/>
    <w:rsid w:val="001D559B"/>
    <w:rsid w:val="001D5EC1"/>
    <w:rsid w:val="001D6B61"/>
    <w:rsid w:val="001D6C5E"/>
    <w:rsid w:val="001D6F88"/>
    <w:rsid w:val="001D7531"/>
    <w:rsid w:val="001E02D4"/>
    <w:rsid w:val="001E0583"/>
    <w:rsid w:val="001E0A03"/>
    <w:rsid w:val="001E11B1"/>
    <w:rsid w:val="001E1862"/>
    <w:rsid w:val="001E202F"/>
    <w:rsid w:val="001E28B8"/>
    <w:rsid w:val="001E32A3"/>
    <w:rsid w:val="001E4145"/>
    <w:rsid w:val="001E46B1"/>
    <w:rsid w:val="001E4C34"/>
    <w:rsid w:val="001E5FE8"/>
    <w:rsid w:val="001E6869"/>
    <w:rsid w:val="001E72EF"/>
    <w:rsid w:val="001E7AA5"/>
    <w:rsid w:val="001E7E2F"/>
    <w:rsid w:val="001F0100"/>
    <w:rsid w:val="001F15E5"/>
    <w:rsid w:val="001F16C6"/>
    <w:rsid w:val="001F1A16"/>
    <w:rsid w:val="001F2720"/>
    <w:rsid w:val="001F29F8"/>
    <w:rsid w:val="001F2D0A"/>
    <w:rsid w:val="001F4212"/>
    <w:rsid w:val="001F4269"/>
    <w:rsid w:val="001F4456"/>
    <w:rsid w:val="001F4FC3"/>
    <w:rsid w:val="001F6015"/>
    <w:rsid w:val="001F642D"/>
    <w:rsid w:val="001F6790"/>
    <w:rsid w:val="001F722C"/>
    <w:rsid w:val="001F78EE"/>
    <w:rsid w:val="001F7BDC"/>
    <w:rsid w:val="001F7CA8"/>
    <w:rsid w:val="001F7E57"/>
    <w:rsid w:val="002006A2"/>
    <w:rsid w:val="00200916"/>
    <w:rsid w:val="00200F1E"/>
    <w:rsid w:val="0020166F"/>
    <w:rsid w:val="00201BDB"/>
    <w:rsid w:val="00201DB5"/>
    <w:rsid w:val="00201ED0"/>
    <w:rsid w:val="002025F9"/>
    <w:rsid w:val="00202743"/>
    <w:rsid w:val="00202812"/>
    <w:rsid w:val="00202FFC"/>
    <w:rsid w:val="00203625"/>
    <w:rsid w:val="0020391B"/>
    <w:rsid w:val="00203CF3"/>
    <w:rsid w:val="00204A41"/>
    <w:rsid w:val="00204C35"/>
    <w:rsid w:val="002050F0"/>
    <w:rsid w:val="00205427"/>
    <w:rsid w:val="00205765"/>
    <w:rsid w:val="00205B4A"/>
    <w:rsid w:val="00205BE4"/>
    <w:rsid w:val="002064DF"/>
    <w:rsid w:val="002077EF"/>
    <w:rsid w:val="00207A0B"/>
    <w:rsid w:val="00207E74"/>
    <w:rsid w:val="00210795"/>
    <w:rsid w:val="00210B37"/>
    <w:rsid w:val="00211379"/>
    <w:rsid w:val="00212025"/>
    <w:rsid w:val="002123C3"/>
    <w:rsid w:val="00212416"/>
    <w:rsid w:val="002124A1"/>
    <w:rsid w:val="00214165"/>
    <w:rsid w:val="00214266"/>
    <w:rsid w:val="002146E0"/>
    <w:rsid w:val="00214A02"/>
    <w:rsid w:val="00214ACB"/>
    <w:rsid w:val="00214B02"/>
    <w:rsid w:val="00214B3C"/>
    <w:rsid w:val="00215203"/>
    <w:rsid w:val="00215284"/>
    <w:rsid w:val="00215988"/>
    <w:rsid w:val="00216566"/>
    <w:rsid w:val="0021662E"/>
    <w:rsid w:val="00216878"/>
    <w:rsid w:val="00217E27"/>
    <w:rsid w:val="00220AAC"/>
    <w:rsid w:val="00220B15"/>
    <w:rsid w:val="00220D33"/>
    <w:rsid w:val="00221393"/>
    <w:rsid w:val="00222877"/>
    <w:rsid w:val="0022296E"/>
    <w:rsid w:val="00223F66"/>
    <w:rsid w:val="0022406D"/>
    <w:rsid w:val="00224956"/>
    <w:rsid w:val="00224A86"/>
    <w:rsid w:val="00224EC6"/>
    <w:rsid w:val="00225550"/>
    <w:rsid w:val="002256AA"/>
    <w:rsid w:val="002258FA"/>
    <w:rsid w:val="00225BB9"/>
    <w:rsid w:val="0022682A"/>
    <w:rsid w:val="00226958"/>
    <w:rsid w:val="00226C70"/>
    <w:rsid w:val="0022724B"/>
    <w:rsid w:val="002305B5"/>
    <w:rsid w:val="00230731"/>
    <w:rsid w:val="00230B77"/>
    <w:rsid w:val="00230F4F"/>
    <w:rsid w:val="00231636"/>
    <w:rsid w:val="002319E7"/>
    <w:rsid w:val="00231A75"/>
    <w:rsid w:val="00231B91"/>
    <w:rsid w:val="00231BAE"/>
    <w:rsid w:val="00231E56"/>
    <w:rsid w:val="00231ECA"/>
    <w:rsid w:val="002320F0"/>
    <w:rsid w:val="00233B42"/>
    <w:rsid w:val="00234AEB"/>
    <w:rsid w:val="0023593C"/>
    <w:rsid w:val="00236E9B"/>
    <w:rsid w:val="00240350"/>
    <w:rsid w:val="00240489"/>
    <w:rsid w:val="00240839"/>
    <w:rsid w:val="00241729"/>
    <w:rsid w:val="00241EA2"/>
    <w:rsid w:val="002421CA"/>
    <w:rsid w:val="002421EB"/>
    <w:rsid w:val="00242CA4"/>
    <w:rsid w:val="00242FDF"/>
    <w:rsid w:val="00243379"/>
    <w:rsid w:val="00243953"/>
    <w:rsid w:val="00243A1D"/>
    <w:rsid w:val="00244167"/>
    <w:rsid w:val="00244A80"/>
    <w:rsid w:val="0024580C"/>
    <w:rsid w:val="00246D2A"/>
    <w:rsid w:val="002470D5"/>
    <w:rsid w:val="002475A8"/>
    <w:rsid w:val="00250608"/>
    <w:rsid w:val="00250791"/>
    <w:rsid w:val="00250D66"/>
    <w:rsid w:val="00252119"/>
    <w:rsid w:val="002521B7"/>
    <w:rsid w:val="002527A3"/>
    <w:rsid w:val="0025296E"/>
    <w:rsid w:val="00252FCE"/>
    <w:rsid w:val="0025372A"/>
    <w:rsid w:val="0025381E"/>
    <w:rsid w:val="002544EC"/>
    <w:rsid w:val="00254AB2"/>
    <w:rsid w:val="00254B18"/>
    <w:rsid w:val="00255DC6"/>
    <w:rsid w:val="002561A3"/>
    <w:rsid w:val="002561E1"/>
    <w:rsid w:val="00256FFF"/>
    <w:rsid w:val="0025792C"/>
    <w:rsid w:val="00257C14"/>
    <w:rsid w:val="00257F58"/>
    <w:rsid w:val="00260110"/>
    <w:rsid w:val="002601E1"/>
    <w:rsid w:val="00260348"/>
    <w:rsid w:val="00261562"/>
    <w:rsid w:val="00261666"/>
    <w:rsid w:val="002619E5"/>
    <w:rsid w:val="0026205A"/>
    <w:rsid w:val="002628DD"/>
    <w:rsid w:val="002629EA"/>
    <w:rsid w:val="00262AF3"/>
    <w:rsid w:val="0026453E"/>
    <w:rsid w:val="002645B4"/>
    <w:rsid w:val="002650BE"/>
    <w:rsid w:val="00265697"/>
    <w:rsid w:val="00265E22"/>
    <w:rsid w:val="002660AD"/>
    <w:rsid w:val="002662C2"/>
    <w:rsid w:val="0026672E"/>
    <w:rsid w:val="00266CEB"/>
    <w:rsid w:val="00267C93"/>
    <w:rsid w:val="00270DAE"/>
    <w:rsid w:val="00270DE7"/>
    <w:rsid w:val="00271451"/>
    <w:rsid w:val="00271DA4"/>
    <w:rsid w:val="00271E35"/>
    <w:rsid w:val="00272A7E"/>
    <w:rsid w:val="00272F31"/>
    <w:rsid w:val="002731EA"/>
    <w:rsid w:val="00273403"/>
    <w:rsid w:val="00273AFE"/>
    <w:rsid w:val="00273E3B"/>
    <w:rsid w:val="00273FE0"/>
    <w:rsid w:val="00274063"/>
    <w:rsid w:val="0027481A"/>
    <w:rsid w:val="002751DF"/>
    <w:rsid w:val="0027541B"/>
    <w:rsid w:val="00275B05"/>
    <w:rsid w:val="00275D25"/>
    <w:rsid w:val="0027694F"/>
    <w:rsid w:val="00276C14"/>
    <w:rsid w:val="00277F7C"/>
    <w:rsid w:val="0028061B"/>
    <w:rsid w:val="00280C4E"/>
    <w:rsid w:val="00280F84"/>
    <w:rsid w:val="002815CF"/>
    <w:rsid w:val="00281B8E"/>
    <w:rsid w:val="00281D58"/>
    <w:rsid w:val="00282292"/>
    <w:rsid w:val="002833E0"/>
    <w:rsid w:val="00283490"/>
    <w:rsid w:val="00283511"/>
    <w:rsid w:val="0028359C"/>
    <w:rsid w:val="00283E28"/>
    <w:rsid w:val="002844B7"/>
    <w:rsid w:val="00284BEE"/>
    <w:rsid w:val="0028513A"/>
    <w:rsid w:val="0028616A"/>
    <w:rsid w:val="0028659F"/>
    <w:rsid w:val="00286667"/>
    <w:rsid w:val="00286824"/>
    <w:rsid w:val="00286AEF"/>
    <w:rsid w:val="00286B83"/>
    <w:rsid w:val="0028720B"/>
    <w:rsid w:val="00287D64"/>
    <w:rsid w:val="0029045A"/>
    <w:rsid w:val="00291320"/>
    <w:rsid w:val="0029254B"/>
    <w:rsid w:val="00293500"/>
    <w:rsid w:val="0029350B"/>
    <w:rsid w:val="002937C8"/>
    <w:rsid w:val="002940D3"/>
    <w:rsid w:val="00294214"/>
    <w:rsid w:val="002944AA"/>
    <w:rsid w:val="0029496B"/>
    <w:rsid w:val="00295CEF"/>
    <w:rsid w:val="00296B98"/>
    <w:rsid w:val="00296D0D"/>
    <w:rsid w:val="00296FD9"/>
    <w:rsid w:val="002A014F"/>
    <w:rsid w:val="002A0245"/>
    <w:rsid w:val="002A03A1"/>
    <w:rsid w:val="002A0BB7"/>
    <w:rsid w:val="002A0E16"/>
    <w:rsid w:val="002A26D6"/>
    <w:rsid w:val="002A2B29"/>
    <w:rsid w:val="002A3306"/>
    <w:rsid w:val="002A39F5"/>
    <w:rsid w:val="002A3CBE"/>
    <w:rsid w:val="002A3DC2"/>
    <w:rsid w:val="002A3F33"/>
    <w:rsid w:val="002A5419"/>
    <w:rsid w:val="002A55D1"/>
    <w:rsid w:val="002A5661"/>
    <w:rsid w:val="002A5FF7"/>
    <w:rsid w:val="002A6C5B"/>
    <w:rsid w:val="002A6CA9"/>
    <w:rsid w:val="002A6DD0"/>
    <w:rsid w:val="002A7345"/>
    <w:rsid w:val="002A7B88"/>
    <w:rsid w:val="002A7EF2"/>
    <w:rsid w:val="002B016C"/>
    <w:rsid w:val="002B031D"/>
    <w:rsid w:val="002B03D7"/>
    <w:rsid w:val="002B08A2"/>
    <w:rsid w:val="002B109A"/>
    <w:rsid w:val="002B125F"/>
    <w:rsid w:val="002B157E"/>
    <w:rsid w:val="002B1A0C"/>
    <w:rsid w:val="002B1BDB"/>
    <w:rsid w:val="002B1F71"/>
    <w:rsid w:val="002B2103"/>
    <w:rsid w:val="002B2BDA"/>
    <w:rsid w:val="002B33F8"/>
    <w:rsid w:val="002B3473"/>
    <w:rsid w:val="002B358F"/>
    <w:rsid w:val="002B4B06"/>
    <w:rsid w:val="002B4C56"/>
    <w:rsid w:val="002B4DBC"/>
    <w:rsid w:val="002B53DE"/>
    <w:rsid w:val="002B6103"/>
    <w:rsid w:val="002B6B9B"/>
    <w:rsid w:val="002B7067"/>
    <w:rsid w:val="002B798B"/>
    <w:rsid w:val="002B7EFB"/>
    <w:rsid w:val="002C02D2"/>
    <w:rsid w:val="002C13F1"/>
    <w:rsid w:val="002C1619"/>
    <w:rsid w:val="002C17A4"/>
    <w:rsid w:val="002C1A4D"/>
    <w:rsid w:val="002C2272"/>
    <w:rsid w:val="002C3190"/>
    <w:rsid w:val="002C3A6D"/>
    <w:rsid w:val="002C4A3A"/>
    <w:rsid w:val="002C4D8A"/>
    <w:rsid w:val="002C4FFA"/>
    <w:rsid w:val="002C553E"/>
    <w:rsid w:val="002C60B4"/>
    <w:rsid w:val="002C62D1"/>
    <w:rsid w:val="002C715B"/>
    <w:rsid w:val="002D0702"/>
    <w:rsid w:val="002D0F80"/>
    <w:rsid w:val="002D1290"/>
    <w:rsid w:val="002D130E"/>
    <w:rsid w:val="002D1769"/>
    <w:rsid w:val="002D1DBC"/>
    <w:rsid w:val="002D23DE"/>
    <w:rsid w:val="002D258F"/>
    <w:rsid w:val="002D2CD3"/>
    <w:rsid w:val="002D39A0"/>
    <w:rsid w:val="002D4313"/>
    <w:rsid w:val="002D4409"/>
    <w:rsid w:val="002D45F4"/>
    <w:rsid w:val="002D4759"/>
    <w:rsid w:val="002D5218"/>
    <w:rsid w:val="002D52D3"/>
    <w:rsid w:val="002D67CE"/>
    <w:rsid w:val="002D6A1D"/>
    <w:rsid w:val="002D6AD0"/>
    <w:rsid w:val="002D6CB5"/>
    <w:rsid w:val="002D79DF"/>
    <w:rsid w:val="002D7BF4"/>
    <w:rsid w:val="002E0A3F"/>
    <w:rsid w:val="002E12C9"/>
    <w:rsid w:val="002E14B7"/>
    <w:rsid w:val="002E1979"/>
    <w:rsid w:val="002E2BE3"/>
    <w:rsid w:val="002E32F3"/>
    <w:rsid w:val="002E337E"/>
    <w:rsid w:val="002E3444"/>
    <w:rsid w:val="002E378F"/>
    <w:rsid w:val="002E382A"/>
    <w:rsid w:val="002E4AA3"/>
    <w:rsid w:val="002E52C6"/>
    <w:rsid w:val="002E538C"/>
    <w:rsid w:val="002E5D67"/>
    <w:rsid w:val="002E5F29"/>
    <w:rsid w:val="002E6154"/>
    <w:rsid w:val="002E6A3D"/>
    <w:rsid w:val="002E7062"/>
    <w:rsid w:val="002E796C"/>
    <w:rsid w:val="002F0457"/>
    <w:rsid w:val="002F1147"/>
    <w:rsid w:val="002F2FA8"/>
    <w:rsid w:val="002F3292"/>
    <w:rsid w:val="002F35C9"/>
    <w:rsid w:val="002F3B6E"/>
    <w:rsid w:val="002F3E0C"/>
    <w:rsid w:val="002F4291"/>
    <w:rsid w:val="002F4660"/>
    <w:rsid w:val="002F46C1"/>
    <w:rsid w:val="002F547B"/>
    <w:rsid w:val="002F5FE5"/>
    <w:rsid w:val="002F6E98"/>
    <w:rsid w:val="002F7135"/>
    <w:rsid w:val="002F785C"/>
    <w:rsid w:val="003004D1"/>
    <w:rsid w:val="00300607"/>
    <w:rsid w:val="00301F3D"/>
    <w:rsid w:val="00301F4C"/>
    <w:rsid w:val="003021AF"/>
    <w:rsid w:val="00302F44"/>
    <w:rsid w:val="003035C9"/>
    <w:rsid w:val="00303F9B"/>
    <w:rsid w:val="0030452D"/>
    <w:rsid w:val="00304624"/>
    <w:rsid w:val="003050F9"/>
    <w:rsid w:val="00305319"/>
    <w:rsid w:val="0030537F"/>
    <w:rsid w:val="00305A6B"/>
    <w:rsid w:val="00305DFC"/>
    <w:rsid w:val="003061D9"/>
    <w:rsid w:val="00306C6C"/>
    <w:rsid w:val="00310294"/>
    <w:rsid w:val="003102B9"/>
    <w:rsid w:val="00310D03"/>
    <w:rsid w:val="00310D4C"/>
    <w:rsid w:val="0031133B"/>
    <w:rsid w:val="003118C0"/>
    <w:rsid w:val="00312857"/>
    <w:rsid w:val="003131B8"/>
    <w:rsid w:val="00313228"/>
    <w:rsid w:val="00313D1C"/>
    <w:rsid w:val="00314287"/>
    <w:rsid w:val="00316322"/>
    <w:rsid w:val="00316D90"/>
    <w:rsid w:val="0031711B"/>
    <w:rsid w:val="00317253"/>
    <w:rsid w:val="0031789D"/>
    <w:rsid w:val="00317904"/>
    <w:rsid w:val="00317D8E"/>
    <w:rsid w:val="00321577"/>
    <w:rsid w:val="003215F2"/>
    <w:rsid w:val="0032165F"/>
    <w:rsid w:val="00321C2E"/>
    <w:rsid w:val="00322B04"/>
    <w:rsid w:val="00322C65"/>
    <w:rsid w:val="00322ED4"/>
    <w:rsid w:val="00323DAD"/>
    <w:rsid w:val="003240C4"/>
    <w:rsid w:val="00324594"/>
    <w:rsid w:val="00325C3D"/>
    <w:rsid w:val="00325EE7"/>
    <w:rsid w:val="00326052"/>
    <w:rsid w:val="00326348"/>
    <w:rsid w:val="003267BB"/>
    <w:rsid w:val="00327114"/>
    <w:rsid w:val="00327528"/>
    <w:rsid w:val="00330C54"/>
    <w:rsid w:val="003310EA"/>
    <w:rsid w:val="003311DE"/>
    <w:rsid w:val="00331943"/>
    <w:rsid w:val="00331B95"/>
    <w:rsid w:val="00331C28"/>
    <w:rsid w:val="00331C65"/>
    <w:rsid w:val="00332BC3"/>
    <w:rsid w:val="00332C02"/>
    <w:rsid w:val="003338E4"/>
    <w:rsid w:val="00333E1D"/>
    <w:rsid w:val="00335C47"/>
    <w:rsid w:val="00336538"/>
    <w:rsid w:val="00336733"/>
    <w:rsid w:val="00337E11"/>
    <w:rsid w:val="0034034A"/>
    <w:rsid w:val="003405E5"/>
    <w:rsid w:val="0034063C"/>
    <w:rsid w:val="0034064B"/>
    <w:rsid w:val="003406B4"/>
    <w:rsid w:val="00341A5F"/>
    <w:rsid w:val="00343559"/>
    <w:rsid w:val="00343A0A"/>
    <w:rsid w:val="0034456E"/>
    <w:rsid w:val="00344D73"/>
    <w:rsid w:val="00344DD7"/>
    <w:rsid w:val="003462FC"/>
    <w:rsid w:val="003463D9"/>
    <w:rsid w:val="003466CE"/>
    <w:rsid w:val="00346F28"/>
    <w:rsid w:val="00347A9B"/>
    <w:rsid w:val="00347B79"/>
    <w:rsid w:val="00347E7E"/>
    <w:rsid w:val="00350433"/>
    <w:rsid w:val="00350B5A"/>
    <w:rsid w:val="003518BE"/>
    <w:rsid w:val="003525DD"/>
    <w:rsid w:val="00352AD3"/>
    <w:rsid w:val="00352EE3"/>
    <w:rsid w:val="0035328C"/>
    <w:rsid w:val="00354993"/>
    <w:rsid w:val="00354B2F"/>
    <w:rsid w:val="00354CE3"/>
    <w:rsid w:val="00354D83"/>
    <w:rsid w:val="003552F9"/>
    <w:rsid w:val="00355D06"/>
    <w:rsid w:val="0035661C"/>
    <w:rsid w:val="003567DC"/>
    <w:rsid w:val="00357623"/>
    <w:rsid w:val="00357661"/>
    <w:rsid w:val="00357F19"/>
    <w:rsid w:val="00357FCC"/>
    <w:rsid w:val="003604A1"/>
    <w:rsid w:val="003609CF"/>
    <w:rsid w:val="00360E57"/>
    <w:rsid w:val="00360EED"/>
    <w:rsid w:val="0036166E"/>
    <w:rsid w:val="00362591"/>
    <w:rsid w:val="00362CF6"/>
    <w:rsid w:val="00362F03"/>
    <w:rsid w:val="00363241"/>
    <w:rsid w:val="003632D6"/>
    <w:rsid w:val="00363590"/>
    <w:rsid w:val="00363977"/>
    <w:rsid w:val="00363A47"/>
    <w:rsid w:val="00364AAD"/>
    <w:rsid w:val="00364C14"/>
    <w:rsid w:val="003651B1"/>
    <w:rsid w:val="00365502"/>
    <w:rsid w:val="0036590D"/>
    <w:rsid w:val="00365BDA"/>
    <w:rsid w:val="00366151"/>
    <w:rsid w:val="003671CF"/>
    <w:rsid w:val="003679C0"/>
    <w:rsid w:val="00367FB9"/>
    <w:rsid w:val="0037005F"/>
    <w:rsid w:val="003703C4"/>
    <w:rsid w:val="0037117B"/>
    <w:rsid w:val="00371625"/>
    <w:rsid w:val="00371714"/>
    <w:rsid w:val="003725D4"/>
    <w:rsid w:val="00372852"/>
    <w:rsid w:val="00373911"/>
    <w:rsid w:val="00374355"/>
    <w:rsid w:val="0037447B"/>
    <w:rsid w:val="00374B84"/>
    <w:rsid w:val="003751A6"/>
    <w:rsid w:val="00375BAC"/>
    <w:rsid w:val="00375BDF"/>
    <w:rsid w:val="00376329"/>
    <w:rsid w:val="00376A71"/>
    <w:rsid w:val="00376ADE"/>
    <w:rsid w:val="00376BCE"/>
    <w:rsid w:val="003771DB"/>
    <w:rsid w:val="00380CAA"/>
    <w:rsid w:val="003814F2"/>
    <w:rsid w:val="00381C2D"/>
    <w:rsid w:val="003820DA"/>
    <w:rsid w:val="003825A0"/>
    <w:rsid w:val="00383C0E"/>
    <w:rsid w:val="00383E36"/>
    <w:rsid w:val="00384085"/>
    <w:rsid w:val="00384715"/>
    <w:rsid w:val="00384F22"/>
    <w:rsid w:val="00385588"/>
    <w:rsid w:val="00385590"/>
    <w:rsid w:val="00385A06"/>
    <w:rsid w:val="00385D7D"/>
    <w:rsid w:val="00386322"/>
    <w:rsid w:val="00386CDE"/>
    <w:rsid w:val="00386F8B"/>
    <w:rsid w:val="00387B13"/>
    <w:rsid w:val="00387D82"/>
    <w:rsid w:val="00391B23"/>
    <w:rsid w:val="00391B79"/>
    <w:rsid w:val="00391D9D"/>
    <w:rsid w:val="00392CD2"/>
    <w:rsid w:val="003931BE"/>
    <w:rsid w:val="0039376A"/>
    <w:rsid w:val="003941BF"/>
    <w:rsid w:val="0039477B"/>
    <w:rsid w:val="003948BF"/>
    <w:rsid w:val="003948FD"/>
    <w:rsid w:val="00395654"/>
    <w:rsid w:val="00397105"/>
    <w:rsid w:val="003973CF"/>
    <w:rsid w:val="00397D10"/>
    <w:rsid w:val="003A014B"/>
    <w:rsid w:val="003A02D5"/>
    <w:rsid w:val="003A0DA1"/>
    <w:rsid w:val="003A1276"/>
    <w:rsid w:val="003A12F2"/>
    <w:rsid w:val="003A1FEF"/>
    <w:rsid w:val="003A214B"/>
    <w:rsid w:val="003A2175"/>
    <w:rsid w:val="003A27D3"/>
    <w:rsid w:val="003A2DC3"/>
    <w:rsid w:val="003A541B"/>
    <w:rsid w:val="003A6A6C"/>
    <w:rsid w:val="003A6BB9"/>
    <w:rsid w:val="003A7619"/>
    <w:rsid w:val="003A79ED"/>
    <w:rsid w:val="003B07AE"/>
    <w:rsid w:val="003B0F54"/>
    <w:rsid w:val="003B191D"/>
    <w:rsid w:val="003B27CD"/>
    <w:rsid w:val="003B2812"/>
    <w:rsid w:val="003B2B94"/>
    <w:rsid w:val="003B2CD5"/>
    <w:rsid w:val="003B31B2"/>
    <w:rsid w:val="003B3994"/>
    <w:rsid w:val="003B3BE2"/>
    <w:rsid w:val="003B43A9"/>
    <w:rsid w:val="003B4465"/>
    <w:rsid w:val="003B489D"/>
    <w:rsid w:val="003B50BA"/>
    <w:rsid w:val="003B5F4C"/>
    <w:rsid w:val="003B6672"/>
    <w:rsid w:val="003B7134"/>
    <w:rsid w:val="003B78C1"/>
    <w:rsid w:val="003B7E5B"/>
    <w:rsid w:val="003C0D22"/>
    <w:rsid w:val="003C1394"/>
    <w:rsid w:val="003C1EE6"/>
    <w:rsid w:val="003C2BF7"/>
    <w:rsid w:val="003C32C2"/>
    <w:rsid w:val="003C33A8"/>
    <w:rsid w:val="003C35D6"/>
    <w:rsid w:val="003C40FF"/>
    <w:rsid w:val="003C4440"/>
    <w:rsid w:val="003C4A79"/>
    <w:rsid w:val="003C4B6A"/>
    <w:rsid w:val="003C4CAA"/>
    <w:rsid w:val="003C5741"/>
    <w:rsid w:val="003C5DCF"/>
    <w:rsid w:val="003C5F26"/>
    <w:rsid w:val="003C6077"/>
    <w:rsid w:val="003C6107"/>
    <w:rsid w:val="003C6738"/>
    <w:rsid w:val="003C68CF"/>
    <w:rsid w:val="003C6C23"/>
    <w:rsid w:val="003C709B"/>
    <w:rsid w:val="003C70AA"/>
    <w:rsid w:val="003C70EB"/>
    <w:rsid w:val="003C7E3C"/>
    <w:rsid w:val="003D00F0"/>
    <w:rsid w:val="003D0EFE"/>
    <w:rsid w:val="003D0F65"/>
    <w:rsid w:val="003D1209"/>
    <w:rsid w:val="003D1723"/>
    <w:rsid w:val="003D1C93"/>
    <w:rsid w:val="003D1E6A"/>
    <w:rsid w:val="003D2674"/>
    <w:rsid w:val="003D2A4E"/>
    <w:rsid w:val="003D3096"/>
    <w:rsid w:val="003D33C6"/>
    <w:rsid w:val="003D3446"/>
    <w:rsid w:val="003D3F43"/>
    <w:rsid w:val="003D4003"/>
    <w:rsid w:val="003D4053"/>
    <w:rsid w:val="003D4147"/>
    <w:rsid w:val="003D4C17"/>
    <w:rsid w:val="003D6E92"/>
    <w:rsid w:val="003E008C"/>
    <w:rsid w:val="003E026D"/>
    <w:rsid w:val="003E03B2"/>
    <w:rsid w:val="003E08A9"/>
    <w:rsid w:val="003E0E7E"/>
    <w:rsid w:val="003E393F"/>
    <w:rsid w:val="003E3B2D"/>
    <w:rsid w:val="003E3E0C"/>
    <w:rsid w:val="003E410D"/>
    <w:rsid w:val="003E4A11"/>
    <w:rsid w:val="003E4BE0"/>
    <w:rsid w:val="003E4BFA"/>
    <w:rsid w:val="003E4E18"/>
    <w:rsid w:val="003E668E"/>
    <w:rsid w:val="003E6AB0"/>
    <w:rsid w:val="003E6BF4"/>
    <w:rsid w:val="003E6F53"/>
    <w:rsid w:val="003E71A8"/>
    <w:rsid w:val="003E7E8B"/>
    <w:rsid w:val="003F01A2"/>
    <w:rsid w:val="003F08BD"/>
    <w:rsid w:val="003F1110"/>
    <w:rsid w:val="003F2626"/>
    <w:rsid w:val="003F266A"/>
    <w:rsid w:val="003F290D"/>
    <w:rsid w:val="003F2AA5"/>
    <w:rsid w:val="003F371B"/>
    <w:rsid w:val="003F3911"/>
    <w:rsid w:val="003F47AF"/>
    <w:rsid w:val="003F4E84"/>
    <w:rsid w:val="003F5F83"/>
    <w:rsid w:val="003F6358"/>
    <w:rsid w:val="003F6587"/>
    <w:rsid w:val="003F693F"/>
    <w:rsid w:val="003F764E"/>
    <w:rsid w:val="00400C16"/>
    <w:rsid w:val="00400FA2"/>
    <w:rsid w:val="00401044"/>
    <w:rsid w:val="004026E5"/>
    <w:rsid w:val="00402D4A"/>
    <w:rsid w:val="00403E5D"/>
    <w:rsid w:val="00404D6C"/>
    <w:rsid w:val="00406310"/>
    <w:rsid w:val="00406959"/>
    <w:rsid w:val="00406AC3"/>
    <w:rsid w:val="00406FA9"/>
    <w:rsid w:val="00407A2C"/>
    <w:rsid w:val="004100A1"/>
    <w:rsid w:val="004103B9"/>
    <w:rsid w:val="004108D7"/>
    <w:rsid w:val="0041126A"/>
    <w:rsid w:val="00411B30"/>
    <w:rsid w:val="00411F3C"/>
    <w:rsid w:val="00411FE4"/>
    <w:rsid w:val="00412573"/>
    <w:rsid w:val="00412AB3"/>
    <w:rsid w:val="0041330C"/>
    <w:rsid w:val="00413A5A"/>
    <w:rsid w:val="00413C4E"/>
    <w:rsid w:val="00414204"/>
    <w:rsid w:val="0041443D"/>
    <w:rsid w:val="00414A90"/>
    <w:rsid w:val="00414E11"/>
    <w:rsid w:val="004151D9"/>
    <w:rsid w:val="004158F3"/>
    <w:rsid w:val="00415A10"/>
    <w:rsid w:val="00416C24"/>
    <w:rsid w:val="004178BA"/>
    <w:rsid w:val="00420157"/>
    <w:rsid w:val="0042065D"/>
    <w:rsid w:val="00420714"/>
    <w:rsid w:val="00421059"/>
    <w:rsid w:val="004210BC"/>
    <w:rsid w:val="004214B6"/>
    <w:rsid w:val="00421E03"/>
    <w:rsid w:val="00421EE4"/>
    <w:rsid w:val="00421F4F"/>
    <w:rsid w:val="0042339D"/>
    <w:rsid w:val="004246D8"/>
    <w:rsid w:val="00424AFA"/>
    <w:rsid w:val="004252C9"/>
    <w:rsid w:val="00425667"/>
    <w:rsid w:val="00425D48"/>
    <w:rsid w:val="004273B8"/>
    <w:rsid w:val="0042783C"/>
    <w:rsid w:val="004307FD"/>
    <w:rsid w:val="00430AF2"/>
    <w:rsid w:val="00430D72"/>
    <w:rsid w:val="00430EEC"/>
    <w:rsid w:val="004311D8"/>
    <w:rsid w:val="00431B17"/>
    <w:rsid w:val="00431B44"/>
    <w:rsid w:val="004337B4"/>
    <w:rsid w:val="00433EF8"/>
    <w:rsid w:val="004350FE"/>
    <w:rsid w:val="00436793"/>
    <w:rsid w:val="004372C4"/>
    <w:rsid w:val="00437937"/>
    <w:rsid w:val="00437BA1"/>
    <w:rsid w:val="0044006A"/>
    <w:rsid w:val="004403E3"/>
    <w:rsid w:val="00440548"/>
    <w:rsid w:val="004421F0"/>
    <w:rsid w:val="0044309A"/>
    <w:rsid w:val="00443DE1"/>
    <w:rsid w:val="0044401B"/>
    <w:rsid w:val="00444187"/>
    <w:rsid w:val="004459A0"/>
    <w:rsid w:val="00445A3B"/>
    <w:rsid w:val="00445B6A"/>
    <w:rsid w:val="00445C5A"/>
    <w:rsid w:val="00445D32"/>
    <w:rsid w:val="00445EF6"/>
    <w:rsid w:val="0044678A"/>
    <w:rsid w:val="00446F28"/>
    <w:rsid w:val="004474A2"/>
    <w:rsid w:val="00447C33"/>
    <w:rsid w:val="00447C97"/>
    <w:rsid w:val="00447DD5"/>
    <w:rsid w:val="00447F24"/>
    <w:rsid w:val="00450219"/>
    <w:rsid w:val="0045042B"/>
    <w:rsid w:val="00450499"/>
    <w:rsid w:val="004509B9"/>
    <w:rsid w:val="00450B07"/>
    <w:rsid w:val="00450E18"/>
    <w:rsid w:val="00451B2E"/>
    <w:rsid w:val="00451CEB"/>
    <w:rsid w:val="004525C4"/>
    <w:rsid w:val="0045279D"/>
    <w:rsid w:val="00452F9D"/>
    <w:rsid w:val="004533A1"/>
    <w:rsid w:val="00453645"/>
    <w:rsid w:val="00453F4B"/>
    <w:rsid w:val="00454455"/>
    <w:rsid w:val="0045503C"/>
    <w:rsid w:val="004556D9"/>
    <w:rsid w:val="00455875"/>
    <w:rsid w:val="00455CAA"/>
    <w:rsid w:val="00456157"/>
    <w:rsid w:val="004565D8"/>
    <w:rsid w:val="0046008F"/>
    <w:rsid w:val="00460E8A"/>
    <w:rsid w:val="0046100B"/>
    <w:rsid w:val="004619E5"/>
    <w:rsid w:val="00462664"/>
    <w:rsid w:val="00462A9E"/>
    <w:rsid w:val="00463233"/>
    <w:rsid w:val="004634C6"/>
    <w:rsid w:val="004635B6"/>
    <w:rsid w:val="004635E5"/>
    <w:rsid w:val="00464066"/>
    <w:rsid w:val="00464561"/>
    <w:rsid w:val="00464D68"/>
    <w:rsid w:val="00465123"/>
    <w:rsid w:val="00465180"/>
    <w:rsid w:val="004659EC"/>
    <w:rsid w:val="00465FBB"/>
    <w:rsid w:val="0046685F"/>
    <w:rsid w:val="00466A72"/>
    <w:rsid w:val="004672CD"/>
    <w:rsid w:val="00467759"/>
    <w:rsid w:val="00467AE0"/>
    <w:rsid w:val="004713CF"/>
    <w:rsid w:val="00471A90"/>
    <w:rsid w:val="00471C3E"/>
    <w:rsid w:val="00471C60"/>
    <w:rsid w:val="004730F3"/>
    <w:rsid w:val="004736B9"/>
    <w:rsid w:val="00473BAE"/>
    <w:rsid w:val="00473D1D"/>
    <w:rsid w:val="00474A2A"/>
    <w:rsid w:val="0047596C"/>
    <w:rsid w:val="00475D37"/>
    <w:rsid w:val="00475EA3"/>
    <w:rsid w:val="004760B0"/>
    <w:rsid w:val="004764D3"/>
    <w:rsid w:val="00476B5B"/>
    <w:rsid w:val="00476B5D"/>
    <w:rsid w:val="00476DB1"/>
    <w:rsid w:val="00476FE0"/>
    <w:rsid w:val="004770D2"/>
    <w:rsid w:val="00477424"/>
    <w:rsid w:val="00477551"/>
    <w:rsid w:val="00477726"/>
    <w:rsid w:val="0047793F"/>
    <w:rsid w:val="00481470"/>
    <w:rsid w:val="00481F83"/>
    <w:rsid w:val="00482341"/>
    <w:rsid w:val="004826B7"/>
    <w:rsid w:val="00482F15"/>
    <w:rsid w:val="0048320D"/>
    <w:rsid w:val="004834E2"/>
    <w:rsid w:val="00483A30"/>
    <w:rsid w:val="00483E47"/>
    <w:rsid w:val="00484396"/>
    <w:rsid w:val="00484EDD"/>
    <w:rsid w:val="0048532F"/>
    <w:rsid w:val="0048539B"/>
    <w:rsid w:val="00485B48"/>
    <w:rsid w:val="00485E77"/>
    <w:rsid w:val="004905BB"/>
    <w:rsid w:val="00490E6A"/>
    <w:rsid w:val="00491899"/>
    <w:rsid w:val="00491C0C"/>
    <w:rsid w:val="0049204C"/>
    <w:rsid w:val="00492057"/>
    <w:rsid w:val="00493119"/>
    <w:rsid w:val="00493136"/>
    <w:rsid w:val="00493BBA"/>
    <w:rsid w:val="004941C8"/>
    <w:rsid w:val="004943F1"/>
    <w:rsid w:val="00495ECC"/>
    <w:rsid w:val="00496217"/>
    <w:rsid w:val="00496D80"/>
    <w:rsid w:val="00496E42"/>
    <w:rsid w:val="0049716C"/>
    <w:rsid w:val="004971C0"/>
    <w:rsid w:val="0049793A"/>
    <w:rsid w:val="004A0CF2"/>
    <w:rsid w:val="004A0E4F"/>
    <w:rsid w:val="004A1016"/>
    <w:rsid w:val="004A14F1"/>
    <w:rsid w:val="004A16C2"/>
    <w:rsid w:val="004A171E"/>
    <w:rsid w:val="004A19E0"/>
    <w:rsid w:val="004A237A"/>
    <w:rsid w:val="004A324A"/>
    <w:rsid w:val="004A3C27"/>
    <w:rsid w:val="004A4081"/>
    <w:rsid w:val="004A5D50"/>
    <w:rsid w:val="004A612E"/>
    <w:rsid w:val="004A6C23"/>
    <w:rsid w:val="004A76F5"/>
    <w:rsid w:val="004A78F6"/>
    <w:rsid w:val="004A799A"/>
    <w:rsid w:val="004A7BFD"/>
    <w:rsid w:val="004B072A"/>
    <w:rsid w:val="004B0B44"/>
    <w:rsid w:val="004B0EE7"/>
    <w:rsid w:val="004B11C1"/>
    <w:rsid w:val="004B1B9B"/>
    <w:rsid w:val="004B1F0D"/>
    <w:rsid w:val="004B2026"/>
    <w:rsid w:val="004B2148"/>
    <w:rsid w:val="004B3588"/>
    <w:rsid w:val="004B4A06"/>
    <w:rsid w:val="004B529B"/>
    <w:rsid w:val="004B566E"/>
    <w:rsid w:val="004B575D"/>
    <w:rsid w:val="004B68CA"/>
    <w:rsid w:val="004B748C"/>
    <w:rsid w:val="004C0357"/>
    <w:rsid w:val="004C13C5"/>
    <w:rsid w:val="004C2549"/>
    <w:rsid w:val="004C29A7"/>
    <w:rsid w:val="004C2A99"/>
    <w:rsid w:val="004C2DAA"/>
    <w:rsid w:val="004C3034"/>
    <w:rsid w:val="004C32FE"/>
    <w:rsid w:val="004C3CCA"/>
    <w:rsid w:val="004C409B"/>
    <w:rsid w:val="004C49B4"/>
    <w:rsid w:val="004C4A9D"/>
    <w:rsid w:val="004C5112"/>
    <w:rsid w:val="004C549F"/>
    <w:rsid w:val="004C552A"/>
    <w:rsid w:val="004C55F2"/>
    <w:rsid w:val="004C5A6A"/>
    <w:rsid w:val="004C7097"/>
    <w:rsid w:val="004C740E"/>
    <w:rsid w:val="004C7AF5"/>
    <w:rsid w:val="004D031B"/>
    <w:rsid w:val="004D1291"/>
    <w:rsid w:val="004D1995"/>
    <w:rsid w:val="004D1A78"/>
    <w:rsid w:val="004D26CF"/>
    <w:rsid w:val="004D2A8C"/>
    <w:rsid w:val="004D2AC8"/>
    <w:rsid w:val="004D2C30"/>
    <w:rsid w:val="004D2D28"/>
    <w:rsid w:val="004D4181"/>
    <w:rsid w:val="004D44A5"/>
    <w:rsid w:val="004D44F9"/>
    <w:rsid w:val="004D4C46"/>
    <w:rsid w:val="004D4FFE"/>
    <w:rsid w:val="004D55F7"/>
    <w:rsid w:val="004D56A6"/>
    <w:rsid w:val="004D582F"/>
    <w:rsid w:val="004D5991"/>
    <w:rsid w:val="004D5EC1"/>
    <w:rsid w:val="004D617F"/>
    <w:rsid w:val="004D61B0"/>
    <w:rsid w:val="004D649D"/>
    <w:rsid w:val="004D69FB"/>
    <w:rsid w:val="004D765D"/>
    <w:rsid w:val="004D7729"/>
    <w:rsid w:val="004D7D66"/>
    <w:rsid w:val="004D7FB4"/>
    <w:rsid w:val="004E02F9"/>
    <w:rsid w:val="004E07D5"/>
    <w:rsid w:val="004E1332"/>
    <w:rsid w:val="004E15DA"/>
    <w:rsid w:val="004E22B2"/>
    <w:rsid w:val="004E22C9"/>
    <w:rsid w:val="004E2F1C"/>
    <w:rsid w:val="004E300E"/>
    <w:rsid w:val="004E433F"/>
    <w:rsid w:val="004E5915"/>
    <w:rsid w:val="004E5CD4"/>
    <w:rsid w:val="004E5CE8"/>
    <w:rsid w:val="004E6A51"/>
    <w:rsid w:val="004E6FC1"/>
    <w:rsid w:val="004E7183"/>
    <w:rsid w:val="004E7582"/>
    <w:rsid w:val="004E780E"/>
    <w:rsid w:val="004F0093"/>
    <w:rsid w:val="004F0313"/>
    <w:rsid w:val="004F1490"/>
    <w:rsid w:val="004F230A"/>
    <w:rsid w:val="004F2D0B"/>
    <w:rsid w:val="004F3D87"/>
    <w:rsid w:val="004F52E7"/>
    <w:rsid w:val="004F54EA"/>
    <w:rsid w:val="004F58E5"/>
    <w:rsid w:val="004F5CEA"/>
    <w:rsid w:val="004F5D64"/>
    <w:rsid w:val="004F66B4"/>
    <w:rsid w:val="004F717C"/>
    <w:rsid w:val="004F789B"/>
    <w:rsid w:val="005002D2"/>
    <w:rsid w:val="00500B92"/>
    <w:rsid w:val="00501D7D"/>
    <w:rsid w:val="00502460"/>
    <w:rsid w:val="005024CC"/>
    <w:rsid w:val="005029FA"/>
    <w:rsid w:val="00502C04"/>
    <w:rsid w:val="0050302D"/>
    <w:rsid w:val="0050397F"/>
    <w:rsid w:val="0050399C"/>
    <w:rsid w:val="005041AF"/>
    <w:rsid w:val="0050498A"/>
    <w:rsid w:val="005049F1"/>
    <w:rsid w:val="005053E5"/>
    <w:rsid w:val="0050563B"/>
    <w:rsid w:val="00505D7E"/>
    <w:rsid w:val="005069F9"/>
    <w:rsid w:val="0050776A"/>
    <w:rsid w:val="00507A12"/>
    <w:rsid w:val="00510435"/>
    <w:rsid w:val="00510DCD"/>
    <w:rsid w:val="00510DEF"/>
    <w:rsid w:val="005118AA"/>
    <w:rsid w:val="00511DA0"/>
    <w:rsid w:val="00513412"/>
    <w:rsid w:val="0051393C"/>
    <w:rsid w:val="00513B0C"/>
    <w:rsid w:val="00514923"/>
    <w:rsid w:val="00515294"/>
    <w:rsid w:val="005152D8"/>
    <w:rsid w:val="005154EB"/>
    <w:rsid w:val="00515FF6"/>
    <w:rsid w:val="00516104"/>
    <w:rsid w:val="005162A2"/>
    <w:rsid w:val="005166CD"/>
    <w:rsid w:val="00516FC5"/>
    <w:rsid w:val="00517988"/>
    <w:rsid w:val="00517C8D"/>
    <w:rsid w:val="00520358"/>
    <w:rsid w:val="00521A36"/>
    <w:rsid w:val="0052363D"/>
    <w:rsid w:val="0052370E"/>
    <w:rsid w:val="00523D06"/>
    <w:rsid w:val="005243BB"/>
    <w:rsid w:val="00524492"/>
    <w:rsid w:val="00524A5B"/>
    <w:rsid w:val="00525638"/>
    <w:rsid w:val="00526056"/>
    <w:rsid w:val="00526069"/>
    <w:rsid w:val="0052652C"/>
    <w:rsid w:val="0052721D"/>
    <w:rsid w:val="0052730C"/>
    <w:rsid w:val="00527F7C"/>
    <w:rsid w:val="00530137"/>
    <w:rsid w:val="0053027C"/>
    <w:rsid w:val="005303B5"/>
    <w:rsid w:val="005303D7"/>
    <w:rsid w:val="00530FE5"/>
    <w:rsid w:val="0053158B"/>
    <w:rsid w:val="00531E26"/>
    <w:rsid w:val="00532F68"/>
    <w:rsid w:val="00532FD8"/>
    <w:rsid w:val="005336EA"/>
    <w:rsid w:val="00533830"/>
    <w:rsid w:val="00533EEC"/>
    <w:rsid w:val="00534076"/>
    <w:rsid w:val="00534166"/>
    <w:rsid w:val="00534266"/>
    <w:rsid w:val="0053457D"/>
    <w:rsid w:val="00534811"/>
    <w:rsid w:val="00534903"/>
    <w:rsid w:val="00534DC3"/>
    <w:rsid w:val="005350A7"/>
    <w:rsid w:val="00535BEC"/>
    <w:rsid w:val="00535D1C"/>
    <w:rsid w:val="00536304"/>
    <w:rsid w:val="00536FAC"/>
    <w:rsid w:val="00537787"/>
    <w:rsid w:val="00537856"/>
    <w:rsid w:val="00537FDC"/>
    <w:rsid w:val="0054181A"/>
    <w:rsid w:val="00542396"/>
    <w:rsid w:val="005424D3"/>
    <w:rsid w:val="00542968"/>
    <w:rsid w:val="00542CE2"/>
    <w:rsid w:val="00543A7A"/>
    <w:rsid w:val="00545C29"/>
    <w:rsid w:val="0054613C"/>
    <w:rsid w:val="0054661C"/>
    <w:rsid w:val="00547DC6"/>
    <w:rsid w:val="00547F2B"/>
    <w:rsid w:val="005510D9"/>
    <w:rsid w:val="005519ED"/>
    <w:rsid w:val="00553132"/>
    <w:rsid w:val="00553352"/>
    <w:rsid w:val="00554568"/>
    <w:rsid w:val="005545D7"/>
    <w:rsid w:val="00554DFE"/>
    <w:rsid w:val="00554E43"/>
    <w:rsid w:val="005550D9"/>
    <w:rsid w:val="005560CC"/>
    <w:rsid w:val="0055687E"/>
    <w:rsid w:val="005572EC"/>
    <w:rsid w:val="005578CB"/>
    <w:rsid w:val="005603A5"/>
    <w:rsid w:val="005604BC"/>
    <w:rsid w:val="0056111E"/>
    <w:rsid w:val="0056140E"/>
    <w:rsid w:val="005618F1"/>
    <w:rsid w:val="005625F8"/>
    <w:rsid w:val="00562EA4"/>
    <w:rsid w:val="005633E3"/>
    <w:rsid w:val="00563683"/>
    <w:rsid w:val="00563F25"/>
    <w:rsid w:val="00563FC9"/>
    <w:rsid w:val="0056421E"/>
    <w:rsid w:val="00564474"/>
    <w:rsid w:val="00564B56"/>
    <w:rsid w:val="005663B9"/>
    <w:rsid w:val="00566984"/>
    <w:rsid w:val="00566EF6"/>
    <w:rsid w:val="00567BCF"/>
    <w:rsid w:val="00570505"/>
    <w:rsid w:val="00571EF8"/>
    <w:rsid w:val="00571FE6"/>
    <w:rsid w:val="00572D87"/>
    <w:rsid w:val="00572DDC"/>
    <w:rsid w:val="005730D2"/>
    <w:rsid w:val="0057382B"/>
    <w:rsid w:val="00573A74"/>
    <w:rsid w:val="005746C5"/>
    <w:rsid w:val="00575A57"/>
    <w:rsid w:val="00575E78"/>
    <w:rsid w:val="005770B4"/>
    <w:rsid w:val="0058028E"/>
    <w:rsid w:val="0058033D"/>
    <w:rsid w:val="00580D85"/>
    <w:rsid w:val="00581E55"/>
    <w:rsid w:val="00581EB7"/>
    <w:rsid w:val="00582195"/>
    <w:rsid w:val="00582D63"/>
    <w:rsid w:val="0058388C"/>
    <w:rsid w:val="00583D07"/>
    <w:rsid w:val="00583E38"/>
    <w:rsid w:val="005841E2"/>
    <w:rsid w:val="00584E19"/>
    <w:rsid w:val="005855F0"/>
    <w:rsid w:val="00585771"/>
    <w:rsid w:val="0058581E"/>
    <w:rsid w:val="00585C71"/>
    <w:rsid w:val="00585E78"/>
    <w:rsid w:val="00585F0F"/>
    <w:rsid w:val="005865BE"/>
    <w:rsid w:val="00586E0A"/>
    <w:rsid w:val="005872EE"/>
    <w:rsid w:val="005903C0"/>
    <w:rsid w:val="00590902"/>
    <w:rsid w:val="00591831"/>
    <w:rsid w:val="00591D8E"/>
    <w:rsid w:val="00592928"/>
    <w:rsid w:val="00593780"/>
    <w:rsid w:val="00593E5E"/>
    <w:rsid w:val="0059421E"/>
    <w:rsid w:val="005947AF"/>
    <w:rsid w:val="005947E4"/>
    <w:rsid w:val="00594ED0"/>
    <w:rsid w:val="005951C7"/>
    <w:rsid w:val="00595D1C"/>
    <w:rsid w:val="0059674F"/>
    <w:rsid w:val="005967C1"/>
    <w:rsid w:val="00596F21"/>
    <w:rsid w:val="00597816"/>
    <w:rsid w:val="005A0A13"/>
    <w:rsid w:val="005A105D"/>
    <w:rsid w:val="005A1C5F"/>
    <w:rsid w:val="005A2594"/>
    <w:rsid w:val="005A2E0F"/>
    <w:rsid w:val="005A3ED8"/>
    <w:rsid w:val="005A3EEC"/>
    <w:rsid w:val="005A44E7"/>
    <w:rsid w:val="005A4640"/>
    <w:rsid w:val="005A5D92"/>
    <w:rsid w:val="005A70BE"/>
    <w:rsid w:val="005A72E6"/>
    <w:rsid w:val="005B04D2"/>
    <w:rsid w:val="005B0583"/>
    <w:rsid w:val="005B0E52"/>
    <w:rsid w:val="005B0F2E"/>
    <w:rsid w:val="005B12A5"/>
    <w:rsid w:val="005B1ACD"/>
    <w:rsid w:val="005B1B2B"/>
    <w:rsid w:val="005B1CE4"/>
    <w:rsid w:val="005B2156"/>
    <w:rsid w:val="005B2B7F"/>
    <w:rsid w:val="005B2C67"/>
    <w:rsid w:val="005B362A"/>
    <w:rsid w:val="005B38AC"/>
    <w:rsid w:val="005B3B1A"/>
    <w:rsid w:val="005B3D8E"/>
    <w:rsid w:val="005B3E6B"/>
    <w:rsid w:val="005B3EBE"/>
    <w:rsid w:val="005B3F6A"/>
    <w:rsid w:val="005B4152"/>
    <w:rsid w:val="005B445A"/>
    <w:rsid w:val="005B4573"/>
    <w:rsid w:val="005B5029"/>
    <w:rsid w:val="005B693B"/>
    <w:rsid w:val="005B7005"/>
    <w:rsid w:val="005B723A"/>
    <w:rsid w:val="005B7D74"/>
    <w:rsid w:val="005C0246"/>
    <w:rsid w:val="005C02A3"/>
    <w:rsid w:val="005C20BD"/>
    <w:rsid w:val="005C2492"/>
    <w:rsid w:val="005C2DB4"/>
    <w:rsid w:val="005C3812"/>
    <w:rsid w:val="005C3FA4"/>
    <w:rsid w:val="005C432F"/>
    <w:rsid w:val="005C51A7"/>
    <w:rsid w:val="005C5349"/>
    <w:rsid w:val="005C5B3F"/>
    <w:rsid w:val="005C5DF0"/>
    <w:rsid w:val="005C60CA"/>
    <w:rsid w:val="005C6910"/>
    <w:rsid w:val="005C6940"/>
    <w:rsid w:val="005C73AC"/>
    <w:rsid w:val="005D07F9"/>
    <w:rsid w:val="005D09EA"/>
    <w:rsid w:val="005D0C38"/>
    <w:rsid w:val="005D0D10"/>
    <w:rsid w:val="005D178A"/>
    <w:rsid w:val="005D1889"/>
    <w:rsid w:val="005D1E75"/>
    <w:rsid w:val="005D224D"/>
    <w:rsid w:val="005D2C32"/>
    <w:rsid w:val="005D2C37"/>
    <w:rsid w:val="005D3CB4"/>
    <w:rsid w:val="005D4797"/>
    <w:rsid w:val="005D524A"/>
    <w:rsid w:val="005D59FD"/>
    <w:rsid w:val="005D5DFF"/>
    <w:rsid w:val="005D6605"/>
    <w:rsid w:val="005D6E45"/>
    <w:rsid w:val="005D6F08"/>
    <w:rsid w:val="005D7256"/>
    <w:rsid w:val="005E0220"/>
    <w:rsid w:val="005E07E7"/>
    <w:rsid w:val="005E08A1"/>
    <w:rsid w:val="005E190C"/>
    <w:rsid w:val="005E20BE"/>
    <w:rsid w:val="005E27D4"/>
    <w:rsid w:val="005E2A21"/>
    <w:rsid w:val="005E2A77"/>
    <w:rsid w:val="005E2C07"/>
    <w:rsid w:val="005E33ED"/>
    <w:rsid w:val="005E3A87"/>
    <w:rsid w:val="005E4DAD"/>
    <w:rsid w:val="005E5025"/>
    <w:rsid w:val="005E51DC"/>
    <w:rsid w:val="005E5A04"/>
    <w:rsid w:val="005E5C2F"/>
    <w:rsid w:val="005E5F82"/>
    <w:rsid w:val="005E7721"/>
    <w:rsid w:val="005E7A99"/>
    <w:rsid w:val="005E7ADA"/>
    <w:rsid w:val="005F0512"/>
    <w:rsid w:val="005F08EE"/>
    <w:rsid w:val="005F15B2"/>
    <w:rsid w:val="005F198A"/>
    <w:rsid w:val="005F2750"/>
    <w:rsid w:val="005F3057"/>
    <w:rsid w:val="005F34AC"/>
    <w:rsid w:val="005F353F"/>
    <w:rsid w:val="005F4615"/>
    <w:rsid w:val="005F4D3B"/>
    <w:rsid w:val="005F55C0"/>
    <w:rsid w:val="005F5DBA"/>
    <w:rsid w:val="005F6864"/>
    <w:rsid w:val="005F6FA0"/>
    <w:rsid w:val="005F7C7B"/>
    <w:rsid w:val="005F7F38"/>
    <w:rsid w:val="005F7FF3"/>
    <w:rsid w:val="00600434"/>
    <w:rsid w:val="00600622"/>
    <w:rsid w:val="0060081C"/>
    <w:rsid w:val="00600B82"/>
    <w:rsid w:val="00602015"/>
    <w:rsid w:val="00602128"/>
    <w:rsid w:val="00602511"/>
    <w:rsid w:val="006029B2"/>
    <w:rsid w:val="00602AFE"/>
    <w:rsid w:val="0060325C"/>
    <w:rsid w:val="00603C9C"/>
    <w:rsid w:val="0060412A"/>
    <w:rsid w:val="00605969"/>
    <w:rsid w:val="00605A5C"/>
    <w:rsid w:val="00606138"/>
    <w:rsid w:val="00606BB5"/>
    <w:rsid w:val="00606D50"/>
    <w:rsid w:val="00607116"/>
    <w:rsid w:val="0060751F"/>
    <w:rsid w:val="00607670"/>
    <w:rsid w:val="006076B9"/>
    <w:rsid w:val="00607844"/>
    <w:rsid w:val="00607BA6"/>
    <w:rsid w:val="00611215"/>
    <w:rsid w:val="00611CCC"/>
    <w:rsid w:val="006121F3"/>
    <w:rsid w:val="00612491"/>
    <w:rsid w:val="006124EB"/>
    <w:rsid w:val="00612AA3"/>
    <w:rsid w:val="00612BFF"/>
    <w:rsid w:val="0061482A"/>
    <w:rsid w:val="0061531D"/>
    <w:rsid w:val="0061552F"/>
    <w:rsid w:val="006159DE"/>
    <w:rsid w:val="00617A7D"/>
    <w:rsid w:val="00617DDA"/>
    <w:rsid w:val="00617F25"/>
    <w:rsid w:val="0062096B"/>
    <w:rsid w:val="00621D65"/>
    <w:rsid w:val="00622132"/>
    <w:rsid w:val="006221B3"/>
    <w:rsid w:val="006224D5"/>
    <w:rsid w:val="006224F6"/>
    <w:rsid w:val="00622995"/>
    <w:rsid w:val="00623D3F"/>
    <w:rsid w:val="00623E7B"/>
    <w:rsid w:val="00623F41"/>
    <w:rsid w:val="00624524"/>
    <w:rsid w:val="00625E4D"/>
    <w:rsid w:val="00626143"/>
    <w:rsid w:val="006265FB"/>
    <w:rsid w:val="00626637"/>
    <w:rsid w:val="006266DC"/>
    <w:rsid w:val="00626E13"/>
    <w:rsid w:val="00627945"/>
    <w:rsid w:val="00627FBC"/>
    <w:rsid w:val="00627FCB"/>
    <w:rsid w:val="00630282"/>
    <w:rsid w:val="006302E5"/>
    <w:rsid w:val="00630559"/>
    <w:rsid w:val="00630964"/>
    <w:rsid w:val="00630D8F"/>
    <w:rsid w:val="006316F2"/>
    <w:rsid w:val="00632149"/>
    <w:rsid w:val="006330CE"/>
    <w:rsid w:val="0063393C"/>
    <w:rsid w:val="00633F4F"/>
    <w:rsid w:val="00633FCE"/>
    <w:rsid w:val="00634170"/>
    <w:rsid w:val="00634205"/>
    <w:rsid w:val="00634E82"/>
    <w:rsid w:val="00635247"/>
    <w:rsid w:val="00635CC8"/>
    <w:rsid w:val="00635D16"/>
    <w:rsid w:val="00635E10"/>
    <w:rsid w:val="00635F32"/>
    <w:rsid w:val="0063668F"/>
    <w:rsid w:val="006368E1"/>
    <w:rsid w:val="0063756C"/>
    <w:rsid w:val="00637ACB"/>
    <w:rsid w:val="00637D1A"/>
    <w:rsid w:val="00640127"/>
    <w:rsid w:val="006403DC"/>
    <w:rsid w:val="006405B9"/>
    <w:rsid w:val="00641B83"/>
    <w:rsid w:val="00641D60"/>
    <w:rsid w:val="0064291B"/>
    <w:rsid w:val="00642B6F"/>
    <w:rsid w:val="0064368C"/>
    <w:rsid w:val="006443F2"/>
    <w:rsid w:val="00644625"/>
    <w:rsid w:val="00644F90"/>
    <w:rsid w:val="0064512F"/>
    <w:rsid w:val="00645303"/>
    <w:rsid w:val="00645C12"/>
    <w:rsid w:val="00645CB6"/>
    <w:rsid w:val="00646656"/>
    <w:rsid w:val="00647260"/>
    <w:rsid w:val="0064779B"/>
    <w:rsid w:val="00647AA5"/>
    <w:rsid w:val="00647F61"/>
    <w:rsid w:val="00651314"/>
    <w:rsid w:val="00652353"/>
    <w:rsid w:val="00652BA0"/>
    <w:rsid w:val="00652C39"/>
    <w:rsid w:val="00652D0A"/>
    <w:rsid w:val="00653028"/>
    <w:rsid w:val="00653D29"/>
    <w:rsid w:val="00653DE1"/>
    <w:rsid w:val="00654130"/>
    <w:rsid w:val="00654C5B"/>
    <w:rsid w:val="00654F2F"/>
    <w:rsid w:val="0065581A"/>
    <w:rsid w:val="006559AF"/>
    <w:rsid w:val="00656F7D"/>
    <w:rsid w:val="00660148"/>
    <w:rsid w:val="006610BB"/>
    <w:rsid w:val="006611F1"/>
    <w:rsid w:val="00661FAF"/>
    <w:rsid w:val="00661FCA"/>
    <w:rsid w:val="006622DB"/>
    <w:rsid w:val="006630DF"/>
    <w:rsid w:val="00663271"/>
    <w:rsid w:val="006636AF"/>
    <w:rsid w:val="00663DE2"/>
    <w:rsid w:val="006652D5"/>
    <w:rsid w:val="00665AFC"/>
    <w:rsid w:val="00665BBE"/>
    <w:rsid w:val="006669BD"/>
    <w:rsid w:val="00670048"/>
    <w:rsid w:val="006702D2"/>
    <w:rsid w:val="00670BBB"/>
    <w:rsid w:val="00670CA3"/>
    <w:rsid w:val="0067128F"/>
    <w:rsid w:val="0067170A"/>
    <w:rsid w:val="00671D6F"/>
    <w:rsid w:val="00672C83"/>
    <w:rsid w:val="00672FA9"/>
    <w:rsid w:val="006733B3"/>
    <w:rsid w:val="00673448"/>
    <w:rsid w:val="00673AE7"/>
    <w:rsid w:val="00673E28"/>
    <w:rsid w:val="00673E83"/>
    <w:rsid w:val="00674939"/>
    <w:rsid w:val="006755E3"/>
    <w:rsid w:val="00675757"/>
    <w:rsid w:val="00675E00"/>
    <w:rsid w:val="00675F9A"/>
    <w:rsid w:val="00676F96"/>
    <w:rsid w:val="006775F9"/>
    <w:rsid w:val="00677E3B"/>
    <w:rsid w:val="00680501"/>
    <w:rsid w:val="0068071B"/>
    <w:rsid w:val="00680D70"/>
    <w:rsid w:val="0068111E"/>
    <w:rsid w:val="00681303"/>
    <w:rsid w:val="00681574"/>
    <w:rsid w:val="006815D3"/>
    <w:rsid w:val="00681FC1"/>
    <w:rsid w:val="00682CCC"/>
    <w:rsid w:val="006832E8"/>
    <w:rsid w:val="00683AFB"/>
    <w:rsid w:val="00684E63"/>
    <w:rsid w:val="00685976"/>
    <w:rsid w:val="00685B14"/>
    <w:rsid w:val="00686192"/>
    <w:rsid w:val="006865D3"/>
    <w:rsid w:val="00686E57"/>
    <w:rsid w:val="0068715F"/>
    <w:rsid w:val="00687DC5"/>
    <w:rsid w:val="0069017C"/>
    <w:rsid w:val="00690216"/>
    <w:rsid w:val="006902AB"/>
    <w:rsid w:val="006918B8"/>
    <w:rsid w:val="006927C6"/>
    <w:rsid w:val="0069286D"/>
    <w:rsid w:val="00692C13"/>
    <w:rsid w:val="006932F4"/>
    <w:rsid w:val="00693B32"/>
    <w:rsid w:val="00693EE2"/>
    <w:rsid w:val="0069491D"/>
    <w:rsid w:val="0069492B"/>
    <w:rsid w:val="00694E18"/>
    <w:rsid w:val="006950DC"/>
    <w:rsid w:val="006951C4"/>
    <w:rsid w:val="006953D5"/>
    <w:rsid w:val="006956A7"/>
    <w:rsid w:val="00695A88"/>
    <w:rsid w:val="00695F53"/>
    <w:rsid w:val="00696AF4"/>
    <w:rsid w:val="00696FE0"/>
    <w:rsid w:val="00697220"/>
    <w:rsid w:val="00697683"/>
    <w:rsid w:val="006A0298"/>
    <w:rsid w:val="006A037E"/>
    <w:rsid w:val="006A157F"/>
    <w:rsid w:val="006A1745"/>
    <w:rsid w:val="006A1BFE"/>
    <w:rsid w:val="006A1E3A"/>
    <w:rsid w:val="006A1F66"/>
    <w:rsid w:val="006A20E0"/>
    <w:rsid w:val="006A2BE8"/>
    <w:rsid w:val="006A32BE"/>
    <w:rsid w:val="006A3404"/>
    <w:rsid w:val="006A4429"/>
    <w:rsid w:val="006A4B43"/>
    <w:rsid w:val="006A4C31"/>
    <w:rsid w:val="006A53AF"/>
    <w:rsid w:val="006A53E1"/>
    <w:rsid w:val="006A5564"/>
    <w:rsid w:val="006A5660"/>
    <w:rsid w:val="006A5851"/>
    <w:rsid w:val="006A589E"/>
    <w:rsid w:val="006A67B6"/>
    <w:rsid w:val="006A68C0"/>
    <w:rsid w:val="006A6D0B"/>
    <w:rsid w:val="006A6E99"/>
    <w:rsid w:val="006A789C"/>
    <w:rsid w:val="006A7B90"/>
    <w:rsid w:val="006A7D20"/>
    <w:rsid w:val="006A7DC5"/>
    <w:rsid w:val="006A7DCB"/>
    <w:rsid w:val="006A7E25"/>
    <w:rsid w:val="006B01C0"/>
    <w:rsid w:val="006B0AF1"/>
    <w:rsid w:val="006B1A2F"/>
    <w:rsid w:val="006B1AC1"/>
    <w:rsid w:val="006B28BA"/>
    <w:rsid w:val="006B2E26"/>
    <w:rsid w:val="006B3086"/>
    <w:rsid w:val="006B31BB"/>
    <w:rsid w:val="006B3321"/>
    <w:rsid w:val="006B33C0"/>
    <w:rsid w:val="006B3B3F"/>
    <w:rsid w:val="006B4967"/>
    <w:rsid w:val="006B4B13"/>
    <w:rsid w:val="006B622C"/>
    <w:rsid w:val="006B638D"/>
    <w:rsid w:val="006B649A"/>
    <w:rsid w:val="006B69E7"/>
    <w:rsid w:val="006B6AAB"/>
    <w:rsid w:val="006B6CDD"/>
    <w:rsid w:val="006B6E5A"/>
    <w:rsid w:val="006B7DD2"/>
    <w:rsid w:val="006C070C"/>
    <w:rsid w:val="006C0927"/>
    <w:rsid w:val="006C19B2"/>
    <w:rsid w:val="006C288A"/>
    <w:rsid w:val="006C2954"/>
    <w:rsid w:val="006C3118"/>
    <w:rsid w:val="006C3605"/>
    <w:rsid w:val="006C3CE6"/>
    <w:rsid w:val="006C45A0"/>
    <w:rsid w:val="006C48C2"/>
    <w:rsid w:val="006C4B56"/>
    <w:rsid w:val="006C51A2"/>
    <w:rsid w:val="006C5482"/>
    <w:rsid w:val="006C6003"/>
    <w:rsid w:val="006C7730"/>
    <w:rsid w:val="006D0263"/>
    <w:rsid w:val="006D0418"/>
    <w:rsid w:val="006D0D6A"/>
    <w:rsid w:val="006D179B"/>
    <w:rsid w:val="006D1A78"/>
    <w:rsid w:val="006D1B80"/>
    <w:rsid w:val="006D2213"/>
    <w:rsid w:val="006D279F"/>
    <w:rsid w:val="006D2878"/>
    <w:rsid w:val="006D29EC"/>
    <w:rsid w:val="006D3111"/>
    <w:rsid w:val="006D3279"/>
    <w:rsid w:val="006D3297"/>
    <w:rsid w:val="006D37A4"/>
    <w:rsid w:val="006D38BF"/>
    <w:rsid w:val="006D3F21"/>
    <w:rsid w:val="006D577F"/>
    <w:rsid w:val="006D5C6F"/>
    <w:rsid w:val="006D6330"/>
    <w:rsid w:val="006D63C1"/>
    <w:rsid w:val="006D65D3"/>
    <w:rsid w:val="006D6AB2"/>
    <w:rsid w:val="006D6C99"/>
    <w:rsid w:val="006D7103"/>
    <w:rsid w:val="006D76B1"/>
    <w:rsid w:val="006D7EBB"/>
    <w:rsid w:val="006E04A0"/>
    <w:rsid w:val="006E07EF"/>
    <w:rsid w:val="006E316B"/>
    <w:rsid w:val="006E3983"/>
    <w:rsid w:val="006E434F"/>
    <w:rsid w:val="006E45AF"/>
    <w:rsid w:val="006E4D24"/>
    <w:rsid w:val="006E559C"/>
    <w:rsid w:val="006E5A5F"/>
    <w:rsid w:val="006E610D"/>
    <w:rsid w:val="006E6B57"/>
    <w:rsid w:val="006E6CDB"/>
    <w:rsid w:val="006E6DD7"/>
    <w:rsid w:val="006E71A7"/>
    <w:rsid w:val="006F0278"/>
    <w:rsid w:val="006F09B9"/>
    <w:rsid w:val="006F253E"/>
    <w:rsid w:val="006F33EB"/>
    <w:rsid w:val="006F380B"/>
    <w:rsid w:val="006F3C43"/>
    <w:rsid w:val="006F3D89"/>
    <w:rsid w:val="006F4630"/>
    <w:rsid w:val="006F495F"/>
    <w:rsid w:val="006F49E1"/>
    <w:rsid w:val="006F4AC9"/>
    <w:rsid w:val="006F74CF"/>
    <w:rsid w:val="006F7549"/>
    <w:rsid w:val="006F7F38"/>
    <w:rsid w:val="007003F8"/>
    <w:rsid w:val="0070136E"/>
    <w:rsid w:val="007016E1"/>
    <w:rsid w:val="00701865"/>
    <w:rsid w:val="0070267C"/>
    <w:rsid w:val="00702FDD"/>
    <w:rsid w:val="007032BB"/>
    <w:rsid w:val="00704073"/>
    <w:rsid w:val="00704290"/>
    <w:rsid w:val="00704370"/>
    <w:rsid w:val="00705318"/>
    <w:rsid w:val="00706134"/>
    <w:rsid w:val="00706A6A"/>
    <w:rsid w:val="00706F63"/>
    <w:rsid w:val="007070B9"/>
    <w:rsid w:val="00707A4B"/>
    <w:rsid w:val="00707A7C"/>
    <w:rsid w:val="00710AE6"/>
    <w:rsid w:val="0071160C"/>
    <w:rsid w:val="007119CA"/>
    <w:rsid w:val="00711E4A"/>
    <w:rsid w:val="007120B8"/>
    <w:rsid w:val="0071232C"/>
    <w:rsid w:val="0071531B"/>
    <w:rsid w:val="00715607"/>
    <w:rsid w:val="00715CBC"/>
    <w:rsid w:val="00715D08"/>
    <w:rsid w:val="00716581"/>
    <w:rsid w:val="007168B9"/>
    <w:rsid w:val="007170E7"/>
    <w:rsid w:val="007175D1"/>
    <w:rsid w:val="00717B96"/>
    <w:rsid w:val="00717C66"/>
    <w:rsid w:val="00720ACA"/>
    <w:rsid w:val="007229F7"/>
    <w:rsid w:val="00725D5B"/>
    <w:rsid w:val="00726221"/>
    <w:rsid w:val="007263CB"/>
    <w:rsid w:val="00726F21"/>
    <w:rsid w:val="007271C3"/>
    <w:rsid w:val="007276B2"/>
    <w:rsid w:val="0072778C"/>
    <w:rsid w:val="00727C64"/>
    <w:rsid w:val="00727DA6"/>
    <w:rsid w:val="00731968"/>
    <w:rsid w:val="00732EC1"/>
    <w:rsid w:val="007331AD"/>
    <w:rsid w:val="00733747"/>
    <w:rsid w:val="00733CB1"/>
    <w:rsid w:val="00735029"/>
    <w:rsid w:val="00735456"/>
    <w:rsid w:val="00735893"/>
    <w:rsid w:val="00735EBE"/>
    <w:rsid w:val="0073637F"/>
    <w:rsid w:val="00736952"/>
    <w:rsid w:val="00737B81"/>
    <w:rsid w:val="00737F37"/>
    <w:rsid w:val="00737F7F"/>
    <w:rsid w:val="007408D2"/>
    <w:rsid w:val="00740A0D"/>
    <w:rsid w:val="007417C8"/>
    <w:rsid w:val="007425DB"/>
    <w:rsid w:val="00742832"/>
    <w:rsid w:val="00742B3D"/>
    <w:rsid w:val="0074342E"/>
    <w:rsid w:val="00743505"/>
    <w:rsid w:val="007435EC"/>
    <w:rsid w:val="0074435D"/>
    <w:rsid w:val="007447A4"/>
    <w:rsid w:val="007457AD"/>
    <w:rsid w:val="00745FFA"/>
    <w:rsid w:val="0074664A"/>
    <w:rsid w:val="007467D7"/>
    <w:rsid w:val="00747722"/>
    <w:rsid w:val="00747D0D"/>
    <w:rsid w:val="00750050"/>
    <w:rsid w:val="007504B8"/>
    <w:rsid w:val="00750679"/>
    <w:rsid w:val="00751134"/>
    <w:rsid w:val="0075275F"/>
    <w:rsid w:val="00752765"/>
    <w:rsid w:val="00752868"/>
    <w:rsid w:val="0075351B"/>
    <w:rsid w:val="00753991"/>
    <w:rsid w:val="00754F2A"/>
    <w:rsid w:val="00756352"/>
    <w:rsid w:val="00756F11"/>
    <w:rsid w:val="00760079"/>
    <w:rsid w:val="007600A1"/>
    <w:rsid w:val="00760B71"/>
    <w:rsid w:val="00760D2C"/>
    <w:rsid w:val="00761098"/>
    <w:rsid w:val="00761303"/>
    <w:rsid w:val="007618A7"/>
    <w:rsid w:val="007618D6"/>
    <w:rsid w:val="00763082"/>
    <w:rsid w:val="007633F4"/>
    <w:rsid w:val="00764762"/>
    <w:rsid w:val="007647DD"/>
    <w:rsid w:val="0076489C"/>
    <w:rsid w:val="00764FDB"/>
    <w:rsid w:val="00765727"/>
    <w:rsid w:val="007664D4"/>
    <w:rsid w:val="00766956"/>
    <w:rsid w:val="0076701A"/>
    <w:rsid w:val="007670F8"/>
    <w:rsid w:val="007702B3"/>
    <w:rsid w:val="0077034B"/>
    <w:rsid w:val="0077094F"/>
    <w:rsid w:val="00770BE3"/>
    <w:rsid w:val="00770E45"/>
    <w:rsid w:val="007711AE"/>
    <w:rsid w:val="00771240"/>
    <w:rsid w:val="00771BA8"/>
    <w:rsid w:val="007720AD"/>
    <w:rsid w:val="007722AB"/>
    <w:rsid w:val="00772B75"/>
    <w:rsid w:val="00774CAE"/>
    <w:rsid w:val="0077527F"/>
    <w:rsid w:val="0077595D"/>
    <w:rsid w:val="00775F35"/>
    <w:rsid w:val="00776130"/>
    <w:rsid w:val="00776D0B"/>
    <w:rsid w:val="00776D4C"/>
    <w:rsid w:val="00776E24"/>
    <w:rsid w:val="0077737B"/>
    <w:rsid w:val="00780305"/>
    <w:rsid w:val="007804BE"/>
    <w:rsid w:val="007807A4"/>
    <w:rsid w:val="00780D22"/>
    <w:rsid w:val="00781B51"/>
    <w:rsid w:val="0078269B"/>
    <w:rsid w:val="007829A2"/>
    <w:rsid w:val="00783C49"/>
    <w:rsid w:val="00785039"/>
    <w:rsid w:val="007853D8"/>
    <w:rsid w:val="00785AF1"/>
    <w:rsid w:val="00785EF4"/>
    <w:rsid w:val="00786622"/>
    <w:rsid w:val="00786F82"/>
    <w:rsid w:val="007872F5"/>
    <w:rsid w:val="007873D3"/>
    <w:rsid w:val="00787929"/>
    <w:rsid w:val="00787959"/>
    <w:rsid w:val="00787E33"/>
    <w:rsid w:val="00787EA1"/>
    <w:rsid w:val="00790EBD"/>
    <w:rsid w:val="0079124E"/>
    <w:rsid w:val="007915FE"/>
    <w:rsid w:val="00791BC8"/>
    <w:rsid w:val="00791CA8"/>
    <w:rsid w:val="007923D6"/>
    <w:rsid w:val="00792DA7"/>
    <w:rsid w:val="00793B73"/>
    <w:rsid w:val="007941B4"/>
    <w:rsid w:val="007953ED"/>
    <w:rsid w:val="0079582B"/>
    <w:rsid w:val="00795880"/>
    <w:rsid w:val="007964B7"/>
    <w:rsid w:val="0079660B"/>
    <w:rsid w:val="007968B1"/>
    <w:rsid w:val="00797829"/>
    <w:rsid w:val="0079786D"/>
    <w:rsid w:val="00797E1F"/>
    <w:rsid w:val="007A0CBE"/>
    <w:rsid w:val="007A0DDC"/>
    <w:rsid w:val="007A16E1"/>
    <w:rsid w:val="007A1F10"/>
    <w:rsid w:val="007A21C5"/>
    <w:rsid w:val="007A22C3"/>
    <w:rsid w:val="007A239E"/>
    <w:rsid w:val="007A2420"/>
    <w:rsid w:val="007A291E"/>
    <w:rsid w:val="007A2F74"/>
    <w:rsid w:val="007A31D4"/>
    <w:rsid w:val="007A4821"/>
    <w:rsid w:val="007A4FBB"/>
    <w:rsid w:val="007A518E"/>
    <w:rsid w:val="007A57D0"/>
    <w:rsid w:val="007A5AE6"/>
    <w:rsid w:val="007A645C"/>
    <w:rsid w:val="007A6C99"/>
    <w:rsid w:val="007A7302"/>
    <w:rsid w:val="007A7512"/>
    <w:rsid w:val="007A7ACD"/>
    <w:rsid w:val="007A7B7D"/>
    <w:rsid w:val="007B070C"/>
    <w:rsid w:val="007B08E4"/>
    <w:rsid w:val="007B11B7"/>
    <w:rsid w:val="007B1300"/>
    <w:rsid w:val="007B1591"/>
    <w:rsid w:val="007B1AF0"/>
    <w:rsid w:val="007B2409"/>
    <w:rsid w:val="007B29C5"/>
    <w:rsid w:val="007B305E"/>
    <w:rsid w:val="007B37C4"/>
    <w:rsid w:val="007B3FCB"/>
    <w:rsid w:val="007B520B"/>
    <w:rsid w:val="007B5413"/>
    <w:rsid w:val="007B57D0"/>
    <w:rsid w:val="007B5EA6"/>
    <w:rsid w:val="007B6213"/>
    <w:rsid w:val="007B69F7"/>
    <w:rsid w:val="007B6A02"/>
    <w:rsid w:val="007B7800"/>
    <w:rsid w:val="007C0180"/>
    <w:rsid w:val="007C06EE"/>
    <w:rsid w:val="007C0F25"/>
    <w:rsid w:val="007C11F1"/>
    <w:rsid w:val="007C1734"/>
    <w:rsid w:val="007C18B6"/>
    <w:rsid w:val="007C2506"/>
    <w:rsid w:val="007C284B"/>
    <w:rsid w:val="007C2B0F"/>
    <w:rsid w:val="007C34DC"/>
    <w:rsid w:val="007C35A9"/>
    <w:rsid w:val="007C3681"/>
    <w:rsid w:val="007C4BA4"/>
    <w:rsid w:val="007C514A"/>
    <w:rsid w:val="007C519B"/>
    <w:rsid w:val="007C58E1"/>
    <w:rsid w:val="007C6667"/>
    <w:rsid w:val="007C6D0F"/>
    <w:rsid w:val="007C7071"/>
    <w:rsid w:val="007C70FF"/>
    <w:rsid w:val="007C7419"/>
    <w:rsid w:val="007D0492"/>
    <w:rsid w:val="007D06F6"/>
    <w:rsid w:val="007D10FF"/>
    <w:rsid w:val="007D185A"/>
    <w:rsid w:val="007D1D08"/>
    <w:rsid w:val="007D1F0C"/>
    <w:rsid w:val="007D21F1"/>
    <w:rsid w:val="007D2430"/>
    <w:rsid w:val="007D263B"/>
    <w:rsid w:val="007D37A9"/>
    <w:rsid w:val="007D41E4"/>
    <w:rsid w:val="007D430E"/>
    <w:rsid w:val="007D488F"/>
    <w:rsid w:val="007D4B23"/>
    <w:rsid w:val="007D4BFE"/>
    <w:rsid w:val="007D4EC2"/>
    <w:rsid w:val="007D4FE6"/>
    <w:rsid w:val="007D5166"/>
    <w:rsid w:val="007D595B"/>
    <w:rsid w:val="007D77BE"/>
    <w:rsid w:val="007D7948"/>
    <w:rsid w:val="007E0634"/>
    <w:rsid w:val="007E0BCE"/>
    <w:rsid w:val="007E1648"/>
    <w:rsid w:val="007E19F4"/>
    <w:rsid w:val="007E1B00"/>
    <w:rsid w:val="007E1D9C"/>
    <w:rsid w:val="007E26C8"/>
    <w:rsid w:val="007E2D4A"/>
    <w:rsid w:val="007E2FFA"/>
    <w:rsid w:val="007E3861"/>
    <w:rsid w:val="007E3E6C"/>
    <w:rsid w:val="007E47C0"/>
    <w:rsid w:val="007E4ADE"/>
    <w:rsid w:val="007E4E8A"/>
    <w:rsid w:val="007E547D"/>
    <w:rsid w:val="007E5A2C"/>
    <w:rsid w:val="007E5B73"/>
    <w:rsid w:val="007E5C09"/>
    <w:rsid w:val="007E5E01"/>
    <w:rsid w:val="007E64C3"/>
    <w:rsid w:val="007E7DF8"/>
    <w:rsid w:val="007F004D"/>
    <w:rsid w:val="007F0757"/>
    <w:rsid w:val="007F0F30"/>
    <w:rsid w:val="007F1063"/>
    <w:rsid w:val="007F1517"/>
    <w:rsid w:val="007F16AA"/>
    <w:rsid w:val="007F2427"/>
    <w:rsid w:val="007F259F"/>
    <w:rsid w:val="007F27A1"/>
    <w:rsid w:val="007F2AEC"/>
    <w:rsid w:val="007F2B8F"/>
    <w:rsid w:val="007F409F"/>
    <w:rsid w:val="007F41D1"/>
    <w:rsid w:val="007F45DD"/>
    <w:rsid w:val="007F523F"/>
    <w:rsid w:val="007F62B0"/>
    <w:rsid w:val="007F6F0B"/>
    <w:rsid w:val="007F7474"/>
    <w:rsid w:val="008005AC"/>
    <w:rsid w:val="008016EA"/>
    <w:rsid w:val="00801D41"/>
    <w:rsid w:val="0080302B"/>
    <w:rsid w:val="00803571"/>
    <w:rsid w:val="00803CE3"/>
    <w:rsid w:val="00803D5B"/>
    <w:rsid w:val="00804331"/>
    <w:rsid w:val="00804E2B"/>
    <w:rsid w:val="00805559"/>
    <w:rsid w:val="00806CE2"/>
    <w:rsid w:val="00807071"/>
    <w:rsid w:val="00810453"/>
    <w:rsid w:val="00810691"/>
    <w:rsid w:val="00810B4A"/>
    <w:rsid w:val="00810D96"/>
    <w:rsid w:val="0081263E"/>
    <w:rsid w:val="00812D22"/>
    <w:rsid w:val="008131A0"/>
    <w:rsid w:val="00813BAC"/>
    <w:rsid w:val="0081424C"/>
    <w:rsid w:val="00814505"/>
    <w:rsid w:val="00815052"/>
    <w:rsid w:val="008151A5"/>
    <w:rsid w:val="008152F3"/>
    <w:rsid w:val="008155FA"/>
    <w:rsid w:val="008159EC"/>
    <w:rsid w:val="008162EF"/>
    <w:rsid w:val="0081636E"/>
    <w:rsid w:val="00817451"/>
    <w:rsid w:val="008175C1"/>
    <w:rsid w:val="00817823"/>
    <w:rsid w:val="00817A5F"/>
    <w:rsid w:val="00817BA8"/>
    <w:rsid w:val="00817F7E"/>
    <w:rsid w:val="00817F84"/>
    <w:rsid w:val="00820FCB"/>
    <w:rsid w:val="008210A8"/>
    <w:rsid w:val="008215D7"/>
    <w:rsid w:val="00821671"/>
    <w:rsid w:val="00821775"/>
    <w:rsid w:val="00822487"/>
    <w:rsid w:val="008229A3"/>
    <w:rsid w:val="00822AC3"/>
    <w:rsid w:val="00823377"/>
    <w:rsid w:val="00823707"/>
    <w:rsid w:val="00823A05"/>
    <w:rsid w:val="00823DB0"/>
    <w:rsid w:val="00824511"/>
    <w:rsid w:val="00825173"/>
    <w:rsid w:val="008252F4"/>
    <w:rsid w:val="00825F57"/>
    <w:rsid w:val="00826504"/>
    <w:rsid w:val="00827CE5"/>
    <w:rsid w:val="00827F80"/>
    <w:rsid w:val="00831F45"/>
    <w:rsid w:val="0083311C"/>
    <w:rsid w:val="008333FB"/>
    <w:rsid w:val="00833B2C"/>
    <w:rsid w:val="00833F00"/>
    <w:rsid w:val="00834D6A"/>
    <w:rsid w:val="00834F51"/>
    <w:rsid w:val="00835530"/>
    <w:rsid w:val="00835EB5"/>
    <w:rsid w:val="00836B0E"/>
    <w:rsid w:val="008374CA"/>
    <w:rsid w:val="00837636"/>
    <w:rsid w:val="00837E3A"/>
    <w:rsid w:val="008413B6"/>
    <w:rsid w:val="00841AE7"/>
    <w:rsid w:val="008425F7"/>
    <w:rsid w:val="0084335B"/>
    <w:rsid w:val="00843448"/>
    <w:rsid w:val="00844AD6"/>
    <w:rsid w:val="008460E8"/>
    <w:rsid w:val="0084621C"/>
    <w:rsid w:val="0084680F"/>
    <w:rsid w:val="00846EC1"/>
    <w:rsid w:val="008472AD"/>
    <w:rsid w:val="0085012B"/>
    <w:rsid w:val="0085080C"/>
    <w:rsid w:val="00851D01"/>
    <w:rsid w:val="008527B3"/>
    <w:rsid w:val="008534EC"/>
    <w:rsid w:val="00853759"/>
    <w:rsid w:val="00854791"/>
    <w:rsid w:val="00854EB8"/>
    <w:rsid w:val="00855189"/>
    <w:rsid w:val="00857CDB"/>
    <w:rsid w:val="0086032C"/>
    <w:rsid w:val="00860A9D"/>
    <w:rsid w:val="0086107A"/>
    <w:rsid w:val="00862394"/>
    <w:rsid w:val="00862CD8"/>
    <w:rsid w:val="00862F07"/>
    <w:rsid w:val="00862F96"/>
    <w:rsid w:val="008634B3"/>
    <w:rsid w:val="00863D65"/>
    <w:rsid w:val="00864004"/>
    <w:rsid w:val="0086445A"/>
    <w:rsid w:val="00864CDB"/>
    <w:rsid w:val="00864E0F"/>
    <w:rsid w:val="00864EBE"/>
    <w:rsid w:val="00864EE2"/>
    <w:rsid w:val="008654B6"/>
    <w:rsid w:val="00865862"/>
    <w:rsid w:val="00865967"/>
    <w:rsid w:val="00865B29"/>
    <w:rsid w:val="008667EC"/>
    <w:rsid w:val="00866E0A"/>
    <w:rsid w:val="0086766F"/>
    <w:rsid w:val="008704EB"/>
    <w:rsid w:val="00870B13"/>
    <w:rsid w:val="008711A8"/>
    <w:rsid w:val="008711EC"/>
    <w:rsid w:val="00871E72"/>
    <w:rsid w:val="00872C0E"/>
    <w:rsid w:val="00873117"/>
    <w:rsid w:val="00873A2B"/>
    <w:rsid w:val="00874708"/>
    <w:rsid w:val="00874747"/>
    <w:rsid w:val="00874BC6"/>
    <w:rsid w:val="00874E64"/>
    <w:rsid w:val="0087587E"/>
    <w:rsid w:val="00876202"/>
    <w:rsid w:val="008770B9"/>
    <w:rsid w:val="00880628"/>
    <w:rsid w:val="008816CF"/>
    <w:rsid w:val="00881CE2"/>
    <w:rsid w:val="0088212D"/>
    <w:rsid w:val="0088215A"/>
    <w:rsid w:val="0088261F"/>
    <w:rsid w:val="00882678"/>
    <w:rsid w:val="00882E34"/>
    <w:rsid w:val="00882F6B"/>
    <w:rsid w:val="00883309"/>
    <w:rsid w:val="00883B32"/>
    <w:rsid w:val="00884294"/>
    <w:rsid w:val="00884EE8"/>
    <w:rsid w:val="00884F0D"/>
    <w:rsid w:val="00886815"/>
    <w:rsid w:val="00886D4B"/>
    <w:rsid w:val="00886E2C"/>
    <w:rsid w:val="0088730D"/>
    <w:rsid w:val="00887969"/>
    <w:rsid w:val="00887DAC"/>
    <w:rsid w:val="008913A9"/>
    <w:rsid w:val="00891BE3"/>
    <w:rsid w:val="008920EC"/>
    <w:rsid w:val="00892391"/>
    <w:rsid w:val="00892EF7"/>
    <w:rsid w:val="0089321F"/>
    <w:rsid w:val="00893476"/>
    <w:rsid w:val="00894478"/>
    <w:rsid w:val="008946EF"/>
    <w:rsid w:val="00894961"/>
    <w:rsid w:val="00894AF1"/>
    <w:rsid w:val="0089537F"/>
    <w:rsid w:val="00896101"/>
    <w:rsid w:val="00897C9C"/>
    <w:rsid w:val="008A0724"/>
    <w:rsid w:val="008A15BB"/>
    <w:rsid w:val="008A1B4E"/>
    <w:rsid w:val="008A1B95"/>
    <w:rsid w:val="008A2497"/>
    <w:rsid w:val="008A25E5"/>
    <w:rsid w:val="008A25F5"/>
    <w:rsid w:val="008A27A4"/>
    <w:rsid w:val="008A2B45"/>
    <w:rsid w:val="008A3A0D"/>
    <w:rsid w:val="008A3B50"/>
    <w:rsid w:val="008A4256"/>
    <w:rsid w:val="008A44A8"/>
    <w:rsid w:val="008A4854"/>
    <w:rsid w:val="008A501F"/>
    <w:rsid w:val="008A5263"/>
    <w:rsid w:val="008A5C4C"/>
    <w:rsid w:val="008A62FA"/>
    <w:rsid w:val="008A65C9"/>
    <w:rsid w:val="008A6ADE"/>
    <w:rsid w:val="008A6B34"/>
    <w:rsid w:val="008A6DBA"/>
    <w:rsid w:val="008A6E62"/>
    <w:rsid w:val="008A7452"/>
    <w:rsid w:val="008A7960"/>
    <w:rsid w:val="008A798F"/>
    <w:rsid w:val="008A79F9"/>
    <w:rsid w:val="008A7A28"/>
    <w:rsid w:val="008B0230"/>
    <w:rsid w:val="008B0631"/>
    <w:rsid w:val="008B1A35"/>
    <w:rsid w:val="008B1D81"/>
    <w:rsid w:val="008B1F90"/>
    <w:rsid w:val="008B2201"/>
    <w:rsid w:val="008B26BD"/>
    <w:rsid w:val="008B2901"/>
    <w:rsid w:val="008B2FC9"/>
    <w:rsid w:val="008B3259"/>
    <w:rsid w:val="008B3BB5"/>
    <w:rsid w:val="008B473A"/>
    <w:rsid w:val="008B482E"/>
    <w:rsid w:val="008B4914"/>
    <w:rsid w:val="008B5D9D"/>
    <w:rsid w:val="008B5FB7"/>
    <w:rsid w:val="008B62E4"/>
    <w:rsid w:val="008B655E"/>
    <w:rsid w:val="008B6AED"/>
    <w:rsid w:val="008B6BA6"/>
    <w:rsid w:val="008B6D21"/>
    <w:rsid w:val="008B7266"/>
    <w:rsid w:val="008B7B3F"/>
    <w:rsid w:val="008B7D83"/>
    <w:rsid w:val="008C0936"/>
    <w:rsid w:val="008C0EEE"/>
    <w:rsid w:val="008C1A23"/>
    <w:rsid w:val="008C2024"/>
    <w:rsid w:val="008C2248"/>
    <w:rsid w:val="008C2655"/>
    <w:rsid w:val="008C3269"/>
    <w:rsid w:val="008C37E3"/>
    <w:rsid w:val="008C3EC4"/>
    <w:rsid w:val="008C3FF8"/>
    <w:rsid w:val="008C496A"/>
    <w:rsid w:val="008C4A4C"/>
    <w:rsid w:val="008C4C41"/>
    <w:rsid w:val="008C4EE2"/>
    <w:rsid w:val="008C5233"/>
    <w:rsid w:val="008C5C9F"/>
    <w:rsid w:val="008C5E74"/>
    <w:rsid w:val="008C60CE"/>
    <w:rsid w:val="008C63E9"/>
    <w:rsid w:val="008C6496"/>
    <w:rsid w:val="008C6AAD"/>
    <w:rsid w:val="008C71A6"/>
    <w:rsid w:val="008C7A60"/>
    <w:rsid w:val="008D0B63"/>
    <w:rsid w:val="008D0DEC"/>
    <w:rsid w:val="008D1E23"/>
    <w:rsid w:val="008D227C"/>
    <w:rsid w:val="008D2933"/>
    <w:rsid w:val="008D29E9"/>
    <w:rsid w:val="008D3889"/>
    <w:rsid w:val="008D3B86"/>
    <w:rsid w:val="008D400A"/>
    <w:rsid w:val="008D4505"/>
    <w:rsid w:val="008D5B90"/>
    <w:rsid w:val="008D6086"/>
    <w:rsid w:val="008D672A"/>
    <w:rsid w:val="008D74B4"/>
    <w:rsid w:val="008D781C"/>
    <w:rsid w:val="008E0187"/>
    <w:rsid w:val="008E0BBD"/>
    <w:rsid w:val="008E1855"/>
    <w:rsid w:val="008E1874"/>
    <w:rsid w:val="008E2241"/>
    <w:rsid w:val="008E256B"/>
    <w:rsid w:val="008E36E1"/>
    <w:rsid w:val="008E38AE"/>
    <w:rsid w:val="008E3DB8"/>
    <w:rsid w:val="008E406D"/>
    <w:rsid w:val="008E42C8"/>
    <w:rsid w:val="008E4755"/>
    <w:rsid w:val="008E4D22"/>
    <w:rsid w:val="008E50A3"/>
    <w:rsid w:val="008E5395"/>
    <w:rsid w:val="008E59A9"/>
    <w:rsid w:val="008E60AB"/>
    <w:rsid w:val="008E621D"/>
    <w:rsid w:val="008E6589"/>
    <w:rsid w:val="008E6F35"/>
    <w:rsid w:val="008E7A1D"/>
    <w:rsid w:val="008E7ADD"/>
    <w:rsid w:val="008F0290"/>
    <w:rsid w:val="008F0494"/>
    <w:rsid w:val="008F0E88"/>
    <w:rsid w:val="008F103E"/>
    <w:rsid w:val="008F1247"/>
    <w:rsid w:val="008F173C"/>
    <w:rsid w:val="008F1E5E"/>
    <w:rsid w:val="008F22C0"/>
    <w:rsid w:val="008F23C9"/>
    <w:rsid w:val="008F278E"/>
    <w:rsid w:val="008F2899"/>
    <w:rsid w:val="008F3455"/>
    <w:rsid w:val="008F37EA"/>
    <w:rsid w:val="008F4494"/>
    <w:rsid w:val="008F45DC"/>
    <w:rsid w:val="008F45F3"/>
    <w:rsid w:val="008F4F7E"/>
    <w:rsid w:val="008F5178"/>
    <w:rsid w:val="008F5A23"/>
    <w:rsid w:val="008F5B62"/>
    <w:rsid w:val="008F6187"/>
    <w:rsid w:val="008F73D2"/>
    <w:rsid w:val="008F7A0E"/>
    <w:rsid w:val="008F7EA4"/>
    <w:rsid w:val="008F7FA2"/>
    <w:rsid w:val="008F7FA4"/>
    <w:rsid w:val="008F7FC4"/>
    <w:rsid w:val="00900B0E"/>
    <w:rsid w:val="009017D7"/>
    <w:rsid w:val="009019B1"/>
    <w:rsid w:val="00901D0E"/>
    <w:rsid w:val="009023D2"/>
    <w:rsid w:val="00902BF4"/>
    <w:rsid w:val="00902CD2"/>
    <w:rsid w:val="0090344A"/>
    <w:rsid w:val="009037C2"/>
    <w:rsid w:val="00904F91"/>
    <w:rsid w:val="00905115"/>
    <w:rsid w:val="00905556"/>
    <w:rsid w:val="009058F1"/>
    <w:rsid w:val="0090603D"/>
    <w:rsid w:val="00906C05"/>
    <w:rsid w:val="00906C62"/>
    <w:rsid w:val="009070D9"/>
    <w:rsid w:val="009109B2"/>
    <w:rsid w:val="009113BE"/>
    <w:rsid w:val="00911602"/>
    <w:rsid w:val="00912853"/>
    <w:rsid w:val="00914F54"/>
    <w:rsid w:val="0091547C"/>
    <w:rsid w:val="00915D48"/>
    <w:rsid w:val="00916819"/>
    <w:rsid w:val="00917EB0"/>
    <w:rsid w:val="00920F38"/>
    <w:rsid w:val="00920FD4"/>
    <w:rsid w:val="00921194"/>
    <w:rsid w:val="009211FF"/>
    <w:rsid w:val="00921CE6"/>
    <w:rsid w:val="009220CB"/>
    <w:rsid w:val="00923429"/>
    <w:rsid w:val="009241AB"/>
    <w:rsid w:val="009247E0"/>
    <w:rsid w:val="0092551B"/>
    <w:rsid w:val="00926291"/>
    <w:rsid w:val="00926702"/>
    <w:rsid w:val="00926899"/>
    <w:rsid w:val="009269FD"/>
    <w:rsid w:val="0093018C"/>
    <w:rsid w:val="00930989"/>
    <w:rsid w:val="009316DB"/>
    <w:rsid w:val="0093179F"/>
    <w:rsid w:val="009328AA"/>
    <w:rsid w:val="009329F5"/>
    <w:rsid w:val="0093359B"/>
    <w:rsid w:val="0093385D"/>
    <w:rsid w:val="00935A5C"/>
    <w:rsid w:val="00935FF9"/>
    <w:rsid w:val="0093729E"/>
    <w:rsid w:val="00937EF2"/>
    <w:rsid w:val="00940AC4"/>
    <w:rsid w:val="0094120D"/>
    <w:rsid w:val="009415D8"/>
    <w:rsid w:val="00941A07"/>
    <w:rsid w:val="009429BE"/>
    <w:rsid w:val="009434EB"/>
    <w:rsid w:val="00943F7B"/>
    <w:rsid w:val="009443A4"/>
    <w:rsid w:val="00944585"/>
    <w:rsid w:val="009453B8"/>
    <w:rsid w:val="009456F8"/>
    <w:rsid w:val="0094577B"/>
    <w:rsid w:val="009457D3"/>
    <w:rsid w:val="009469CF"/>
    <w:rsid w:val="009472B3"/>
    <w:rsid w:val="00947B17"/>
    <w:rsid w:val="00950089"/>
    <w:rsid w:val="0095052A"/>
    <w:rsid w:val="0095079F"/>
    <w:rsid w:val="0095083B"/>
    <w:rsid w:val="00950984"/>
    <w:rsid w:val="00950C72"/>
    <w:rsid w:val="0095203C"/>
    <w:rsid w:val="0095365C"/>
    <w:rsid w:val="00954186"/>
    <w:rsid w:val="00954437"/>
    <w:rsid w:val="0095444B"/>
    <w:rsid w:val="00954501"/>
    <w:rsid w:val="009545CF"/>
    <w:rsid w:val="00954690"/>
    <w:rsid w:val="00954988"/>
    <w:rsid w:val="00956281"/>
    <w:rsid w:val="009563AB"/>
    <w:rsid w:val="00956452"/>
    <w:rsid w:val="00956967"/>
    <w:rsid w:val="00956E84"/>
    <w:rsid w:val="00957099"/>
    <w:rsid w:val="00957487"/>
    <w:rsid w:val="00957AEC"/>
    <w:rsid w:val="00957FEA"/>
    <w:rsid w:val="0096043D"/>
    <w:rsid w:val="0096178D"/>
    <w:rsid w:val="00961939"/>
    <w:rsid w:val="00961D44"/>
    <w:rsid w:val="00961E54"/>
    <w:rsid w:val="0096277A"/>
    <w:rsid w:val="009628C4"/>
    <w:rsid w:val="00962DDC"/>
    <w:rsid w:val="00962FC8"/>
    <w:rsid w:val="009634FB"/>
    <w:rsid w:val="00963CE3"/>
    <w:rsid w:val="00963F81"/>
    <w:rsid w:val="00963FEB"/>
    <w:rsid w:val="009641EB"/>
    <w:rsid w:val="00964443"/>
    <w:rsid w:val="009648A5"/>
    <w:rsid w:val="0096492A"/>
    <w:rsid w:val="00964B82"/>
    <w:rsid w:val="009654A2"/>
    <w:rsid w:val="009656C7"/>
    <w:rsid w:val="00965A09"/>
    <w:rsid w:val="009660DD"/>
    <w:rsid w:val="0096675E"/>
    <w:rsid w:val="00966984"/>
    <w:rsid w:val="00966EAA"/>
    <w:rsid w:val="00970372"/>
    <w:rsid w:val="00970C18"/>
    <w:rsid w:val="00971DE8"/>
    <w:rsid w:val="00972A35"/>
    <w:rsid w:val="00972B35"/>
    <w:rsid w:val="009730CA"/>
    <w:rsid w:val="0097352B"/>
    <w:rsid w:val="0097367E"/>
    <w:rsid w:val="009744C5"/>
    <w:rsid w:val="009768E5"/>
    <w:rsid w:val="00981251"/>
    <w:rsid w:val="00982194"/>
    <w:rsid w:val="00982214"/>
    <w:rsid w:val="00984529"/>
    <w:rsid w:val="009846D7"/>
    <w:rsid w:val="00984D01"/>
    <w:rsid w:val="00985527"/>
    <w:rsid w:val="0098610B"/>
    <w:rsid w:val="0098652A"/>
    <w:rsid w:val="00986699"/>
    <w:rsid w:val="00986894"/>
    <w:rsid w:val="00986ED3"/>
    <w:rsid w:val="00987493"/>
    <w:rsid w:val="00987855"/>
    <w:rsid w:val="00987FA5"/>
    <w:rsid w:val="00990030"/>
    <w:rsid w:val="00991BA3"/>
    <w:rsid w:val="00991EE7"/>
    <w:rsid w:val="00991F15"/>
    <w:rsid w:val="009925DA"/>
    <w:rsid w:val="00993CC9"/>
    <w:rsid w:val="00993CF8"/>
    <w:rsid w:val="009947AD"/>
    <w:rsid w:val="00995926"/>
    <w:rsid w:val="00995ED6"/>
    <w:rsid w:val="009967F1"/>
    <w:rsid w:val="00996B49"/>
    <w:rsid w:val="00997595"/>
    <w:rsid w:val="009979BD"/>
    <w:rsid w:val="009A051C"/>
    <w:rsid w:val="009A0705"/>
    <w:rsid w:val="009A0B05"/>
    <w:rsid w:val="009A0D98"/>
    <w:rsid w:val="009A2174"/>
    <w:rsid w:val="009A2545"/>
    <w:rsid w:val="009A390A"/>
    <w:rsid w:val="009A429A"/>
    <w:rsid w:val="009A4AB0"/>
    <w:rsid w:val="009A5DD0"/>
    <w:rsid w:val="009A6109"/>
    <w:rsid w:val="009A735B"/>
    <w:rsid w:val="009B07B1"/>
    <w:rsid w:val="009B0EC9"/>
    <w:rsid w:val="009B126B"/>
    <w:rsid w:val="009B14D7"/>
    <w:rsid w:val="009B1AF2"/>
    <w:rsid w:val="009B21A8"/>
    <w:rsid w:val="009B29D4"/>
    <w:rsid w:val="009B2C1B"/>
    <w:rsid w:val="009B2DC7"/>
    <w:rsid w:val="009B3C1E"/>
    <w:rsid w:val="009B4B51"/>
    <w:rsid w:val="009B4EFE"/>
    <w:rsid w:val="009B5241"/>
    <w:rsid w:val="009B5489"/>
    <w:rsid w:val="009B5640"/>
    <w:rsid w:val="009B57C8"/>
    <w:rsid w:val="009B5A53"/>
    <w:rsid w:val="009B5C20"/>
    <w:rsid w:val="009B5FA0"/>
    <w:rsid w:val="009B628A"/>
    <w:rsid w:val="009B66A7"/>
    <w:rsid w:val="009B77E3"/>
    <w:rsid w:val="009C01EF"/>
    <w:rsid w:val="009C0284"/>
    <w:rsid w:val="009C09F6"/>
    <w:rsid w:val="009C10EF"/>
    <w:rsid w:val="009C11F3"/>
    <w:rsid w:val="009C13DC"/>
    <w:rsid w:val="009C16E1"/>
    <w:rsid w:val="009C18B5"/>
    <w:rsid w:val="009C247D"/>
    <w:rsid w:val="009C26BC"/>
    <w:rsid w:val="009C2938"/>
    <w:rsid w:val="009C37EB"/>
    <w:rsid w:val="009C3A0C"/>
    <w:rsid w:val="009C3B50"/>
    <w:rsid w:val="009C5DE3"/>
    <w:rsid w:val="009C660C"/>
    <w:rsid w:val="009C6CF6"/>
    <w:rsid w:val="009C760D"/>
    <w:rsid w:val="009C7662"/>
    <w:rsid w:val="009D0174"/>
    <w:rsid w:val="009D0232"/>
    <w:rsid w:val="009D028C"/>
    <w:rsid w:val="009D0C0F"/>
    <w:rsid w:val="009D0F9B"/>
    <w:rsid w:val="009D0FFD"/>
    <w:rsid w:val="009D10F5"/>
    <w:rsid w:val="009D13B9"/>
    <w:rsid w:val="009D1D27"/>
    <w:rsid w:val="009D1D42"/>
    <w:rsid w:val="009D23F7"/>
    <w:rsid w:val="009D2423"/>
    <w:rsid w:val="009D3AC6"/>
    <w:rsid w:val="009D456D"/>
    <w:rsid w:val="009D46CF"/>
    <w:rsid w:val="009D493F"/>
    <w:rsid w:val="009D4BB2"/>
    <w:rsid w:val="009D4EDC"/>
    <w:rsid w:val="009D5AF1"/>
    <w:rsid w:val="009D5BED"/>
    <w:rsid w:val="009D6580"/>
    <w:rsid w:val="009D7548"/>
    <w:rsid w:val="009D775F"/>
    <w:rsid w:val="009D799C"/>
    <w:rsid w:val="009E065E"/>
    <w:rsid w:val="009E09CE"/>
    <w:rsid w:val="009E1915"/>
    <w:rsid w:val="009E2C06"/>
    <w:rsid w:val="009E2E34"/>
    <w:rsid w:val="009E2E6D"/>
    <w:rsid w:val="009E2F69"/>
    <w:rsid w:val="009E351D"/>
    <w:rsid w:val="009E371C"/>
    <w:rsid w:val="009E387D"/>
    <w:rsid w:val="009E3917"/>
    <w:rsid w:val="009E3DEA"/>
    <w:rsid w:val="009E4038"/>
    <w:rsid w:val="009E407C"/>
    <w:rsid w:val="009E45C2"/>
    <w:rsid w:val="009E4E29"/>
    <w:rsid w:val="009E5334"/>
    <w:rsid w:val="009E6217"/>
    <w:rsid w:val="009E6279"/>
    <w:rsid w:val="009E6286"/>
    <w:rsid w:val="009E6388"/>
    <w:rsid w:val="009E6736"/>
    <w:rsid w:val="009E686B"/>
    <w:rsid w:val="009E691E"/>
    <w:rsid w:val="009E751F"/>
    <w:rsid w:val="009F04B8"/>
    <w:rsid w:val="009F083D"/>
    <w:rsid w:val="009F101F"/>
    <w:rsid w:val="009F1226"/>
    <w:rsid w:val="009F1BB8"/>
    <w:rsid w:val="009F1F40"/>
    <w:rsid w:val="009F219A"/>
    <w:rsid w:val="009F25B6"/>
    <w:rsid w:val="009F2A70"/>
    <w:rsid w:val="009F30C5"/>
    <w:rsid w:val="009F3156"/>
    <w:rsid w:val="009F3FC1"/>
    <w:rsid w:val="009F4696"/>
    <w:rsid w:val="009F486D"/>
    <w:rsid w:val="009F59E9"/>
    <w:rsid w:val="009F5C09"/>
    <w:rsid w:val="009F6C8B"/>
    <w:rsid w:val="009F703B"/>
    <w:rsid w:val="009F7099"/>
    <w:rsid w:val="009F70F6"/>
    <w:rsid w:val="009F7539"/>
    <w:rsid w:val="009F7AAC"/>
    <w:rsid w:val="009F7FE4"/>
    <w:rsid w:val="00A00221"/>
    <w:rsid w:val="00A00C93"/>
    <w:rsid w:val="00A02B64"/>
    <w:rsid w:val="00A02C9F"/>
    <w:rsid w:val="00A03097"/>
    <w:rsid w:val="00A031E3"/>
    <w:rsid w:val="00A037E7"/>
    <w:rsid w:val="00A04072"/>
    <w:rsid w:val="00A044C4"/>
    <w:rsid w:val="00A048CE"/>
    <w:rsid w:val="00A049A1"/>
    <w:rsid w:val="00A04F35"/>
    <w:rsid w:val="00A05511"/>
    <w:rsid w:val="00A056B7"/>
    <w:rsid w:val="00A05878"/>
    <w:rsid w:val="00A05B29"/>
    <w:rsid w:val="00A05C4C"/>
    <w:rsid w:val="00A06F2B"/>
    <w:rsid w:val="00A10719"/>
    <w:rsid w:val="00A10769"/>
    <w:rsid w:val="00A110CF"/>
    <w:rsid w:val="00A1124E"/>
    <w:rsid w:val="00A11FD3"/>
    <w:rsid w:val="00A1225F"/>
    <w:rsid w:val="00A125AC"/>
    <w:rsid w:val="00A12923"/>
    <w:rsid w:val="00A12A87"/>
    <w:rsid w:val="00A12A8A"/>
    <w:rsid w:val="00A12E2F"/>
    <w:rsid w:val="00A13180"/>
    <w:rsid w:val="00A1474B"/>
    <w:rsid w:val="00A147FA"/>
    <w:rsid w:val="00A1494F"/>
    <w:rsid w:val="00A149E3"/>
    <w:rsid w:val="00A14CCC"/>
    <w:rsid w:val="00A14FA7"/>
    <w:rsid w:val="00A15275"/>
    <w:rsid w:val="00A1547E"/>
    <w:rsid w:val="00A15B22"/>
    <w:rsid w:val="00A16428"/>
    <w:rsid w:val="00A17519"/>
    <w:rsid w:val="00A2093B"/>
    <w:rsid w:val="00A209C2"/>
    <w:rsid w:val="00A23053"/>
    <w:rsid w:val="00A2343E"/>
    <w:rsid w:val="00A235B3"/>
    <w:rsid w:val="00A237A8"/>
    <w:rsid w:val="00A23A6A"/>
    <w:rsid w:val="00A24820"/>
    <w:rsid w:val="00A24A8C"/>
    <w:rsid w:val="00A24F1F"/>
    <w:rsid w:val="00A257A0"/>
    <w:rsid w:val="00A25E81"/>
    <w:rsid w:val="00A25FA2"/>
    <w:rsid w:val="00A26DCF"/>
    <w:rsid w:val="00A2796B"/>
    <w:rsid w:val="00A27A97"/>
    <w:rsid w:val="00A27B14"/>
    <w:rsid w:val="00A3002D"/>
    <w:rsid w:val="00A3029D"/>
    <w:rsid w:val="00A302F1"/>
    <w:rsid w:val="00A30BA9"/>
    <w:rsid w:val="00A312E5"/>
    <w:rsid w:val="00A31E6C"/>
    <w:rsid w:val="00A31E76"/>
    <w:rsid w:val="00A31F2C"/>
    <w:rsid w:val="00A32A31"/>
    <w:rsid w:val="00A3361A"/>
    <w:rsid w:val="00A33D36"/>
    <w:rsid w:val="00A340F8"/>
    <w:rsid w:val="00A346DE"/>
    <w:rsid w:val="00A35145"/>
    <w:rsid w:val="00A35916"/>
    <w:rsid w:val="00A362B6"/>
    <w:rsid w:val="00A363A4"/>
    <w:rsid w:val="00A3641A"/>
    <w:rsid w:val="00A36517"/>
    <w:rsid w:val="00A37131"/>
    <w:rsid w:val="00A3764F"/>
    <w:rsid w:val="00A3787E"/>
    <w:rsid w:val="00A4006B"/>
    <w:rsid w:val="00A4036C"/>
    <w:rsid w:val="00A40D78"/>
    <w:rsid w:val="00A420B9"/>
    <w:rsid w:val="00A44131"/>
    <w:rsid w:val="00A4432F"/>
    <w:rsid w:val="00A445D0"/>
    <w:rsid w:val="00A45B8A"/>
    <w:rsid w:val="00A46B43"/>
    <w:rsid w:val="00A46E8E"/>
    <w:rsid w:val="00A505B6"/>
    <w:rsid w:val="00A5081B"/>
    <w:rsid w:val="00A50AEA"/>
    <w:rsid w:val="00A50BD2"/>
    <w:rsid w:val="00A5149F"/>
    <w:rsid w:val="00A51660"/>
    <w:rsid w:val="00A51A52"/>
    <w:rsid w:val="00A51B3C"/>
    <w:rsid w:val="00A51D74"/>
    <w:rsid w:val="00A52932"/>
    <w:rsid w:val="00A52CA0"/>
    <w:rsid w:val="00A52E4A"/>
    <w:rsid w:val="00A532A4"/>
    <w:rsid w:val="00A53E3F"/>
    <w:rsid w:val="00A54C77"/>
    <w:rsid w:val="00A55277"/>
    <w:rsid w:val="00A562B3"/>
    <w:rsid w:val="00A56450"/>
    <w:rsid w:val="00A5699A"/>
    <w:rsid w:val="00A574AC"/>
    <w:rsid w:val="00A5768D"/>
    <w:rsid w:val="00A5790A"/>
    <w:rsid w:val="00A57E92"/>
    <w:rsid w:val="00A60041"/>
    <w:rsid w:val="00A60BA8"/>
    <w:rsid w:val="00A60C5C"/>
    <w:rsid w:val="00A617C1"/>
    <w:rsid w:val="00A617F6"/>
    <w:rsid w:val="00A61AA6"/>
    <w:rsid w:val="00A62F9B"/>
    <w:rsid w:val="00A638B1"/>
    <w:rsid w:val="00A63B4B"/>
    <w:rsid w:val="00A63E93"/>
    <w:rsid w:val="00A64508"/>
    <w:rsid w:val="00A6530C"/>
    <w:rsid w:val="00A654AC"/>
    <w:rsid w:val="00A65908"/>
    <w:rsid w:val="00A66A6E"/>
    <w:rsid w:val="00A67AD5"/>
    <w:rsid w:val="00A700F9"/>
    <w:rsid w:val="00A70304"/>
    <w:rsid w:val="00A70500"/>
    <w:rsid w:val="00A725C8"/>
    <w:rsid w:val="00A731B7"/>
    <w:rsid w:val="00A73BD9"/>
    <w:rsid w:val="00A7424E"/>
    <w:rsid w:val="00A74382"/>
    <w:rsid w:val="00A749AC"/>
    <w:rsid w:val="00A74A0A"/>
    <w:rsid w:val="00A74AD9"/>
    <w:rsid w:val="00A75074"/>
    <w:rsid w:val="00A75280"/>
    <w:rsid w:val="00A7533E"/>
    <w:rsid w:val="00A753CD"/>
    <w:rsid w:val="00A75A7F"/>
    <w:rsid w:val="00A7617F"/>
    <w:rsid w:val="00A7725E"/>
    <w:rsid w:val="00A772C0"/>
    <w:rsid w:val="00A7771F"/>
    <w:rsid w:val="00A80201"/>
    <w:rsid w:val="00A80B5E"/>
    <w:rsid w:val="00A81234"/>
    <w:rsid w:val="00A81BD8"/>
    <w:rsid w:val="00A831FB"/>
    <w:rsid w:val="00A84FAF"/>
    <w:rsid w:val="00A85073"/>
    <w:rsid w:val="00A86115"/>
    <w:rsid w:val="00A86CCA"/>
    <w:rsid w:val="00A87643"/>
    <w:rsid w:val="00A87ABA"/>
    <w:rsid w:val="00A9007E"/>
    <w:rsid w:val="00A900B1"/>
    <w:rsid w:val="00A901C7"/>
    <w:rsid w:val="00A90618"/>
    <w:rsid w:val="00A9080D"/>
    <w:rsid w:val="00A90A2C"/>
    <w:rsid w:val="00A90AA8"/>
    <w:rsid w:val="00A90B23"/>
    <w:rsid w:val="00A90EEF"/>
    <w:rsid w:val="00A9139A"/>
    <w:rsid w:val="00A9145E"/>
    <w:rsid w:val="00A914AD"/>
    <w:rsid w:val="00A92891"/>
    <w:rsid w:val="00A929E3"/>
    <w:rsid w:val="00A92AC6"/>
    <w:rsid w:val="00A92D21"/>
    <w:rsid w:val="00A93A03"/>
    <w:rsid w:val="00A93C8A"/>
    <w:rsid w:val="00A93E71"/>
    <w:rsid w:val="00A93FA5"/>
    <w:rsid w:val="00A940F1"/>
    <w:rsid w:val="00A94807"/>
    <w:rsid w:val="00A957E8"/>
    <w:rsid w:val="00A960E9"/>
    <w:rsid w:val="00A96589"/>
    <w:rsid w:val="00A965E7"/>
    <w:rsid w:val="00A9775F"/>
    <w:rsid w:val="00A9786A"/>
    <w:rsid w:val="00A97E22"/>
    <w:rsid w:val="00A97EE3"/>
    <w:rsid w:val="00AA064F"/>
    <w:rsid w:val="00AA08E8"/>
    <w:rsid w:val="00AA099B"/>
    <w:rsid w:val="00AA1A33"/>
    <w:rsid w:val="00AA1AE4"/>
    <w:rsid w:val="00AA203C"/>
    <w:rsid w:val="00AA2AA1"/>
    <w:rsid w:val="00AA2AF2"/>
    <w:rsid w:val="00AA2E22"/>
    <w:rsid w:val="00AA302F"/>
    <w:rsid w:val="00AA31BF"/>
    <w:rsid w:val="00AA3B10"/>
    <w:rsid w:val="00AA3EBD"/>
    <w:rsid w:val="00AA5142"/>
    <w:rsid w:val="00AA5366"/>
    <w:rsid w:val="00AA6A7E"/>
    <w:rsid w:val="00AA71A5"/>
    <w:rsid w:val="00AA7749"/>
    <w:rsid w:val="00AA77CA"/>
    <w:rsid w:val="00AB0298"/>
    <w:rsid w:val="00AB0401"/>
    <w:rsid w:val="00AB07ED"/>
    <w:rsid w:val="00AB0832"/>
    <w:rsid w:val="00AB0B23"/>
    <w:rsid w:val="00AB1454"/>
    <w:rsid w:val="00AB161B"/>
    <w:rsid w:val="00AB16EB"/>
    <w:rsid w:val="00AB1713"/>
    <w:rsid w:val="00AB25B0"/>
    <w:rsid w:val="00AB26B4"/>
    <w:rsid w:val="00AB31EA"/>
    <w:rsid w:val="00AB32B6"/>
    <w:rsid w:val="00AB3B36"/>
    <w:rsid w:val="00AB3E1A"/>
    <w:rsid w:val="00AB48C5"/>
    <w:rsid w:val="00AB53B7"/>
    <w:rsid w:val="00AB69B4"/>
    <w:rsid w:val="00AB6D4B"/>
    <w:rsid w:val="00AB761E"/>
    <w:rsid w:val="00AC0460"/>
    <w:rsid w:val="00AC0C6A"/>
    <w:rsid w:val="00AC1576"/>
    <w:rsid w:val="00AC1F18"/>
    <w:rsid w:val="00AC2710"/>
    <w:rsid w:val="00AC2937"/>
    <w:rsid w:val="00AC2ADA"/>
    <w:rsid w:val="00AC2FEF"/>
    <w:rsid w:val="00AC3E8A"/>
    <w:rsid w:val="00AC40E0"/>
    <w:rsid w:val="00AC4324"/>
    <w:rsid w:val="00AC4B67"/>
    <w:rsid w:val="00AC4BC0"/>
    <w:rsid w:val="00AC612B"/>
    <w:rsid w:val="00AC61FD"/>
    <w:rsid w:val="00AC7E18"/>
    <w:rsid w:val="00AD043E"/>
    <w:rsid w:val="00AD04CD"/>
    <w:rsid w:val="00AD0A58"/>
    <w:rsid w:val="00AD0EEA"/>
    <w:rsid w:val="00AD1605"/>
    <w:rsid w:val="00AD1A68"/>
    <w:rsid w:val="00AD1DDA"/>
    <w:rsid w:val="00AD237E"/>
    <w:rsid w:val="00AD2611"/>
    <w:rsid w:val="00AD27A7"/>
    <w:rsid w:val="00AD3287"/>
    <w:rsid w:val="00AD3664"/>
    <w:rsid w:val="00AD3695"/>
    <w:rsid w:val="00AD3E19"/>
    <w:rsid w:val="00AD4479"/>
    <w:rsid w:val="00AD4E92"/>
    <w:rsid w:val="00AD4F57"/>
    <w:rsid w:val="00AD5553"/>
    <w:rsid w:val="00AD5844"/>
    <w:rsid w:val="00AD5A42"/>
    <w:rsid w:val="00AD644C"/>
    <w:rsid w:val="00AD6BFD"/>
    <w:rsid w:val="00AD70E2"/>
    <w:rsid w:val="00AD782E"/>
    <w:rsid w:val="00AD7D7B"/>
    <w:rsid w:val="00AE0401"/>
    <w:rsid w:val="00AE04F6"/>
    <w:rsid w:val="00AE0730"/>
    <w:rsid w:val="00AE077E"/>
    <w:rsid w:val="00AE127A"/>
    <w:rsid w:val="00AE1524"/>
    <w:rsid w:val="00AE311A"/>
    <w:rsid w:val="00AE3EDB"/>
    <w:rsid w:val="00AE4339"/>
    <w:rsid w:val="00AE5F31"/>
    <w:rsid w:val="00AE5F92"/>
    <w:rsid w:val="00AE5FB6"/>
    <w:rsid w:val="00AE638A"/>
    <w:rsid w:val="00AE6CB4"/>
    <w:rsid w:val="00AE7196"/>
    <w:rsid w:val="00AE7677"/>
    <w:rsid w:val="00AE78E8"/>
    <w:rsid w:val="00AF00F8"/>
    <w:rsid w:val="00AF01D0"/>
    <w:rsid w:val="00AF039A"/>
    <w:rsid w:val="00AF077D"/>
    <w:rsid w:val="00AF082E"/>
    <w:rsid w:val="00AF09EE"/>
    <w:rsid w:val="00AF0A58"/>
    <w:rsid w:val="00AF15FE"/>
    <w:rsid w:val="00AF2C0D"/>
    <w:rsid w:val="00AF4175"/>
    <w:rsid w:val="00AF4978"/>
    <w:rsid w:val="00AF4F21"/>
    <w:rsid w:val="00AF4FD4"/>
    <w:rsid w:val="00AF52A6"/>
    <w:rsid w:val="00AF5A57"/>
    <w:rsid w:val="00AF5F99"/>
    <w:rsid w:val="00AF6214"/>
    <w:rsid w:val="00AF6356"/>
    <w:rsid w:val="00AF6457"/>
    <w:rsid w:val="00AF6487"/>
    <w:rsid w:val="00AF64BF"/>
    <w:rsid w:val="00AF700A"/>
    <w:rsid w:val="00AF710A"/>
    <w:rsid w:val="00AF7944"/>
    <w:rsid w:val="00AF79C4"/>
    <w:rsid w:val="00B01363"/>
    <w:rsid w:val="00B0182F"/>
    <w:rsid w:val="00B022E9"/>
    <w:rsid w:val="00B023B6"/>
    <w:rsid w:val="00B02772"/>
    <w:rsid w:val="00B0282D"/>
    <w:rsid w:val="00B02AD1"/>
    <w:rsid w:val="00B02B4D"/>
    <w:rsid w:val="00B02F12"/>
    <w:rsid w:val="00B03621"/>
    <w:rsid w:val="00B03B21"/>
    <w:rsid w:val="00B0410E"/>
    <w:rsid w:val="00B045ED"/>
    <w:rsid w:val="00B04D8A"/>
    <w:rsid w:val="00B04E82"/>
    <w:rsid w:val="00B059DE"/>
    <w:rsid w:val="00B05D56"/>
    <w:rsid w:val="00B06A8D"/>
    <w:rsid w:val="00B06D8C"/>
    <w:rsid w:val="00B06F35"/>
    <w:rsid w:val="00B0791D"/>
    <w:rsid w:val="00B079A7"/>
    <w:rsid w:val="00B10BEC"/>
    <w:rsid w:val="00B11377"/>
    <w:rsid w:val="00B11803"/>
    <w:rsid w:val="00B119D2"/>
    <w:rsid w:val="00B11AC6"/>
    <w:rsid w:val="00B11BDF"/>
    <w:rsid w:val="00B121EC"/>
    <w:rsid w:val="00B12EBD"/>
    <w:rsid w:val="00B13E62"/>
    <w:rsid w:val="00B148E9"/>
    <w:rsid w:val="00B14947"/>
    <w:rsid w:val="00B14EBD"/>
    <w:rsid w:val="00B1516B"/>
    <w:rsid w:val="00B1518D"/>
    <w:rsid w:val="00B15906"/>
    <w:rsid w:val="00B16ADD"/>
    <w:rsid w:val="00B17EE5"/>
    <w:rsid w:val="00B215DE"/>
    <w:rsid w:val="00B216D1"/>
    <w:rsid w:val="00B21E18"/>
    <w:rsid w:val="00B22286"/>
    <w:rsid w:val="00B22D81"/>
    <w:rsid w:val="00B23440"/>
    <w:rsid w:val="00B23DFF"/>
    <w:rsid w:val="00B23E3F"/>
    <w:rsid w:val="00B2548D"/>
    <w:rsid w:val="00B258BF"/>
    <w:rsid w:val="00B25D0D"/>
    <w:rsid w:val="00B2607E"/>
    <w:rsid w:val="00B26713"/>
    <w:rsid w:val="00B26FC4"/>
    <w:rsid w:val="00B26FDE"/>
    <w:rsid w:val="00B27148"/>
    <w:rsid w:val="00B2716F"/>
    <w:rsid w:val="00B27479"/>
    <w:rsid w:val="00B279F5"/>
    <w:rsid w:val="00B30540"/>
    <w:rsid w:val="00B30599"/>
    <w:rsid w:val="00B30BD4"/>
    <w:rsid w:val="00B31435"/>
    <w:rsid w:val="00B3162C"/>
    <w:rsid w:val="00B31D5B"/>
    <w:rsid w:val="00B32198"/>
    <w:rsid w:val="00B32D1E"/>
    <w:rsid w:val="00B32DC0"/>
    <w:rsid w:val="00B33AE8"/>
    <w:rsid w:val="00B34FC3"/>
    <w:rsid w:val="00B35A53"/>
    <w:rsid w:val="00B35FEC"/>
    <w:rsid w:val="00B365F9"/>
    <w:rsid w:val="00B36665"/>
    <w:rsid w:val="00B370C4"/>
    <w:rsid w:val="00B4011C"/>
    <w:rsid w:val="00B40159"/>
    <w:rsid w:val="00B40902"/>
    <w:rsid w:val="00B412DA"/>
    <w:rsid w:val="00B41CB7"/>
    <w:rsid w:val="00B4267B"/>
    <w:rsid w:val="00B4315A"/>
    <w:rsid w:val="00B4375E"/>
    <w:rsid w:val="00B43A55"/>
    <w:rsid w:val="00B44A21"/>
    <w:rsid w:val="00B44C63"/>
    <w:rsid w:val="00B44CE3"/>
    <w:rsid w:val="00B45BF8"/>
    <w:rsid w:val="00B4602C"/>
    <w:rsid w:val="00B46192"/>
    <w:rsid w:val="00B46A4E"/>
    <w:rsid w:val="00B47727"/>
    <w:rsid w:val="00B47760"/>
    <w:rsid w:val="00B47EED"/>
    <w:rsid w:val="00B50E06"/>
    <w:rsid w:val="00B512F9"/>
    <w:rsid w:val="00B5146D"/>
    <w:rsid w:val="00B51756"/>
    <w:rsid w:val="00B52685"/>
    <w:rsid w:val="00B5280A"/>
    <w:rsid w:val="00B52877"/>
    <w:rsid w:val="00B53C2F"/>
    <w:rsid w:val="00B54B5A"/>
    <w:rsid w:val="00B54DD8"/>
    <w:rsid w:val="00B5543C"/>
    <w:rsid w:val="00B555D5"/>
    <w:rsid w:val="00B5564D"/>
    <w:rsid w:val="00B5577E"/>
    <w:rsid w:val="00B55BFF"/>
    <w:rsid w:val="00B560BE"/>
    <w:rsid w:val="00B5639E"/>
    <w:rsid w:val="00B56DBE"/>
    <w:rsid w:val="00B5716B"/>
    <w:rsid w:val="00B575BC"/>
    <w:rsid w:val="00B60165"/>
    <w:rsid w:val="00B603C7"/>
    <w:rsid w:val="00B608AC"/>
    <w:rsid w:val="00B60C7E"/>
    <w:rsid w:val="00B60CA8"/>
    <w:rsid w:val="00B61C7C"/>
    <w:rsid w:val="00B62341"/>
    <w:rsid w:val="00B62BB7"/>
    <w:rsid w:val="00B63275"/>
    <w:rsid w:val="00B63D63"/>
    <w:rsid w:val="00B63ED6"/>
    <w:rsid w:val="00B63F45"/>
    <w:rsid w:val="00B641BC"/>
    <w:rsid w:val="00B64647"/>
    <w:rsid w:val="00B64712"/>
    <w:rsid w:val="00B64F5F"/>
    <w:rsid w:val="00B65B82"/>
    <w:rsid w:val="00B65C5E"/>
    <w:rsid w:val="00B65DC4"/>
    <w:rsid w:val="00B660CA"/>
    <w:rsid w:val="00B66B1A"/>
    <w:rsid w:val="00B66C60"/>
    <w:rsid w:val="00B67550"/>
    <w:rsid w:val="00B67CA3"/>
    <w:rsid w:val="00B708B1"/>
    <w:rsid w:val="00B70AB9"/>
    <w:rsid w:val="00B70BD4"/>
    <w:rsid w:val="00B70F2A"/>
    <w:rsid w:val="00B7138D"/>
    <w:rsid w:val="00B713DF"/>
    <w:rsid w:val="00B720E3"/>
    <w:rsid w:val="00B72D3D"/>
    <w:rsid w:val="00B72F09"/>
    <w:rsid w:val="00B733C7"/>
    <w:rsid w:val="00B7345A"/>
    <w:rsid w:val="00B736CE"/>
    <w:rsid w:val="00B7380D"/>
    <w:rsid w:val="00B73999"/>
    <w:rsid w:val="00B73CCD"/>
    <w:rsid w:val="00B742E8"/>
    <w:rsid w:val="00B747BA"/>
    <w:rsid w:val="00B75551"/>
    <w:rsid w:val="00B7615D"/>
    <w:rsid w:val="00B76B34"/>
    <w:rsid w:val="00B77557"/>
    <w:rsid w:val="00B77D2F"/>
    <w:rsid w:val="00B77E70"/>
    <w:rsid w:val="00B802EF"/>
    <w:rsid w:val="00B8036C"/>
    <w:rsid w:val="00B8051B"/>
    <w:rsid w:val="00B808A3"/>
    <w:rsid w:val="00B80BCB"/>
    <w:rsid w:val="00B81017"/>
    <w:rsid w:val="00B8139C"/>
    <w:rsid w:val="00B819D8"/>
    <w:rsid w:val="00B81D7B"/>
    <w:rsid w:val="00B82AFB"/>
    <w:rsid w:val="00B83B3E"/>
    <w:rsid w:val="00B843D7"/>
    <w:rsid w:val="00B8544F"/>
    <w:rsid w:val="00B86B1E"/>
    <w:rsid w:val="00B86C51"/>
    <w:rsid w:val="00B86CFF"/>
    <w:rsid w:val="00B90087"/>
    <w:rsid w:val="00B90F46"/>
    <w:rsid w:val="00B9147B"/>
    <w:rsid w:val="00B9289C"/>
    <w:rsid w:val="00B92981"/>
    <w:rsid w:val="00B92998"/>
    <w:rsid w:val="00B93C54"/>
    <w:rsid w:val="00B94929"/>
    <w:rsid w:val="00B94DAB"/>
    <w:rsid w:val="00B95BC4"/>
    <w:rsid w:val="00B95D56"/>
    <w:rsid w:val="00B96628"/>
    <w:rsid w:val="00B96693"/>
    <w:rsid w:val="00B96CCD"/>
    <w:rsid w:val="00B96E54"/>
    <w:rsid w:val="00B97863"/>
    <w:rsid w:val="00B97ECA"/>
    <w:rsid w:val="00BA0E8A"/>
    <w:rsid w:val="00BA1332"/>
    <w:rsid w:val="00BA13AB"/>
    <w:rsid w:val="00BA1C1D"/>
    <w:rsid w:val="00BA21C3"/>
    <w:rsid w:val="00BA248E"/>
    <w:rsid w:val="00BA2D11"/>
    <w:rsid w:val="00BA3358"/>
    <w:rsid w:val="00BA34CE"/>
    <w:rsid w:val="00BA4357"/>
    <w:rsid w:val="00BA4492"/>
    <w:rsid w:val="00BA4531"/>
    <w:rsid w:val="00BA47A0"/>
    <w:rsid w:val="00BA5862"/>
    <w:rsid w:val="00BA59FB"/>
    <w:rsid w:val="00BA5F77"/>
    <w:rsid w:val="00BA6A55"/>
    <w:rsid w:val="00BB0F05"/>
    <w:rsid w:val="00BB16E3"/>
    <w:rsid w:val="00BB25FB"/>
    <w:rsid w:val="00BB28EE"/>
    <w:rsid w:val="00BB2AC9"/>
    <w:rsid w:val="00BB3CF2"/>
    <w:rsid w:val="00BB3F6B"/>
    <w:rsid w:val="00BB46F6"/>
    <w:rsid w:val="00BB48FE"/>
    <w:rsid w:val="00BB551E"/>
    <w:rsid w:val="00BB664A"/>
    <w:rsid w:val="00BB6AF0"/>
    <w:rsid w:val="00BB6F4F"/>
    <w:rsid w:val="00BC012F"/>
    <w:rsid w:val="00BC1534"/>
    <w:rsid w:val="00BC174D"/>
    <w:rsid w:val="00BC1D82"/>
    <w:rsid w:val="00BC22BA"/>
    <w:rsid w:val="00BC234B"/>
    <w:rsid w:val="00BC2477"/>
    <w:rsid w:val="00BC2FF7"/>
    <w:rsid w:val="00BC3392"/>
    <w:rsid w:val="00BC339C"/>
    <w:rsid w:val="00BC3426"/>
    <w:rsid w:val="00BC362A"/>
    <w:rsid w:val="00BC3EBD"/>
    <w:rsid w:val="00BC4420"/>
    <w:rsid w:val="00BC4A21"/>
    <w:rsid w:val="00BC544B"/>
    <w:rsid w:val="00BC54D7"/>
    <w:rsid w:val="00BC5629"/>
    <w:rsid w:val="00BC57D6"/>
    <w:rsid w:val="00BC58AD"/>
    <w:rsid w:val="00BC595B"/>
    <w:rsid w:val="00BC5B90"/>
    <w:rsid w:val="00BC6764"/>
    <w:rsid w:val="00BC68FB"/>
    <w:rsid w:val="00BC6C04"/>
    <w:rsid w:val="00BC7D1B"/>
    <w:rsid w:val="00BD0A3B"/>
    <w:rsid w:val="00BD1613"/>
    <w:rsid w:val="00BD209C"/>
    <w:rsid w:val="00BD2312"/>
    <w:rsid w:val="00BD31DE"/>
    <w:rsid w:val="00BD32BF"/>
    <w:rsid w:val="00BD37B0"/>
    <w:rsid w:val="00BD3C64"/>
    <w:rsid w:val="00BD3DA3"/>
    <w:rsid w:val="00BD4073"/>
    <w:rsid w:val="00BD46F2"/>
    <w:rsid w:val="00BD4739"/>
    <w:rsid w:val="00BD56AF"/>
    <w:rsid w:val="00BD571E"/>
    <w:rsid w:val="00BD5E99"/>
    <w:rsid w:val="00BD6168"/>
    <w:rsid w:val="00BD62E6"/>
    <w:rsid w:val="00BD6425"/>
    <w:rsid w:val="00BD6B5C"/>
    <w:rsid w:val="00BD6F26"/>
    <w:rsid w:val="00BD70C3"/>
    <w:rsid w:val="00BD7178"/>
    <w:rsid w:val="00BD719A"/>
    <w:rsid w:val="00BD7BEB"/>
    <w:rsid w:val="00BE027E"/>
    <w:rsid w:val="00BE105C"/>
    <w:rsid w:val="00BE1296"/>
    <w:rsid w:val="00BE12CB"/>
    <w:rsid w:val="00BE18A5"/>
    <w:rsid w:val="00BE20FD"/>
    <w:rsid w:val="00BE2B6B"/>
    <w:rsid w:val="00BE2F36"/>
    <w:rsid w:val="00BE379E"/>
    <w:rsid w:val="00BE3AC1"/>
    <w:rsid w:val="00BE4ECF"/>
    <w:rsid w:val="00BE5804"/>
    <w:rsid w:val="00BE5E84"/>
    <w:rsid w:val="00BE5EFB"/>
    <w:rsid w:val="00BE5F43"/>
    <w:rsid w:val="00BE62AB"/>
    <w:rsid w:val="00BE6570"/>
    <w:rsid w:val="00BE70D6"/>
    <w:rsid w:val="00BE77A5"/>
    <w:rsid w:val="00BE7831"/>
    <w:rsid w:val="00BE7EBA"/>
    <w:rsid w:val="00BE7FA1"/>
    <w:rsid w:val="00BF06B8"/>
    <w:rsid w:val="00BF0775"/>
    <w:rsid w:val="00BF0C45"/>
    <w:rsid w:val="00BF1083"/>
    <w:rsid w:val="00BF204A"/>
    <w:rsid w:val="00BF206C"/>
    <w:rsid w:val="00BF234C"/>
    <w:rsid w:val="00BF2768"/>
    <w:rsid w:val="00BF32D2"/>
    <w:rsid w:val="00BF33F0"/>
    <w:rsid w:val="00BF33FE"/>
    <w:rsid w:val="00BF3F50"/>
    <w:rsid w:val="00BF4343"/>
    <w:rsid w:val="00BF4589"/>
    <w:rsid w:val="00BF4C95"/>
    <w:rsid w:val="00BF4CE5"/>
    <w:rsid w:val="00BF4FA0"/>
    <w:rsid w:val="00BF5E4D"/>
    <w:rsid w:val="00BF5E85"/>
    <w:rsid w:val="00BF682D"/>
    <w:rsid w:val="00BF687E"/>
    <w:rsid w:val="00BF6D71"/>
    <w:rsid w:val="00BF7F08"/>
    <w:rsid w:val="00C01558"/>
    <w:rsid w:val="00C018B4"/>
    <w:rsid w:val="00C0233C"/>
    <w:rsid w:val="00C033D1"/>
    <w:rsid w:val="00C037D9"/>
    <w:rsid w:val="00C03F82"/>
    <w:rsid w:val="00C03FAF"/>
    <w:rsid w:val="00C040D1"/>
    <w:rsid w:val="00C0428B"/>
    <w:rsid w:val="00C04AAE"/>
    <w:rsid w:val="00C0555D"/>
    <w:rsid w:val="00C0557B"/>
    <w:rsid w:val="00C056F7"/>
    <w:rsid w:val="00C05B98"/>
    <w:rsid w:val="00C0620B"/>
    <w:rsid w:val="00C06C13"/>
    <w:rsid w:val="00C06DF5"/>
    <w:rsid w:val="00C06FA3"/>
    <w:rsid w:val="00C074A6"/>
    <w:rsid w:val="00C07B03"/>
    <w:rsid w:val="00C104AA"/>
    <w:rsid w:val="00C110C9"/>
    <w:rsid w:val="00C11E7B"/>
    <w:rsid w:val="00C126E4"/>
    <w:rsid w:val="00C12D4A"/>
    <w:rsid w:val="00C132C9"/>
    <w:rsid w:val="00C13859"/>
    <w:rsid w:val="00C141C1"/>
    <w:rsid w:val="00C14978"/>
    <w:rsid w:val="00C14ED1"/>
    <w:rsid w:val="00C1502E"/>
    <w:rsid w:val="00C152A0"/>
    <w:rsid w:val="00C15A64"/>
    <w:rsid w:val="00C16729"/>
    <w:rsid w:val="00C1686E"/>
    <w:rsid w:val="00C1714A"/>
    <w:rsid w:val="00C177D6"/>
    <w:rsid w:val="00C179F5"/>
    <w:rsid w:val="00C20A2F"/>
    <w:rsid w:val="00C20E57"/>
    <w:rsid w:val="00C214A6"/>
    <w:rsid w:val="00C21694"/>
    <w:rsid w:val="00C2175A"/>
    <w:rsid w:val="00C217D5"/>
    <w:rsid w:val="00C21A9C"/>
    <w:rsid w:val="00C21EE8"/>
    <w:rsid w:val="00C22A51"/>
    <w:rsid w:val="00C22CC5"/>
    <w:rsid w:val="00C22EEA"/>
    <w:rsid w:val="00C230C2"/>
    <w:rsid w:val="00C239EF"/>
    <w:rsid w:val="00C23B42"/>
    <w:rsid w:val="00C23BC2"/>
    <w:rsid w:val="00C24003"/>
    <w:rsid w:val="00C2487A"/>
    <w:rsid w:val="00C24D51"/>
    <w:rsid w:val="00C2561C"/>
    <w:rsid w:val="00C25B39"/>
    <w:rsid w:val="00C26644"/>
    <w:rsid w:val="00C269EE"/>
    <w:rsid w:val="00C277D7"/>
    <w:rsid w:val="00C30D16"/>
    <w:rsid w:val="00C31141"/>
    <w:rsid w:val="00C31454"/>
    <w:rsid w:val="00C32110"/>
    <w:rsid w:val="00C323BA"/>
    <w:rsid w:val="00C325B7"/>
    <w:rsid w:val="00C325C5"/>
    <w:rsid w:val="00C32B97"/>
    <w:rsid w:val="00C33133"/>
    <w:rsid w:val="00C33259"/>
    <w:rsid w:val="00C340B2"/>
    <w:rsid w:val="00C35680"/>
    <w:rsid w:val="00C35E06"/>
    <w:rsid w:val="00C360F8"/>
    <w:rsid w:val="00C36310"/>
    <w:rsid w:val="00C365A7"/>
    <w:rsid w:val="00C408CB"/>
    <w:rsid w:val="00C42005"/>
    <w:rsid w:val="00C42B9C"/>
    <w:rsid w:val="00C42D4C"/>
    <w:rsid w:val="00C43819"/>
    <w:rsid w:val="00C43C38"/>
    <w:rsid w:val="00C44A1C"/>
    <w:rsid w:val="00C44E8E"/>
    <w:rsid w:val="00C45DEF"/>
    <w:rsid w:val="00C46316"/>
    <w:rsid w:val="00C46C14"/>
    <w:rsid w:val="00C475B8"/>
    <w:rsid w:val="00C47831"/>
    <w:rsid w:val="00C479FB"/>
    <w:rsid w:val="00C50AC4"/>
    <w:rsid w:val="00C50D63"/>
    <w:rsid w:val="00C51D41"/>
    <w:rsid w:val="00C5236D"/>
    <w:rsid w:val="00C5236E"/>
    <w:rsid w:val="00C5264B"/>
    <w:rsid w:val="00C52B02"/>
    <w:rsid w:val="00C52D77"/>
    <w:rsid w:val="00C52F73"/>
    <w:rsid w:val="00C532C2"/>
    <w:rsid w:val="00C53337"/>
    <w:rsid w:val="00C548DF"/>
    <w:rsid w:val="00C54BE4"/>
    <w:rsid w:val="00C55291"/>
    <w:rsid w:val="00C55BDE"/>
    <w:rsid w:val="00C560ED"/>
    <w:rsid w:val="00C5615E"/>
    <w:rsid w:val="00C561BF"/>
    <w:rsid w:val="00C56A30"/>
    <w:rsid w:val="00C56E92"/>
    <w:rsid w:val="00C57384"/>
    <w:rsid w:val="00C57B8A"/>
    <w:rsid w:val="00C57DA0"/>
    <w:rsid w:val="00C600C7"/>
    <w:rsid w:val="00C60337"/>
    <w:rsid w:val="00C6174D"/>
    <w:rsid w:val="00C62768"/>
    <w:rsid w:val="00C6321F"/>
    <w:rsid w:val="00C63FDE"/>
    <w:rsid w:val="00C642F6"/>
    <w:rsid w:val="00C646C2"/>
    <w:rsid w:val="00C64ACE"/>
    <w:rsid w:val="00C64B89"/>
    <w:rsid w:val="00C64E38"/>
    <w:rsid w:val="00C65229"/>
    <w:rsid w:val="00C65EB2"/>
    <w:rsid w:val="00C65F4D"/>
    <w:rsid w:val="00C65F92"/>
    <w:rsid w:val="00C661B9"/>
    <w:rsid w:val="00C665B3"/>
    <w:rsid w:val="00C66EC0"/>
    <w:rsid w:val="00C67945"/>
    <w:rsid w:val="00C67F29"/>
    <w:rsid w:val="00C711D3"/>
    <w:rsid w:val="00C7183F"/>
    <w:rsid w:val="00C72674"/>
    <w:rsid w:val="00C72AD2"/>
    <w:rsid w:val="00C73060"/>
    <w:rsid w:val="00C73A60"/>
    <w:rsid w:val="00C73E5F"/>
    <w:rsid w:val="00C74167"/>
    <w:rsid w:val="00C7475E"/>
    <w:rsid w:val="00C75A9F"/>
    <w:rsid w:val="00C76A35"/>
    <w:rsid w:val="00C77183"/>
    <w:rsid w:val="00C77262"/>
    <w:rsid w:val="00C77CC2"/>
    <w:rsid w:val="00C77FFC"/>
    <w:rsid w:val="00C80826"/>
    <w:rsid w:val="00C808C9"/>
    <w:rsid w:val="00C80ED4"/>
    <w:rsid w:val="00C80EE5"/>
    <w:rsid w:val="00C80F63"/>
    <w:rsid w:val="00C813A8"/>
    <w:rsid w:val="00C816D2"/>
    <w:rsid w:val="00C817E5"/>
    <w:rsid w:val="00C81F6F"/>
    <w:rsid w:val="00C81FD2"/>
    <w:rsid w:val="00C823D5"/>
    <w:rsid w:val="00C82EC4"/>
    <w:rsid w:val="00C8392A"/>
    <w:rsid w:val="00C864DD"/>
    <w:rsid w:val="00C86788"/>
    <w:rsid w:val="00C86EF4"/>
    <w:rsid w:val="00C875CA"/>
    <w:rsid w:val="00C90119"/>
    <w:rsid w:val="00C90801"/>
    <w:rsid w:val="00C90A22"/>
    <w:rsid w:val="00C90ABC"/>
    <w:rsid w:val="00C90E17"/>
    <w:rsid w:val="00C911E0"/>
    <w:rsid w:val="00C9134A"/>
    <w:rsid w:val="00C91516"/>
    <w:rsid w:val="00C91566"/>
    <w:rsid w:val="00C921CC"/>
    <w:rsid w:val="00C92E08"/>
    <w:rsid w:val="00C93783"/>
    <w:rsid w:val="00C9378A"/>
    <w:rsid w:val="00C93A3C"/>
    <w:rsid w:val="00C94147"/>
    <w:rsid w:val="00C94810"/>
    <w:rsid w:val="00C94917"/>
    <w:rsid w:val="00C9586A"/>
    <w:rsid w:val="00C9665E"/>
    <w:rsid w:val="00C9688D"/>
    <w:rsid w:val="00C96B02"/>
    <w:rsid w:val="00C97486"/>
    <w:rsid w:val="00C97937"/>
    <w:rsid w:val="00C97AF9"/>
    <w:rsid w:val="00C97D8D"/>
    <w:rsid w:val="00C97E6B"/>
    <w:rsid w:val="00CA03BB"/>
    <w:rsid w:val="00CA04C7"/>
    <w:rsid w:val="00CA07EC"/>
    <w:rsid w:val="00CA0F82"/>
    <w:rsid w:val="00CA14A7"/>
    <w:rsid w:val="00CA17E2"/>
    <w:rsid w:val="00CA18FA"/>
    <w:rsid w:val="00CA1EB7"/>
    <w:rsid w:val="00CA2077"/>
    <w:rsid w:val="00CA30A2"/>
    <w:rsid w:val="00CA3773"/>
    <w:rsid w:val="00CA4137"/>
    <w:rsid w:val="00CA4177"/>
    <w:rsid w:val="00CA4A00"/>
    <w:rsid w:val="00CA5320"/>
    <w:rsid w:val="00CA571C"/>
    <w:rsid w:val="00CA7E03"/>
    <w:rsid w:val="00CB0A94"/>
    <w:rsid w:val="00CB0B48"/>
    <w:rsid w:val="00CB10AB"/>
    <w:rsid w:val="00CB1683"/>
    <w:rsid w:val="00CB1F98"/>
    <w:rsid w:val="00CB208D"/>
    <w:rsid w:val="00CB20D3"/>
    <w:rsid w:val="00CB2200"/>
    <w:rsid w:val="00CB2219"/>
    <w:rsid w:val="00CB22E5"/>
    <w:rsid w:val="00CB2D4A"/>
    <w:rsid w:val="00CB36A1"/>
    <w:rsid w:val="00CB4D30"/>
    <w:rsid w:val="00CB5001"/>
    <w:rsid w:val="00CB5489"/>
    <w:rsid w:val="00CB568E"/>
    <w:rsid w:val="00CB5AB3"/>
    <w:rsid w:val="00CB5B8B"/>
    <w:rsid w:val="00CB5E0E"/>
    <w:rsid w:val="00CB6562"/>
    <w:rsid w:val="00CB6797"/>
    <w:rsid w:val="00CB6DAB"/>
    <w:rsid w:val="00CB6EE5"/>
    <w:rsid w:val="00CB752A"/>
    <w:rsid w:val="00CC060C"/>
    <w:rsid w:val="00CC11BC"/>
    <w:rsid w:val="00CC1344"/>
    <w:rsid w:val="00CC15C4"/>
    <w:rsid w:val="00CC17A1"/>
    <w:rsid w:val="00CC180F"/>
    <w:rsid w:val="00CC1EF0"/>
    <w:rsid w:val="00CC2782"/>
    <w:rsid w:val="00CC29A4"/>
    <w:rsid w:val="00CC303D"/>
    <w:rsid w:val="00CC3506"/>
    <w:rsid w:val="00CC361F"/>
    <w:rsid w:val="00CC3729"/>
    <w:rsid w:val="00CC3B4B"/>
    <w:rsid w:val="00CC3C52"/>
    <w:rsid w:val="00CC43B1"/>
    <w:rsid w:val="00CC45C1"/>
    <w:rsid w:val="00CC56F8"/>
    <w:rsid w:val="00CC5B65"/>
    <w:rsid w:val="00CC5EAF"/>
    <w:rsid w:val="00CC6C68"/>
    <w:rsid w:val="00CC6EEF"/>
    <w:rsid w:val="00CC6F20"/>
    <w:rsid w:val="00CC7440"/>
    <w:rsid w:val="00CD0D69"/>
    <w:rsid w:val="00CD130E"/>
    <w:rsid w:val="00CD1945"/>
    <w:rsid w:val="00CD1F59"/>
    <w:rsid w:val="00CD206D"/>
    <w:rsid w:val="00CD25D3"/>
    <w:rsid w:val="00CD28DA"/>
    <w:rsid w:val="00CD2EC7"/>
    <w:rsid w:val="00CD32DE"/>
    <w:rsid w:val="00CD43DB"/>
    <w:rsid w:val="00CD4425"/>
    <w:rsid w:val="00CD4450"/>
    <w:rsid w:val="00CD456F"/>
    <w:rsid w:val="00CD48DD"/>
    <w:rsid w:val="00CD4C43"/>
    <w:rsid w:val="00CD522E"/>
    <w:rsid w:val="00CD588C"/>
    <w:rsid w:val="00CD60E6"/>
    <w:rsid w:val="00CD70AD"/>
    <w:rsid w:val="00CD72CB"/>
    <w:rsid w:val="00CE0835"/>
    <w:rsid w:val="00CE0D06"/>
    <w:rsid w:val="00CE26C1"/>
    <w:rsid w:val="00CE3462"/>
    <w:rsid w:val="00CE3DE5"/>
    <w:rsid w:val="00CE3DF7"/>
    <w:rsid w:val="00CE4263"/>
    <w:rsid w:val="00CE4EC3"/>
    <w:rsid w:val="00CE511E"/>
    <w:rsid w:val="00CE5A01"/>
    <w:rsid w:val="00CE5A7E"/>
    <w:rsid w:val="00CE670C"/>
    <w:rsid w:val="00CE7764"/>
    <w:rsid w:val="00CF08A2"/>
    <w:rsid w:val="00CF0BD1"/>
    <w:rsid w:val="00CF3371"/>
    <w:rsid w:val="00CF3470"/>
    <w:rsid w:val="00CF35AC"/>
    <w:rsid w:val="00CF3957"/>
    <w:rsid w:val="00CF3AAD"/>
    <w:rsid w:val="00CF3BC1"/>
    <w:rsid w:val="00CF42D5"/>
    <w:rsid w:val="00CF4612"/>
    <w:rsid w:val="00CF4C7A"/>
    <w:rsid w:val="00CF4D6D"/>
    <w:rsid w:val="00CF5BDE"/>
    <w:rsid w:val="00CF6585"/>
    <w:rsid w:val="00CF6D5C"/>
    <w:rsid w:val="00CF73A0"/>
    <w:rsid w:val="00D00E62"/>
    <w:rsid w:val="00D01D8C"/>
    <w:rsid w:val="00D01E22"/>
    <w:rsid w:val="00D03308"/>
    <w:rsid w:val="00D03629"/>
    <w:rsid w:val="00D03A05"/>
    <w:rsid w:val="00D03D00"/>
    <w:rsid w:val="00D040FD"/>
    <w:rsid w:val="00D04E03"/>
    <w:rsid w:val="00D0554D"/>
    <w:rsid w:val="00D05684"/>
    <w:rsid w:val="00D05685"/>
    <w:rsid w:val="00D0595B"/>
    <w:rsid w:val="00D065D7"/>
    <w:rsid w:val="00D06807"/>
    <w:rsid w:val="00D07D73"/>
    <w:rsid w:val="00D07F86"/>
    <w:rsid w:val="00D10590"/>
    <w:rsid w:val="00D10A28"/>
    <w:rsid w:val="00D10A63"/>
    <w:rsid w:val="00D11012"/>
    <w:rsid w:val="00D1132D"/>
    <w:rsid w:val="00D114EC"/>
    <w:rsid w:val="00D11B3F"/>
    <w:rsid w:val="00D1242E"/>
    <w:rsid w:val="00D1376A"/>
    <w:rsid w:val="00D13D17"/>
    <w:rsid w:val="00D14351"/>
    <w:rsid w:val="00D148FC"/>
    <w:rsid w:val="00D158CE"/>
    <w:rsid w:val="00D15B31"/>
    <w:rsid w:val="00D16BF4"/>
    <w:rsid w:val="00D16FFD"/>
    <w:rsid w:val="00D17409"/>
    <w:rsid w:val="00D17783"/>
    <w:rsid w:val="00D17B4A"/>
    <w:rsid w:val="00D17E20"/>
    <w:rsid w:val="00D20753"/>
    <w:rsid w:val="00D22DC5"/>
    <w:rsid w:val="00D22E94"/>
    <w:rsid w:val="00D2375E"/>
    <w:rsid w:val="00D23FC8"/>
    <w:rsid w:val="00D245C0"/>
    <w:rsid w:val="00D24999"/>
    <w:rsid w:val="00D24D02"/>
    <w:rsid w:val="00D255C8"/>
    <w:rsid w:val="00D25AE1"/>
    <w:rsid w:val="00D25C95"/>
    <w:rsid w:val="00D26F21"/>
    <w:rsid w:val="00D2778E"/>
    <w:rsid w:val="00D309C8"/>
    <w:rsid w:val="00D3128D"/>
    <w:rsid w:val="00D31B5C"/>
    <w:rsid w:val="00D31EB7"/>
    <w:rsid w:val="00D3207D"/>
    <w:rsid w:val="00D32119"/>
    <w:rsid w:val="00D32130"/>
    <w:rsid w:val="00D323B6"/>
    <w:rsid w:val="00D329CB"/>
    <w:rsid w:val="00D34177"/>
    <w:rsid w:val="00D342B6"/>
    <w:rsid w:val="00D34A64"/>
    <w:rsid w:val="00D34CD1"/>
    <w:rsid w:val="00D353C0"/>
    <w:rsid w:val="00D36F89"/>
    <w:rsid w:val="00D375EA"/>
    <w:rsid w:val="00D4143B"/>
    <w:rsid w:val="00D428AF"/>
    <w:rsid w:val="00D428DC"/>
    <w:rsid w:val="00D43A97"/>
    <w:rsid w:val="00D43B24"/>
    <w:rsid w:val="00D4488C"/>
    <w:rsid w:val="00D44DDD"/>
    <w:rsid w:val="00D44F3E"/>
    <w:rsid w:val="00D4502C"/>
    <w:rsid w:val="00D4505D"/>
    <w:rsid w:val="00D45832"/>
    <w:rsid w:val="00D45B39"/>
    <w:rsid w:val="00D47D14"/>
    <w:rsid w:val="00D50049"/>
    <w:rsid w:val="00D504D2"/>
    <w:rsid w:val="00D50936"/>
    <w:rsid w:val="00D50D67"/>
    <w:rsid w:val="00D5104C"/>
    <w:rsid w:val="00D515ED"/>
    <w:rsid w:val="00D5228D"/>
    <w:rsid w:val="00D52A2A"/>
    <w:rsid w:val="00D53B14"/>
    <w:rsid w:val="00D541BB"/>
    <w:rsid w:val="00D54BB3"/>
    <w:rsid w:val="00D5500B"/>
    <w:rsid w:val="00D55698"/>
    <w:rsid w:val="00D56250"/>
    <w:rsid w:val="00D565EA"/>
    <w:rsid w:val="00D56A81"/>
    <w:rsid w:val="00D5720F"/>
    <w:rsid w:val="00D57E0E"/>
    <w:rsid w:val="00D60958"/>
    <w:rsid w:val="00D61E92"/>
    <w:rsid w:val="00D62478"/>
    <w:rsid w:val="00D626B2"/>
    <w:rsid w:val="00D631A4"/>
    <w:rsid w:val="00D63874"/>
    <w:rsid w:val="00D64127"/>
    <w:rsid w:val="00D64695"/>
    <w:rsid w:val="00D64A83"/>
    <w:rsid w:val="00D64E38"/>
    <w:rsid w:val="00D65576"/>
    <w:rsid w:val="00D65AE8"/>
    <w:rsid w:val="00D6642A"/>
    <w:rsid w:val="00D671D2"/>
    <w:rsid w:val="00D70BA7"/>
    <w:rsid w:val="00D715D4"/>
    <w:rsid w:val="00D72154"/>
    <w:rsid w:val="00D726B7"/>
    <w:rsid w:val="00D727E5"/>
    <w:rsid w:val="00D728E7"/>
    <w:rsid w:val="00D7297D"/>
    <w:rsid w:val="00D729D7"/>
    <w:rsid w:val="00D73180"/>
    <w:rsid w:val="00D7350F"/>
    <w:rsid w:val="00D740D7"/>
    <w:rsid w:val="00D743B0"/>
    <w:rsid w:val="00D74938"/>
    <w:rsid w:val="00D74E6B"/>
    <w:rsid w:val="00D756C7"/>
    <w:rsid w:val="00D75844"/>
    <w:rsid w:val="00D75893"/>
    <w:rsid w:val="00D76595"/>
    <w:rsid w:val="00D76A3C"/>
    <w:rsid w:val="00D77C86"/>
    <w:rsid w:val="00D77E1A"/>
    <w:rsid w:val="00D77E42"/>
    <w:rsid w:val="00D77F25"/>
    <w:rsid w:val="00D80532"/>
    <w:rsid w:val="00D82125"/>
    <w:rsid w:val="00D827DD"/>
    <w:rsid w:val="00D82A79"/>
    <w:rsid w:val="00D82D3F"/>
    <w:rsid w:val="00D82E3A"/>
    <w:rsid w:val="00D8317B"/>
    <w:rsid w:val="00D83B0E"/>
    <w:rsid w:val="00D84443"/>
    <w:rsid w:val="00D85425"/>
    <w:rsid w:val="00D8557B"/>
    <w:rsid w:val="00D85673"/>
    <w:rsid w:val="00D863F4"/>
    <w:rsid w:val="00D864E8"/>
    <w:rsid w:val="00D8684D"/>
    <w:rsid w:val="00D879F1"/>
    <w:rsid w:val="00D87CC3"/>
    <w:rsid w:val="00D9041A"/>
    <w:rsid w:val="00D90C63"/>
    <w:rsid w:val="00D9171D"/>
    <w:rsid w:val="00D918CA"/>
    <w:rsid w:val="00D91F1F"/>
    <w:rsid w:val="00D921C2"/>
    <w:rsid w:val="00D92B75"/>
    <w:rsid w:val="00D93A56"/>
    <w:rsid w:val="00D93D12"/>
    <w:rsid w:val="00D93F42"/>
    <w:rsid w:val="00D9487F"/>
    <w:rsid w:val="00D94FD7"/>
    <w:rsid w:val="00D95889"/>
    <w:rsid w:val="00D9598E"/>
    <w:rsid w:val="00D96E7F"/>
    <w:rsid w:val="00DA04E2"/>
    <w:rsid w:val="00DA0828"/>
    <w:rsid w:val="00DA0841"/>
    <w:rsid w:val="00DA0D93"/>
    <w:rsid w:val="00DA1097"/>
    <w:rsid w:val="00DA170B"/>
    <w:rsid w:val="00DA1BCA"/>
    <w:rsid w:val="00DA20CD"/>
    <w:rsid w:val="00DA277B"/>
    <w:rsid w:val="00DA3328"/>
    <w:rsid w:val="00DA3B10"/>
    <w:rsid w:val="00DA3B29"/>
    <w:rsid w:val="00DA3C93"/>
    <w:rsid w:val="00DA3CB8"/>
    <w:rsid w:val="00DA44D9"/>
    <w:rsid w:val="00DA4A52"/>
    <w:rsid w:val="00DA4A78"/>
    <w:rsid w:val="00DA4BE9"/>
    <w:rsid w:val="00DA5023"/>
    <w:rsid w:val="00DA6244"/>
    <w:rsid w:val="00DA62A8"/>
    <w:rsid w:val="00DA64AB"/>
    <w:rsid w:val="00DA69ED"/>
    <w:rsid w:val="00DA6DC8"/>
    <w:rsid w:val="00DA70AE"/>
    <w:rsid w:val="00DA7EB7"/>
    <w:rsid w:val="00DA7EB8"/>
    <w:rsid w:val="00DB0321"/>
    <w:rsid w:val="00DB0877"/>
    <w:rsid w:val="00DB2F75"/>
    <w:rsid w:val="00DB318E"/>
    <w:rsid w:val="00DB321A"/>
    <w:rsid w:val="00DB409B"/>
    <w:rsid w:val="00DB5D1D"/>
    <w:rsid w:val="00DB66A9"/>
    <w:rsid w:val="00DB67A7"/>
    <w:rsid w:val="00DB6A28"/>
    <w:rsid w:val="00DB7AC2"/>
    <w:rsid w:val="00DC09CF"/>
    <w:rsid w:val="00DC1AF1"/>
    <w:rsid w:val="00DC209B"/>
    <w:rsid w:val="00DC294E"/>
    <w:rsid w:val="00DC42AA"/>
    <w:rsid w:val="00DC4381"/>
    <w:rsid w:val="00DC54A5"/>
    <w:rsid w:val="00DC596D"/>
    <w:rsid w:val="00DC5D71"/>
    <w:rsid w:val="00DC7181"/>
    <w:rsid w:val="00DC7895"/>
    <w:rsid w:val="00DC7B0E"/>
    <w:rsid w:val="00DD13BD"/>
    <w:rsid w:val="00DD156E"/>
    <w:rsid w:val="00DD2848"/>
    <w:rsid w:val="00DD2C99"/>
    <w:rsid w:val="00DD37C1"/>
    <w:rsid w:val="00DD3A39"/>
    <w:rsid w:val="00DD3BDA"/>
    <w:rsid w:val="00DD3EFE"/>
    <w:rsid w:val="00DD474D"/>
    <w:rsid w:val="00DD4BBC"/>
    <w:rsid w:val="00DD6E2C"/>
    <w:rsid w:val="00DD7EA4"/>
    <w:rsid w:val="00DE041E"/>
    <w:rsid w:val="00DE09C4"/>
    <w:rsid w:val="00DE1C27"/>
    <w:rsid w:val="00DE1FFA"/>
    <w:rsid w:val="00DE2B45"/>
    <w:rsid w:val="00DE316B"/>
    <w:rsid w:val="00DE3504"/>
    <w:rsid w:val="00DE36DC"/>
    <w:rsid w:val="00DE4223"/>
    <w:rsid w:val="00DE44B3"/>
    <w:rsid w:val="00DE47D0"/>
    <w:rsid w:val="00DE4FF5"/>
    <w:rsid w:val="00DE530D"/>
    <w:rsid w:val="00DE5724"/>
    <w:rsid w:val="00DE5B6F"/>
    <w:rsid w:val="00DE7470"/>
    <w:rsid w:val="00DE7669"/>
    <w:rsid w:val="00DE7C31"/>
    <w:rsid w:val="00DE7D8A"/>
    <w:rsid w:val="00DF1194"/>
    <w:rsid w:val="00DF1333"/>
    <w:rsid w:val="00DF31DB"/>
    <w:rsid w:val="00DF3361"/>
    <w:rsid w:val="00DF3DD6"/>
    <w:rsid w:val="00DF4062"/>
    <w:rsid w:val="00DF4666"/>
    <w:rsid w:val="00DF51D9"/>
    <w:rsid w:val="00DF55D4"/>
    <w:rsid w:val="00DF5BE2"/>
    <w:rsid w:val="00DF5D86"/>
    <w:rsid w:val="00DF691E"/>
    <w:rsid w:val="00DF7768"/>
    <w:rsid w:val="00DF7A94"/>
    <w:rsid w:val="00E005DC"/>
    <w:rsid w:val="00E00617"/>
    <w:rsid w:val="00E01305"/>
    <w:rsid w:val="00E014E4"/>
    <w:rsid w:val="00E01F5B"/>
    <w:rsid w:val="00E02017"/>
    <w:rsid w:val="00E02837"/>
    <w:rsid w:val="00E02872"/>
    <w:rsid w:val="00E0317A"/>
    <w:rsid w:val="00E03602"/>
    <w:rsid w:val="00E03729"/>
    <w:rsid w:val="00E044B7"/>
    <w:rsid w:val="00E0548A"/>
    <w:rsid w:val="00E05AE5"/>
    <w:rsid w:val="00E05B21"/>
    <w:rsid w:val="00E05C23"/>
    <w:rsid w:val="00E066BD"/>
    <w:rsid w:val="00E07D62"/>
    <w:rsid w:val="00E07E04"/>
    <w:rsid w:val="00E10048"/>
    <w:rsid w:val="00E10259"/>
    <w:rsid w:val="00E1026B"/>
    <w:rsid w:val="00E104F8"/>
    <w:rsid w:val="00E104FB"/>
    <w:rsid w:val="00E10827"/>
    <w:rsid w:val="00E11348"/>
    <w:rsid w:val="00E1158F"/>
    <w:rsid w:val="00E117BE"/>
    <w:rsid w:val="00E126D0"/>
    <w:rsid w:val="00E12F04"/>
    <w:rsid w:val="00E12FF2"/>
    <w:rsid w:val="00E1383E"/>
    <w:rsid w:val="00E13C30"/>
    <w:rsid w:val="00E14488"/>
    <w:rsid w:val="00E146CE"/>
    <w:rsid w:val="00E14919"/>
    <w:rsid w:val="00E1512E"/>
    <w:rsid w:val="00E162CD"/>
    <w:rsid w:val="00E16AFB"/>
    <w:rsid w:val="00E176A7"/>
    <w:rsid w:val="00E17E4D"/>
    <w:rsid w:val="00E205BD"/>
    <w:rsid w:val="00E2156D"/>
    <w:rsid w:val="00E21799"/>
    <w:rsid w:val="00E21973"/>
    <w:rsid w:val="00E21C71"/>
    <w:rsid w:val="00E22499"/>
    <w:rsid w:val="00E22800"/>
    <w:rsid w:val="00E22ADA"/>
    <w:rsid w:val="00E22CC1"/>
    <w:rsid w:val="00E22E61"/>
    <w:rsid w:val="00E22F53"/>
    <w:rsid w:val="00E237EA"/>
    <w:rsid w:val="00E23C63"/>
    <w:rsid w:val="00E23F25"/>
    <w:rsid w:val="00E248F7"/>
    <w:rsid w:val="00E24B12"/>
    <w:rsid w:val="00E2557A"/>
    <w:rsid w:val="00E256B8"/>
    <w:rsid w:val="00E258E6"/>
    <w:rsid w:val="00E25F63"/>
    <w:rsid w:val="00E26130"/>
    <w:rsid w:val="00E26309"/>
    <w:rsid w:val="00E269A0"/>
    <w:rsid w:val="00E26CC7"/>
    <w:rsid w:val="00E26F8B"/>
    <w:rsid w:val="00E2785F"/>
    <w:rsid w:val="00E3015B"/>
    <w:rsid w:val="00E302F5"/>
    <w:rsid w:val="00E308B7"/>
    <w:rsid w:val="00E30F11"/>
    <w:rsid w:val="00E32590"/>
    <w:rsid w:val="00E328EC"/>
    <w:rsid w:val="00E32F30"/>
    <w:rsid w:val="00E3377B"/>
    <w:rsid w:val="00E34CE2"/>
    <w:rsid w:val="00E34D27"/>
    <w:rsid w:val="00E352A3"/>
    <w:rsid w:val="00E35ED5"/>
    <w:rsid w:val="00E36B38"/>
    <w:rsid w:val="00E36FF0"/>
    <w:rsid w:val="00E37052"/>
    <w:rsid w:val="00E372F3"/>
    <w:rsid w:val="00E379BF"/>
    <w:rsid w:val="00E40E32"/>
    <w:rsid w:val="00E413BF"/>
    <w:rsid w:val="00E41919"/>
    <w:rsid w:val="00E41C9E"/>
    <w:rsid w:val="00E42423"/>
    <w:rsid w:val="00E427BD"/>
    <w:rsid w:val="00E42864"/>
    <w:rsid w:val="00E43E90"/>
    <w:rsid w:val="00E45124"/>
    <w:rsid w:val="00E451FC"/>
    <w:rsid w:val="00E45AE3"/>
    <w:rsid w:val="00E45BF5"/>
    <w:rsid w:val="00E45C23"/>
    <w:rsid w:val="00E45C6B"/>
    <w:rsid w:val="00E45F80"/>
    <w:rsid w:val="00E47A42"/>
    <w:rsid w:val="00E47CCD"/>
    <w:rsid w:val="00E500E2"/>
    <w:rsid w:val="00E5028D"/>
    <w:rsid w:val="00E504C3"/>
    <w:rsid w:val="00E5072C"/>
    <w:rsid w:val="00E5228C"/>
    <w:rsid w:val="00E532F8"/>
    <w:rsid w:val="00E53FDA"/>
    <w:rsid w:val="00E547D6"/>
    <w:rsid w:val="00E549BC"/>
    <w:rsid w:val="00E54F9D"/>
    <w:rsid w:val="00E5538B"/>
    <w:rsid w:val="00E5543A"/>
    <w:rsid w:val="00E5575F"/>
    <w:rsid w:val="00E559FF"/>
    <w:rsid w:val="00E55C20"/>
    <w:rsid w:val="00E5632A"/>
    <w:rsid w:val="00E565B8"/>
    <w:rsid w:val="00E56609"/>
    <w:rsid w:val="00E569C0"/>
    <w:rsid w:val="00E573DB"/>
    <w:rsid w:val="00E57D86"/>
    <w:rsid w:val="00E606ED"/>
    <w:rsid w:val="00E61F40"/>
    <w:rsid w:val="00E62434"/>
    <w:rsid w:val="00E62845"/>
    <w:rsid w:val="00E63783"/>
    <w:rsid w:val="00E63984"/>
    <w:rsid w:val="00E63FF9"/>
    <w:rsid w:val="00E64661"/>
    <w:rsid w:val="00E64A3A"/>
    <w:rsid w:val="00E64A6F"/>
    <w:rsid w:val="00E6638E"/>
    <w:rsid w:val="00E66560"/>
    <w:rsid w:val="00E66B31"/>
    <w:rsid w:val="00E66D3A"/>
    <w:rsid w:val="00E67108"/>
    <w:rsid w:val="00E700E3"/>
    <w:rsid w:val="00E7051A"/>
    <w:rsid w:val="00E70DAB"/>
    <w:rsid w:val="00E71451"/>
    <w:rsid w:val="00E71590"/>
    <w:rsid w:val="00E71789"/>
    <w:rsid w:val="00E71813"/>
    <w:rsid w:val="00E71B4C"/>
    <w:rsid w:val="00E72813"/>
    <w:rsid w:val="00E72DFC"/>
    <w:rsid w:val="00E73056"/>
    <w:rsid w:val="00E7305B"/>
    <w:rsid w:val="00E73992"/>
    <w:rsid w:val="00E73CE1"/>
    <w:rsid w:val="00E73E91"/>
    <w:rsid w:val="00E73ECD"/>
    <w:rsid w:val="00E744A9"/>
    <w:rsid w:val="00E74EEB"/>
    <w:rsid w:val="00E75316"/>
    <w:rsid w:val="00E75A33"/>
    <w:rsid w:val="00E75EE3"/>
    <w:rsid w:val="00E767AB"/>
    <w:rsid w:val="00E768F5"/>
    <w:rsid w:val="00E77084"/>
    <w:rsid w:val="00E774E7"/>
    <w:rsid w:val="00E77531"/>
    <w:rsid w:val="00E775FD"/>
    <w:rsid w:val="00E77ACE"/>
    <w:rsid w:val="00E77DDB"/>
    <w:rsid w:val="00E806F5"/>
    <w:rsid w:val="00E80977"/>
    <w:rsid w:val="00E80CC0"/>
    <w:rsid w:val="00E80E0C"/>
    <w:rsid w:val="00E80F91"/>
    <w:rsid w:val="00E811E8"/>
    <w:rsid w:val="00E815D5"/>
    <w:rsid w:val="00E81F99"/>
    <w:rsid w:val="00E83305"/>
    <w:rsid w:val="00E8392F"/>
    <w:rsid w:val="00E8425B"/>
    <w:rsid w:val="00E842CB"/>
    <w:rsid w:val="00E847F8"/>
    <w:rsid w:val="00E84FCF"/>
    <w:rsid w:val="00E85507"/>
    <w:rsid w:val="00E85BFC"/>
    <w:rsid w:val="00E86391"/>
    <w:rsid w:val="00E865C0"/>
    <w:rsid w:val="00E86B28"/>
    <w:rsid w:val="00E86DBF"/>
    <w:rsid w:val="00E8731D"/>
    <w:rsid w:val="00E87529"/>
    <w:rsid w:val="00E8785D"/>
    <w:rsid w:val="00E87C0A"/>
    <w:rsid w:val="00E87FFA"/>
    <w:rsid w:val="00E901FB"/>
    <w:rsid w:val="00E908AC"/>
    <w:rsid w:val="00E922C0"/>
    <w:rsid w:val="00E923A4"/>
    <w:rsid w:val="00E92CA3"/>
    <w:rsid w:val="00E92CE0"/>
    <w:rsid w:val="00E941BC"/>
    <w:rsid w:val="00E943B2"/>
    <w:rsid w:val="00E9509E"/>
    <w:rsid w:val="00E95353"/>
    <w:rsid w:val="00E95888"/>
    <w:rsid w:val="00E95CFC"/>
    <w:rsid w:val="00E95E01"/>
    <w:rsid w:val="00E97146"/>
    <w:rsid w:val="00E972FE"/>
    <w:rsid w:val="00E97414"/>
    <w:rsid w:val="00E97494"/>
    <w:rsid w:val="00E975EF"/>
    <w:rsid w:val="00E97DB6"/>
    <w:rsid w:val="00EA0019"/>
    <w:rsid w:val="00EA0A74"/>
    <w:rsid w:val="00EA199B"/>
    <w:rsid w:val="00EA1D8E"/>
    <w:rsid w:val="00EA2577"/>
    <w:rsid w:val="00EA2A10"/>
    <w:rsid w:val="00EA3242"/>
    <w:rsid w:val="00EA3B5B"/>
    <w:rsid w:val="00EA3F73"/>
    <w:rsid w:val="00EA4049"/>
    <w:rsid w:val="00EA4A12"/>
    <w:rsid w:val="00EA5161"/>
    <w:rsid w:val="00EA6A18"/>
    <w:rsid w:val="00EA6DD7"/>
    <w:rsid w:val="00EA7263"/>
    <w:rsid w:val="00EA7B82"/>
    <w:rsid w:val="00EB0ACF"/>
    <w:rsid w:val="00EB0EA3"/>
    <w:rsid w:val="00EB1866"/>
    <w:rsid w:val="00EB2019"/>
    <w:rsid w:val="00EB22FF"/>
    <w:rsid w:val="00EB371B"/>
    <w:rsid w:val="00EB3DDA"/>
    <w:rsid w:val="00EB5577"/>
    <w:rsid w:val="00EB5C5F"/>
    <w:rsid w:val="00EB6169"/>
    <w:rsid w:val="00EB630E"/>
    <w:rsid w:val="00EB6530"/>
    <w:rsid w:val="00EB670E"/>
    <w:rsid w:val="00EB6E63"/>
    <w:rsid w:val="00EB731D"/>
    <w:rsid w:val="00EC00C0"/>
    <w:rsid w:val="00EC02BD"/>
    <w:rsid w:val="00EC08E3"/>
    <w:rsid w:val="00EC0F53"/>
    <w:rsid w:val="00EC1DB9"/>
    <w:rsid w:val="00EC27A1"/>
    <w:rsid w:val="00EC2FB5"/>
    <w:rsid w:val="00EC376D"/>
    <w:rsid w:val="00EC3783"/>
    <w:rsid w:val="00EC49C0"/>
    <w:rsid w:val="00EC4BA4"/>
    <w:rsid w:val="00EC4EE2"/>
    <w:rsid w:val="00EC4F28"/>
    <w:rsid w:val="00EC6670"/>
    <w:rsid w:val="00EC6A9E"/>
    <w:rsid w:val="00EC754A"/>
    <w:rsid w:val="00EC7AB4"/>
    <w:rsid w:val="00ED00E1"/>
    <w:rsid w:val="00ED1CBC"/>
    <w:rsid w:val="00ED22FA"/>
    <w:rsid w:val="00ED2707"/>
    <w:rsid w:val="00ED2A54"/>
    <w:rsid w:val="00ED2B5D"/>
    <w:rsid w:val="00ED2DB1"/>
    <w:rsid w:val="00ED2DD8"/>
    <w:rsid w:val="00ED2F67"/>
    <w:rsid w:val="00ED3365"/>
    <w:rsid w:val="00ED388E"/>
    <w:rsid w:val="00ED4636"/>
    <w:rsid w:val="00ED4939"/>
    <w:rsid w:val="00ED4955"/>
    <w:rsid w:val="00ED4D31"/>
    <w:rsid w:val="00ED5455"/>
    <w:rsid w:val="00ED5B39"/>
    <w:rsid w:val="00ED5F85"/>
    <w:rsid w:val="00ED64F6"/>
    <w:rsid w:val="00ED6AAC"/>
    <w:rsid w:val="00ED77C6"/>
    <w:rsid w:val="00EE0A5D"/>
    <w:rsid w:val="00EE0BDA"/>
    <w:rsid w:val="00EE13EB"/>
    <w:rsid w:val="00EE163A"/>
    <w:rsid w:val="00EE165B"/>
    <w:rsid w:val="00EE2024"/>
    <w:rsid w:val="00EE21FA"/>
    <w:rsid w:val="00EE3916"/>
    <w:rsid w:val="00EE3962"/>
    <w:rsid w:val="00EE3A1B"/>
    <w:rsid w:val="00EE3BF2"/>
    <w:rsid w:val="00EE4202"/>
    <w:rsid w:val="00EE46E7"/>
    <w:rsid w:val="00EE4F50"/>
    <w:rsid w:val="00EE50D0"/>
    <w:rsid w:val="00EE5B42"/>
    <w:rsid w:val="00EE6226"/>
    <w:rsid w:val="00EE6446"/>
    <w:rsid w:val="00EE73BF"/>
    <w:rsid w:val="00EE7B76"/>
    <w:rsid w:val="00EE7D6F"/>
    <w:rsid w:val="00EF02D8"/>
    <w:rsid w:val="00EF0CCF"/>
    <w:rsid w:val="00EF187C"/>
    <w:rsid w:val="00EF2029"/>
    <w:rsid w:val="00EF2A34"/>
    <w:rsid w:val="00EF2E9D"/>
    <w:rsid w:val="00EF3165"/>
    <w:rsid w:val="00EF32C7"/>
    <w:rsid w:val="00EF384C"/>
    <w:rsid w:val="00EF44D2"/>
    <w:rsid w:val="00EF476B"/>
    <w:rsid w:val="00EF4904"/>
    <w:rsid w:val="00EF4A47"/>
    <w:rsid w:val="00EF5041"/>
    <w:rsid w:val="00EF5136"/>
    <w:rsid w:val="00EF5ABD"/>
    <w:rsid w:val="00EF60A3"/>
    <w:rsid w:val="00EF613E"/>
    <w:rsid w:val="00EF6E9D"/>
    <w:rsid w:val="00EF7A3C"/>
    <w:rsid w:val="00EF7DB9"/>
    <w:rsid w:val="00EF7F1B"/>
    <w:rsid w:val="00F003CA"/>
    <w:rsid w:val="00F005B6"/>
    <w:rsid w:val="00F00631"/>
    <w:rsid w:val="00F00883"/>
    <w:rsid w:val="00F011BF"/>
    <w:rsid w:val="00F01B6F"/>
    <w:rsid w:val="00F01F6F"/>
    <w:rsid w:val="00F0204E"/>
    <w:rsid w:val="00F02345"/>
    <w:rsid w:val="00F02583"/>
    <w:rsid w:val="00F02DED"/>
    <w:rsid w:val="00F03BF5"/>
    <w:rsid w:val="00F03DDB"/>
    <w:rsid w:val="00F03E9F"/>
    <w:rsid w:val="00F0411E"/>
    <w:rsid w:val="00F04589"/>
    <w:rsid w:val="00F04D4A"/>
    <w:rsid w:val="00F04F50"/>
    <w:rsid w:val="00F052D9"/>
    <w:rsid w:val="00F0590E"/>
    <w:rsid w:val="00F06057"/>
    <w:rsid w:val="00F07098"/>
    <w:rsid w:val="00F07104"/>
    <w:rsid w:val="00F07530"/>
    <w:rsid w:val="00F07DEB"/>
    <w:rsid w:val="00F10463"/>
    <w:rsid w:val="00F10AC3"/>
    <w:rsid w:val="00F10D09"/>
    <w:rsid w:val="00F110FC"/>
    <w:rsid w:val="00F112BB"/>
    <w:rsid w:val="00F11627"/>
    <w:rsid w:val="00F11765"/>
    <w:rsid w:val="00F11CBE"/>
    <w:rsid w:val="00F12209"/>
    <w:rsid w:val="00F1319E"/>
    <w:rsid w:val="00F131C9"/>
    <w:rsid w:val="00F139F2"/>
    <w:rsid w:val="00F13C47"/>
    <w:rsid w:val="00F1411F"/>
    <w:rsid w:val="00F14BA9"/>
    <w:rsid w:val="00F150AC"/>
    <w:rsid w:val="00F167B6"/>
    <w:rsid w:val="00F17F5D"/>
    <w:rsid w:val="00F17F74"/>
    <w:rsid w:val="00F17FD2"/>
    <w:rsid w:val="00F214EA"/>
    <w:rsid w:val="00F21E87"/>
    <w:rsid w:val="00F22519"/>
    <w:rsid w:val="00F2270E"/>
    <w:rsid w:val="00F22CE5"/>
    <w:rsid w:val="00F2342C"/>
    <w:rsid w:val="00F24FCE"/>
    <w:rsid w:val="00F25F56"/>
    <w:rsid w:val="00F26AEB"/>
    <w:rsid w:val="00F27180"/>
    <w:rsid w:val="00F27282"/>
    <w:rsid w:val="00F274E2"/>
    <w:rsid w:val="00F27CBA"/>
    <w:rsid w:val="00F302F7"/>
    <w:rsid w:val="00F304EF"/>
    <w:rsid w:val="00F306C2"/>
    <w:rsid w:val="00F307E9"/>
    <w:rsid w:val="00F30EE6"/>
    <w:rsid w:val="00F30F3B"/>
    <w:rsid w:val="00F31006"/>
    <w:rsid w:val="00F3172F"/>
    <w:rsid w:val="00F31884"/>
    <w:rsid w:val="00F32971"/>
    <w:rsid w:val="00F3298D"/>
    <w:rsid w:val="00F32ADD"/>
    <w:rsid w:val="00F32C54"/>
    <w:rsid w:val="00F333A6"/>
    <w:rsid w:val="00F33491"/>
    <w:rsid w:val="00F338CE"/>
    <w:rsid w:val="00F3462C"/>
    <w:rsid w:val="00F3498C"/>
    <w:rsid w:val="00F34AFC"/>
    <w:rsid w:val="00F34B0C"/>
    <w:rsid w:val="00F34B84"/>
    <w:rsid w:val="00F35628"/>
    <w:rsid w:val="00F3570E"/>
    <w:rsid w:val="00F35734"/>
    <w:rsid w:val="00F36B92"/>
    <w:rsid w:val="00F3746C"/>
    <w:rsid w:val="00F37E82"/>
    <w:rsid w:val="00F40346"/>
    <w:rsid w:val="00F40ADC"/>
    <w:rsid w:val="00F40BF9"/>
    <w:rsid w:val="00F4124E"/>
    <w:rsid w:val="00F41766"/>
    <w:rsid w:val="00F429D3"/>
    <w:rsid w:val="00F434E0"/>
    <w:rsid w:val="00F4400C"/>
    <w:rsid w:val="00F44316"/>
    <w:rsid w:val="00F444B7"/>
    <w:rsid w:val="00F447CD"/>
    <w:rsid w:val="00F4510A"/>
    <w:rsid w:val="00F45C26"/>
    <w:rsid w:val="00F45E24"/>
    <w:rsid w:val="00F4640E"/>
    <w:rsid w:val="00F509AA"/>
    <w:rsid w:val="00F51886"/>
    <w:rsid w:val="00F51934"/>
    <w:rsid w:val="00F52802"/>
    <w:rsid w:val="00F52927"/>
    <w:rsid w:val="00F52D23"/>
    <w:rsid w:val="00F52FF9"/>
    <w:rsid w:val="00F5341B"/>
    <w:rsid w:val="00F537EB"/>
    <w:rsid w:val="00F541CA"/>
    <w:rsid w:val="00F543BF"/>
    <w:rsid w:val="00F547A1"/>
    <w:rsid w:val="00F54873"/>
    <w:rsid w:val="00F54920"/>
    <w:rsid w:val="00F54D0D"/>
    <w:rsid w:val="00F553D2"/>
    <w:rsid w:val="00F555FF"/>
    <w:rsid w:val="00F55C32"/>
    <w:rsid w:val="00F55FFB"/>
    <w:rsid w:val="00F561BD"/>
    <w:rsid w:val="00F5627B"/>
    <w:rsid w:val="00F5659F"/>
    <w:rsid w:val="00F56ACB"/>
    <w:rsid w:val="00F57048"/>
    <w:rsid w:val="00F5768E"/>
    <w:rsid w:val="00F603DB"/>
    <w:rsid w:val="00F60F1B"/>
    <w:rsid w:val="00F6156C"/>
    <w:rsid w:val="00F61A04"/>
    <w:rsid w:val="00F62302"/>
    <w:rsid w:val="00F63511"/>
    <w:rsid w:val="00F63B3E"/>
    <w:rsid w:val="00F63FDD"/>
    <w:rsid w:val="00F65124"/>
    <w:rsid w:val="00F65210"/>
    <w:rsid w:val="00F65569"/>
    <w:rsid w:val="00F6626C"/>
    <w:rsid w:val="00F667BF"/>
    <w:rsid w:val="00F66B3C"/>
    <w:rsid w:val="00F674F6"/>
    <w:rsid w:val="00F6798F"/>
    <w:rsid w:val="00F67F0B"/>
    <w:rsid w:val="00F70BBB"/>
    <w:rsid w:val="00F71182"/>
    <w:rsid w:val="00F71A67"/>
    <w:rsid w:val="00F71AF1"/>
    <w:rsid w:val="00F721A5"/>
    <w:rsid w:val="00F730DC"/>
    <w:rsid w:val="00F737F2"/>
    <w:rsid w:val="00F73DF1"/>
    <w:rsid w:val="00F746AE"/>
    <w:rsid w:val="00F758E2"/>
    <w:rsid w:val="00F75E6F"/>
    <w:rsid w:val="00F7661D"/>
    <w:rsid w:val="00F7738D"/>
    <w:rsid w:val="00F77444"/>
    <w:rsid w:val="00F77B3F"/>
    <w:rsid w:val="00F77DD0"/>
    <w:rsid w:val="00F80C4C"/>
    <w:rsid w:val="00F80DF0"/>
    <w:rsid w:val="00F81184"/>
    <w:rsid w:val="00F81F88"/>
    <w:rsid w:val="00F8215F"/>
    <w:rsid w:val="00F82792"/>
    <w:rsid w:val="00F83FB6"/>
    <w:rsid w:val="00F849BE"/>
    <w:rsid w:val="00F85572"/>
    <w:rsid w:val="00F858A1"/>
    <w:rsid w:val="00F85A6C"/>
    <w:rsid w:val="00F867E4"/>
    <w:rsid w:val="00F869B2"/>
    <w:rsid w:val="00F86A69"/>
    <w:rsid w:val="00F86E6F"/>
    <w:rsid w:val="00F875CC"/>
    <w:rsid w:val="00F8787B"/>
    <w:rsid w:val="00F87B7E"/>
    <w:rsid w:val="00F90DEF"/>
    <w:rsid w:val="00F90F75"/>
    <w:rsid w:val="00F91646"/>
    <w:rsid w:val="00F91753"/>
    <w:rsid w:val="00F91B98"/>
    <w:rsid w:val="00F91BF7"/>
    <w:rsid w:val="00F91FF2"/>
    <w:rsid w:val="00F92DAE"/>
    <w:rsid w:val="00F92E4D"/>
    <w:rsid w:val="00F92F9E"/>
    <w:rsid w:val="00F93FD7"/>
    <w:rsid w:val="00F94548"/>
    <w:rsid w:val="00F94DA1"/>
    <w:rsid w:val="00F95233"/>
    <w:rsid w:val="00F958EE"/>
    <w:rsid w:val="00F95BEC"/>
    <w:rsid w:val="00F96299"/>
    <w:rsid w:val="00F96353"/>
    <w:rsid w:val="00F96D56"/>
    <w:rsid w:val="00F9705C"/>
    <w:rsid w:val="00F9733C"/>
    <w:rsid w:val="00FA0A5C"/>
    <w:rsid w:val="00FA0FB9"/>
    <w:rsid w:val="00FA2CF5"/>
    <w:rsid w:val="00FA360A"/>
    <w:rsid w:val="00FA36B3"/>
    <w:rsid w:val="00FA37C7"/>
    <w:rsid w:val="00FA4710"/>
    <w:rsid w:val="00FA5D1F"/>
    <w:rsid w:val="00FA6930"/>
    <w:rsid w:val="00FA6FDC"/>
    <w:rsid w:val="00FA746A"/>
    <w:rsid w:val="00FA78D0"/>
    <w:rsid w:val="00FA7CB7"/>
    <w:rsid w:val="00FB0A55"/>
    <w:rsid w:val="00FB0CE7"/>
    <w:rsid w:val="00FB10E7"/>
    <w:rsid w:val="00FB116D"/>
    <w:rsid w:val="00FB194F"/>
    <w:rsid w:val="00FB1DA8"/>
    <w:rsid w:val="00FB32A6"/>
    <w:rsid w:val="00FB3A9A"/>
    <w:rsid w:val="00FB3C7B"/>
    <w:rsid w:val="00FB405B"/>
    <w:rsid w:val="00FB4086"/>
    <w:rsid w:val="00FB4088"/>
    <w:rsid w:val="00FB41AF"/>
    <w:rsid w:val="00FB56CA"/>
    <w:rsid w:val="00FB60F9"/>
    <w:rsid w:val="00FB66A6"/>
    <w:rsid w:val="00FB68CA"/>
    <w:rsid w:val="00FB6BE5"/>
    <w:rsid w:val="00FB7533"/>
    <w:rsid w:val="00FB7B08"/>
    <w:rsid w:val="00FC0B03"/>
    <w:rsid w:val="00FC1CB4"/>
    <w:rsid w:val="00FC216B"/>
    <w:rsid w:val="00FC2783"/>
    <w:rsid w:val="00FC289E"/>
    <w:rsid w:val="00FC29C7"/>
    <w:rsid w:val="00FC386F"/>
    <w:rsid w:val="00FC3980"/>
    <w:rsid w:val="00FC4217"/>
    <w:rsid w:val="00FC46A2"/>
    <w:rsid w:val="00FC4D01"/>
    <w:rsid w:val="00FC5F20"/>
    <w:rsid w:val="00FC735F"/>
    <w:rsid w:val="00FC7C4B"/>
    <w:rsid w:val="00FC7ED4"/>
    <w:rsid w:val="00FD0395"/>
    <w:rsid w:val="00FD10FB"/>
    <w:rsid w:val="00FD16F2"/>
    <w:rsid w:val="00FD18E7"/>
    <w:rsid w:val="00FD2577"/>
    <w:rsid w:val="00FD29AD"/>
    <w:rsid w:val="00FD2FFB"/>
    <w:rsid w:val="00FD453D"/>
    <w:rsid w:val="00FD49EC"/>
    <w:rsid w:val="00FD4B74"/>
    <w:rsid w:val="00FD4DD9"/>
    <w:rsid w:val="00FD4E5F"/>
    <w:rsid w:val="00FD537D"/>
    <w:rsid w:val="00FD5520"/>
    <w:rsid w:val="00FD5B22"/>
    <w:rsid w:val="00FD602F"/>
    <w:rsid w:val="00FD6AE8"/>
    <w:rsid w:val="00FD7014"/>
    <w:rsid w:val="00FD708F"/>
    <w:rsid w:val="00FD7198"/>
    <w:rsid w:val="00FD7A6B"/>
    <w:rsid w:val="00FE0AC2"/>
    <w:rsid w:val="00FE12E8"/>
    <w:rsid w:val="00FE1C04"/>
    <w:rsid w:val="00FE244E"/>
    <w:rsid w:val="00FE26C1"/>
    <w:rsid w:val="00FE2F7A"/>
    <w:rsid w:val="00FE36C2"/>
    <w:rsid w:val="00FE3FED"/>
    <w:rsid w:val="00FE41C4"/>
    <w:rsid w:val="00FE44A5"/>
    <w:rsid w:val="00FE4EEC"/>
    <w:rsid w:val="00FE528F"/>
    <w:rsid w:val="00FE5D72"/>
    <w:rsid w:val="00FE5DCC"/>
    <w:rsid w:val="00FE6306"/>
    <w:rsid w:val="00FE6EE7"/>
    <w:rsid w:val="00FE746F"/>
    <w:rsid w:val="00FE777D"/>
    <w:rsid w:val="00FE7B24"/>
    <w:rsid w:val="00FE7DF9"/>
    <w:rsid w:val="00FF08AC"/>
    <w:rsid w:val="00FF0D1C"/>
    <w:rsid w:val="00FF10C0"/>
    <w:rsid w:val="00FF1DB8"/>
    <w:rsid w:val="00FF1EFD"/>
    <w:rsid w:val="00FF2442"/>
    <w:rsid w:val="00FF25D6"/>
    <w:rsid w:val="00FF27F7"/>
    <w:rsid w:val="00FF2EC7"/>
    <w:rsid w:val="00FF3057"/>
    <w:rsid w:val="00FF3A15"/>
    <w:rsid w:val="00FF3E9D"/>
    <w:rsid w:val="00FF4D93"/>
    <w:rsid w:val="00FF53DB"/>
    <w:rsid w:val="00FF5804"/>
    <w:rsid w:val="00FF5CBE"/>
    <w:rsid w:val="00FF6101"/>
    <w:rsid w:val="00FF6737"/>
    <w:rsid w:val="00FF67F5"/>
    <w:rsid w:val="00FF6C2A"/>
    <w:rsid w:val="00FF782E"/>
    <w:rsid w:val="19215735"/>
    <w:rsid w:val="37B67BA1"/>
    <w:rsid w:val="676434E0"/>
    <w:rsid w:val="685E56D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E5D3848"/>
  <w15:docId w15:val="{97E14208-D319-4234-99BD-0E6B70DB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B65"/>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1D6F88"/>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6F88"/>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6F88"/>
    <w:pPr>
      <w:keepNext/>
      <w:keepLines/>
      <w:numPr>
        <w:ilvl w:val="2"/>
        <w:numId w:val="1"/>
      </w:numPr>
      <w:spacing w:before="200" w:after="0"/>
      <w:ind w:left="7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D6F88"/>
    <w:pPr>
      <w:keepNext/>
      <w:keepLines/>
      <w:numPr>
        <w:ilvl w:val="3"/>
        <w:numId w:val="1"/>
      </w:numPr>
      <w:spacing w:before="200" w:after="0"/>
      <w:ind w:left="86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6F8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6F8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6F8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6F8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D6F8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qFormat/>
    <w:rsid w:val="001D6F88"/>
    <w:pPr>
      <w:spacing w:after="0" w:line="240" w:lineRule="auto"/>
    </w:pPr>
    <w:rPr>
      <w:rFonts w:ascii="Tahoma" w:hAnsi="Tahoma" w:cs="Tahoma"/>
      <w:sz w:val="16"/>
      <w:szCs w:val="16"/>
    </w:rPr>
  </w:style>
  <w:style w:type="paragraph" w:styleId="Caption">
    <w:name w:val="caption"/>
    <w:basedOn w:val="Normal"/>
    <w:next w:val="Normal"/>
    <w:uiPriority w:val="35"/>
    <w:unhideWhenUsed/>
    <w:qFormat/>
    <w:rsid w:val="001D6F88"/>
    <w:pPr>
      <w:spacing w:line="240" w:lineRule="auto"/>
    </w:pPr>
    <w:rPr>
      <w:b/>
      <w:bCs/>
      <w:color w:val="4F81BD" w:themeColor="accent1"/>
      <w:sz w:val="18"/>
      <w:szCs w:val="18"/>
    </w:rPr>
  </w:style>
  <w:style w:type="paragraph" w:styleId="TOC1">
    <w:name w:val="toc 1"/>
    <w:basedOn w:val="Normal"/>
    <w:next w:val="Normal"/>
    <w:uiPriority w:val="39"/>
    <w:unhideWhenUsed/>
    <w:rsid w:val="001D6F88"/>
    <w:pPr>
      <w:spacing w:after="100"/>
    </w:pPr>
  </w:style>
  <w:style w:type="paragraph" w:styleId="TOC2">
    <w:name w:val="toc 2"/>
    <w:basedOn w:val="Normal"/>
    <w:next w:val="Normal"/>
    <w:uiPriority w:val="39"/>
    <w:unhideWhenUsed/>
    <w:rsid w:val="001D6F88"/>
    <w:pPr>
      <w:spacing w:after="100"/>
      <w:ind w:left="220"/>
    </w:pPr>
  </w:style>
  <w:style w:type="paragraph" w:styleId="TOC3">
    <w:name w:val="toc 3"/>
    <w:basedOn w:val="Normal"/>
    <w:next w:val="Normal"/>
    <w:uiPriority w:val="39"/>
    <w:unhideWhenUsed/>
    <w:rsid w:val="001D6F88"/>
    <w:pPr>
      <w:spacing w:after="100"/>
      <w:ind w:left="440"/>
    </w:pPr>
  </w:style>
  <w:style w:type="paragraph" w:styleId="TOC4">
    <w:name w:val="toc 4"/>
    <w:basedOn w:val="Normal"/>
    <w:next w:val="Normal"/>
    <w:uiPriority w:val="39"/>
    <w:unhideWhenUsed/>
    <w:rsid w:val="001D6F88"/>
    <w:pPr>
      <w:spacing w:after="100"/>
      <w:ind w:left="660"/>
    </w:pPr>
  </w:style>
  <w:style w:type="character" w:styleId="Hyperlink">
    <w:name w:val="Hyperlink"/>
    <w:basedOn w:val="DefaultParagraphFont"/>
    <w:uiPriority w:val="99"/>
    <w:unhideWhenUsed/>
    <w:rsid w:val="001D6F88"/>
    <w:rPr>
      <w:color w:val="0000FF" w:themeColor="hyperlink"/>
      <w:u w:val="single"/>
    </w:rPr>
  </w:style>
  <w:style w:type="table" w:styleId="MediumList2-Accent1">
    <w:name w:val="Medium List 2 Accent 1"/>
    <w:basedOn w:val="TableNormal"/>
    <w:uiPriority w:val="66"/>
    <w:rsid w:val="001D6F88"/>
    <w:pPr>
      <w:spacing w:after="0" w:line="240" w:lineRule="auto"/>
    </w:pPr>
    <w:rPr>
      <w:rFonts w:asciiTheme="majorHAnsi" w:eastAsiaTheme="majorEastAsia" w:hAnsiTheme="majorHAnsi" w:cstheme="majorBidi"/>
      <w:color w:val="000000" w:themeColor="text1"/>
      <w:lang w:val="en-US" w:eastAsia="en-US" w:bidi="en-US"/>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1Char">
    <w:name w:val="Heading 1 Char"/>
    <w:basedOn w:val="DefaultParagraphFont"/>
    <w:link w:val="Heading1"/>
    <w:uiPriority w:val="9"/>
    <w:rsid w:val="001D6F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D6F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6F88"/>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1D6F88"/>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1D6F88"/>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1D6F88"/>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1D6F88"/>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1D6F8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D6F88"/>
    <w:rPr>
      <w:rFonts w:asciiTheme="majorHAnsi" w:eastAsiaTheme="majorEastAsia" w:hAnsiTheme="majorHAnsi" w:cstheme="majorBidi"/>
      <w:i/>
      <w:iCs/>
      <w:color w:val="404040" w:themeColor="text1" w:themeTint="BF"/>
    </w:rPr>
  </w:style>
  <w:style w:type="paragraph" w:customStyle="1" w:styleId="TOCHeading1">
    <w:name w:val="TOC Heading1"/>
    <w:basedOn w:val="Heading1"/>
    <w:next w:val="Normal"/>
    <w:uiPriority w:val="39"/>
    <w:unhideWhenUsed/>
    <w:qFormat/>
    <w:rsid w:val="001D6F88"/>
    <w:pPr>
      <w:numPr>
        <w:numId w:val="0"/>
      </w:numPr>
      <w:outlineLvl w:val="9"/>
    </w:pPr>
    <w:rPr>
      <w:lang w:val="en-US" w:eastAsia="en-US"/>
    </w:rPr>
  </w:style>
  <w:style w:type="character" w:customStyle="1" w:styleId="BalloonTextChar">
    <w:name w:val="Balloon Text Char"/>
    <w:basedOn w:val="DefaultParagraphFont"/>
    <w:link w:val="BalloonText"/>
    <w:uiPriority w:val="99"/>
    <w:semiHidden/>
    <w:rsid w:val="001D6F88"/>
    <w:rPr>
      <w:rFonts w:ascii="Tahoma" w:hAnsi="Tahoma" w:cs="Tahoma"/>
      <w:sz w:val="16"/>
      <w:szCs w:val="16"/>
    </w:rPr>
  </w:style>
  <w:style w:type="paragraph" w:styleId="TableofFigures">
    <w:name w:val="table of figures"/>
    <w:basedOn w:val="Normal"/>
    <w:next w:val="Normal"/>
    <w:uiPriority w:val="99"/>
    <w:unhideWhenUsed/>
    <w:rsid w:val="00E126D0"/>
    <w:pPr>
      <w:spacing w:after="0"/>
    </w:pPr>
  </w:style>
  <w:style w:type="paragraph" w:styleId="Header">
    <w:name w:val="header"/>
    <w:basedOn w:val="Normal"/>
    <w:link w:val="HeaderChar"/>
    <w:unhideWhenUsed/>
    <w:rsid w:val="00A36517"/>
    <w:pPr>
      <w:tabs>
        <w:tab w:val="center" w:pos="4320"/>
        <w:tab w:val="right" w:pos="8640"/>
      </w:tabs>
      <w:jc w:val="both"/>
    </w:pPr>
    <w:rPr>
      <w:rFonts w:ascii="Georgia" w:eastAsia="Georgia" w:hAnsi="Georgia" w:cs="Georgia"/>
      <w:sz w:val="20"/>
      <w:szCs w:val="20"/>
      <w:lang w:val="en-US" w:eastAsia="ja-JP"/>
    </w:rPr>
  </w:style>
  <w:style w:type="character" w:customStyle="1" w:styleId="HeaderChar">
    <w:name w:val="Header Char"/>
    <w:basedOn w:val="DefaultParagraphFont"/>
    <w:link w:val="Header"/>
    <w:rsid w:val="00A36517"/>
    <w:rPr>
      <w:rFonts w:ascii="Georgia" w:eastAsia="Georgia" w:hAnsi="Georgia" w:cs="Georgia"/>
      <w:lang w:val="en-US" w:eastAsia="ja-JP"/>
    </w:rPr>
  </w:style>
  <w:style w:type="paragraph" w:styleId="NoSpacing">
    <w:name w:val="No Spacing"/>
    <w:basedOn w:val="Normal"/>
    <w:uiPriority w:val="1"/>
    <w:qFormat/>
    <w:rsid w:val="00A36517"/>
    <w:pPr>
      <w:spacing w:after="0" w:line="240" w:lineRule="auto"/>
      <w:jc w:val="both"/>
    </w:pPr>
    <w:rPr>
      <w:rFonts w:ascii="Georgia" w:eastAsia="Georgia" w:hAnsi="Georgia" w:cs="Georgia"/>
      <w:sz w:val="20"/>
      <w:szCs w:val="32"/>
      <w:lang w:val="en-US" w:eastAsia="ja-JP"/>
    </w:rPr>
  </w:style>
  <w:style w:type="paragraph" w:styleId="Footer">
    <w:name w:val="footer"/>
    <w:basedOn w:val="Normal"/>
    <w:link w:val="FooterChar"/>
    <w:unhideWhenUsed/>
    <w:rsid w:val="00A3651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6517"/>
    <w:rPr>
      <w:rFonts w:asciiTheme="minorHAnsi" w:eastAsiaTheme="minorEastAsia" w:hAnsiTheme="minorHAnsi" w:cstheme="minorBidi"/>
      <w:sz w:val="22"/>
      <w:szCs w:val="22"/>
    </w:rPr>
  </w:style>
  <w:style w:type="table" w:styleId="TableGrid">
    <w:name w:val="Table Grid"/>
    <w:basedOn w:val="TableNormal"/>
    <w:uiPriority w:val="59"/>
    <w:rsid w:val="002A2B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Grid-Accent11">
    <w:name w:val="Light Grid - Accent 11"/>
    <w:basedOn w:val="TableNormal"/>
    <w:uiPriority w:val="62"/>
    <w:rsid w:val="002A2B2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DA7EB8"/>
    <w:rPr>
      <w:color w:val="800080" w:themeColor="followedHyperlink"/>
      <w:u w:val="single"/>
    </w:rPr>
  </w:style>
  <w:style w:type="numbering" w:customStyle="1" w:styleId="NoList1">
    <w:name w:val="No List1"/>
    <w:next w:val="NoList"/>
    <w:semiHidden/>
    <w:unhideWhenUsed/>
    <w:rsid w:val="00D9171D"/>
  </w:style>
  <w:style w:type="paragraph" w:styleId="Index1">
    <w:name w:val="index 1"/>
    <w:basedOn w:val="Normal"/>
    <w:next w:val="Normal"/>
    <w:autoRedefine/>
    <w:semiHidden/>
    <w:unhideWhenUsed/>
    <w:rsid w:val="00D9171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HeadingBase"/>
    <w:next w:val="Index1"/>
    <w:semiHidden/>
    <w:rsid w:val="00D9171D"/>
    <w:pPr>
      <w:keepLines w:val="0"/>
      <w:spacing w:before="0" w:line="480" w:lineRule="atLeast"/>
      <w:ind w:left="0"/>
    </w:pPr>
    <w:rPr>
      <w:rFonts w:ascii="Arial Black" w:hAnsi="Arial Black" w:cs="Times New Roman"/>
      <w:spacing w:val="-5"/>
      <w:kern w:val="0"/>
      <w:sz w:val="20"/>
      <w:szCs w:val="24"/>
    </w:rPr>
  </w:style>
  <w:style w:type="paragraph" w:customStyle="1" w:styleId="HeadingBase">
    <w:name w:val="Heading Base"/>
    <w:basedOn w:val="Normal"/>
    <w:next w:val="BodyText"/>
    <w:rsid w:val="00D9171D"/>
    <w:pPr>
      <w:keepNext/>
      <w:keepLines/>
      <w:autoSpaceDE w:val="0"/>
      <w:autoSpaceDN w:val="0"/>
      <w:spacing w:before="140" w:after="0" w:line="220" w:lineRule="atLeast"/>
      <w:ind w:left="1080"/>
    </w:pPr>
    <w:rPr>
      <w:rFonts w:ascii="Arial" w:eastAsia="Times New Roman" w:hAnsi="Arial" w:cs="Arial"/>
      <w:spacing w:val="-4"/>
      <w:kern w:val="28"/>
      <w:lang w:val="en-US"/>
    </w:rPr>
  </w:style>
  <w:style w:type="paragraph" w:styleId="BodyText">
    <w:name w:val="Body Text"/>
    <w:basedOn w:val="Normal"/>
    <w:link w:val="BodyTextChar"/>
    <w:rsid w:val="00D9171D"/>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D9171D"/>
    <w:rPr>
      <w:rFonts w:eastAsia="Times New Roman"/>
      <w:b/>
      <w:bCs/>
      <w:sz w:val="24"/>
      <w:szCs w:val="24"/>
    </w:rPr>
  </w:style>
  <w:style w:type="character" w:styleId="PageNumber">
    <w:name w:val="page number"/>
    <w:basedOn w:val="DefaultParagraphFont"/>
    <w:rsid w:val="00D9171D"/>
  </w:style>
  <w:style w:type="table" w:customStyle="1" w:styleId="TableGrid1">
    <w:name w:val="Table Grid1"/>
    <w:basedOn w:val="TableNormal"/>
    <w:next w:val="TableGrid"/>
    <w:rsid w:val="00D9171D"/>
    <w:pPr>
      <w:spacing w:after="0" w:line="240" w:lineRule="auto"/>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2"/>
    <w:basedOn w:val="Normal"/>
    <w:rsid w:val="00D9171D"/>
    <w:pPr>
      <w:keepLines/>
      <w:spacing w:before="60" w:after="60" w:line="240" w:lineRule="auto"/>
      <w:ind w:left="1080"/>
    </w:pPr>
    <w:rPr>
      <w:rFonts w:ascii="Helvetica" w:eastAsia="Times New Roman" w:hAnsi="Helvetica" w:cs="Times New Roman"/>
      <w:sz w:val="24"/>
      <w:szCs w:val="20"/>
      <w:lang w:val="en-US"/>
    </w:rPr>
  </w:style>
  <w:style w:type="paragraph" w:styleId="NormalWeb">
    <w:name w:val="Normal (Web)"/>
    <w:basedOn w:val="Normal"/>
    <w:uiPriority w:val="99"/>
    <w:rsid w:val="00D917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9171D"/>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
    <w:name w:val="Body Text Indent"/>
    <w:basedOn w:val="Normal"/>
    <w:link w:val="BodyTextIndentChar"/>
    <w:unhideWhenUsed/>
    <w:rsid w:val="00D9171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9171D"/>
    <w:rPr>
      <w:rFonts w:eastAsia="Times New Roman"/>
      <w:sz w:val="24"/>
      <w:szCs w:val="24"/>
    </w:rPr>
  </w:style>
  <w:style w:type="paragraph" w:styleId="ListParagraph">
    <w:name w:val="List Paragraph"/>
    <w:basedOn w:val="Normal"/>
    <w:uiPriority w:val="1"/>
    <w:unhideWhenUsed/>
    <w:qFormat/>
    <w:rsid w:val="00240839"/>
    <w:pPr>
      <w:ind w:left="720"/>
      <w:contextualSpacing/>
    </w:pPr>
  </w:style>
  <w:style w:type="character" w:customStyle="1" w:styleId="Tipodeletrapredefinidodopargrafo">
    <w:name w:val="Tipo de letra predefinido do parágrafo"/>
    <w:rsid w:val="00360EED"/>
  </w:style>
  <w:style w:type="paragraph" w:styleId="FootnoteText">
    <w:name w:val="footnote text"/>
    <w:basedOn w:val="Normal"/>
    <w:link w:val="FootnoteTextChar"/>
    <w:uiPriority w:val="99"/>
    <w:semiHidden/>
    <w:unhideWhenUsed/>
    <w:rsid w:val="000960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60C9"/>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0960C9"/>
    <w:rPr>
      <w:vertAlign w:val="superscript"/>
    </w:rPr>
  </w:style>
  <w:style w:type="character" w:customStyle="1" w:styleId="UnresolvedMention1">
    <w:name w:val="Unresolved Mention1"/>
    <w:basedOn w:val="DefaultParagraphFont"/>
    <w:uiPriority w:val="99"/>
    <w:semiHidden/>
    <w:unhideWhenUsed/>
    <w:rsid w:val="009E4038"/>
    <w:rPr>
      <w:color w:val="605E5C"/>
      <w:shd w:val="clear" w:color="auto" w:fill="E1DFDD"/>
    </w:rPr>
  </w:style>
  <w:style w:type="table" w:customStyle="1" w:styleId="GridTable4-Accent11">
    <w:name w:val="Grid Table 4 - Accent 11"/>
    <w:basedOn w:val="TableNormal"/>
    <w:uiPriority w:val="49"/>
    <w:rsid w:val="00B9669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C65F4D"/>
    <w:pPr>
      <w:spacing w:after="0" w:line="240" w:lineRule="auto"/>
    </w:pPr>
    <w:rPr>
      <w:rFonts w:asciiTheme="minorHAnsi" w:eastAsiaTheme="minorEastAsia" w:hAnsiTheme="minorHAnsi" w:cstheme="minorBidi"/>
      <w:sz w:val="22"/>
      <w:szCs w:val="22"/>
    </w:rPr>
  </w:style>
  <w:style w:type="paragraph" w:customStyle="1" w:styleId="no-margin">
    <w:name w:val="no-margin"/>
    <w:basedOn w:val="Normal"/>
    <w:rsid w:val="00430EE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AA08E8"/>
    <w:rPr>
      <w:b/>
      <w:bCs/>
    </w:rPr>
  </w:style>
  <w:style w:type="paragraph" w:customStyle="1" w:styleId="defaultstyledtext-sc-1jtxuc8-0">
    <w:name w:val="default__styledtext-sc-1jtxuc8-0"/>
    <w:basedOn w:val="Normal"/>
    <w:rsid w:val="008D672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itle">
    <w:name w:val="Title"/>
    <w:basedOn w:val="Normal"/>
    <w:link w:val="TitleChar"/>
    <w:uiPriority w:val="1"/>
    <w:qFormat/>
    <w:rsid w:val="00892EF7"/>
    <w:pPr>
      <w:widowControl w:val="0"/>
      <w:autoSpaceDE w:val="0"/>
      <w:autoSpaceDN w:val="0"/>
      <w:spacing w:before="122" w:after="0" w:line="240" w:lineRule="auto"/>
      <w:ind w:left="118"/>
      <w:jc w:val="both"/>
    </w:pPr>
    <w:rPr>
      <w:rFonts w:ascii="Times New Roman" w:eastAsia="Times New Roman" w:hAnsi="Times New Roman" w:cs="Times New Roman"/>
      <w:b/>
      <w:bCs/>
      <w:lang w:eastAsia="en-US"/>
    </w:rPr>
  </w:style>
  <w:style w:type="character" w:customStyle="1" w:styleId="TitleChar">
    <w:name w:val="Title Char"/>
    <w:basedOn w:val="DefaultParagraphFont"/>
    <w:link w:val="Title"/>
    <w:uiPriority w:val="1"/>
    <w:rsid w:val="00892EF7"/>
    <w:rPr>
      <w:rFonts w:eastAsia="Times New Roman"/>
      <w:b/>
      <w:bCs/>
      <w:sz w:val="22"/>
      <w:szCs w:val="22"/>
      <w:lang w:eastAsia="en-US"/>
    </w:rPr>
  </w:style>
  <w:style w:type="character" w:customStyle="1" w:styleId="UnresolvedMention2">
    <w:name w:val="Unresolved Mention2"/>
    <w:basedOn w:val="DefaultParagraphFont"/>
    <w:uiPriority w:val="99"/>
    <w:semiHidden/>
    <w:unhideWhenUsed/>
    <w:rsid w:val="00B35A53"/>
    <w:rPr>
      <w:color w:val="605E5C"/>
      <w:shd w:val="clear" w:color="auto" w:fill="E1DFDD"/>
    </w:rPr>
  </w:style>
  <w:style w:type="character" w:styleId="HTMLCite">
    <w:name w:val="HTML Cite"/>
    <w:basedOn w:val="DefaultParagraphFont"/>
    <w:uiPriority w:val="99"/>
    <w:semiHidden/>
    <w:unhideWhenUsed/>
    <w:rsid w:val="004E6FC1"/>
    <w:rPr>
      <w:i/>
      <w:iCs/>
    </w:rPr>
  </w:style>
  <w:style w:type="character" w:styleId="PlaceholderText">
    <w:name w:val="Placeholder Text"/>
    <w:basedOn w:val="DefaultParagraphFont"/>
    <w:uiPriority w:val="99"/>
    <w:semiHidden/>
    <w:rsid w:val="004E6FC1"/>
    <w:rPr>
      <w:color w:val="808080"/>
    </w:rPr>
  </w:style>
  <w:style w:type="character" w:styleId="CommentReference">
    <w:name w:val="annotation reference"/>
    <w:basedOn w:val="DefaultParagraphFont"/>
    <w:uiPriority w:val="99"/>
    <w:semiHidden/>
    <w:unhideWhenUsed/>
    <w:rsid w:val="004E6FC1"/>
    <w:rPr>
      <w:sz w:val="16"/>
      <w:szCs w:val="16"/>
    </w:rPr>
  </w:style>
  <w:style w:type="paragraph" w:styleId="CommentText">
    <w:name w:val="annotation text"/>
    <w:basedOn w:val="Normal"/>
    <w:link w:val="CommentTextChar"/>
    <w:uiPriority w:val="99"/>
    <w:semiHidden/>
    <w:unhideWhenUsed/>
    <w:rsid w:val="004E6FC1"/>
    <w:pPr>
      <w:spacing w:line="240" w:lineRule="auto"/>
    </w:pPr>
    <w:rPr>
      <w:sz w:val="20"/>
      <w:szCs w:val="20"/>
    </w:rPr>
  </w:style>
  <w:style w:type="character" w:customStyle="1" w:styleId="CommentTextChar">
    <w:name w:val="Comment Text Char"/>
    <w:basedOn w:val="DefaultParagraphFont"/>
    <w:link w:val="CommentText"/>
    <w:uiPriority w:val="99"/>
    <w:semiHidden/>
    <w:rsid w:val="004E6FC1"/>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4E6FC1"/>
    <w:rPr>
      <w:b/>
      <w:bCs/>
    </w:rPr>
  </w:style>
  <w:style w:type="character" w:customStyle="1" w:styleId="CommentSubjectChar">
    <w:name w:val="Comment Subject Char"/>
    <w:basedOn w:val="CommentTextChar"/>
    <w:link w:val="CommentSubject"/>
    <w:uiPriority w:val="99"/>
    <w:semiHidden/>
    <w:rsid w:val="004E6FC1"/>
    <w:rPr>
      <w:rFonts w:asciiTheme="minorHAnsi" w:eastAsiaTheme="minorEastAsia" w:hAnsiTheme="minorHAnsi" w:cstheme="minorBidi"/>
      <w:b/>
      <w:bCs/>
    </w:rPr>
  </w:style>
  <w:style w:type="character" w:customStyle="1" w:styleId="mvqa2c">
    <w:name w:val="mvqa2c"/>
    <w:basedOn w:val="DefaultParagraphFont"/>
    <w:rsid w:val="004E6FC1"/>
  </w:style>
  <w:style w:type="character" w:customStyle="1" w:styleId="material-icons-extended">
    <w:name w:val="material-icons-extended"/>
    <w:basedOn w:val="DefaultParagraphFont"/>
    <w:rsid w:val="004E6FC1"/>
  </w:style>
  <w:style w:type="character" w:customStyle="1" w:styleId="ztplmc">
    <w:name w:val="ztplmc"/>
    <w:basedOn w:val="DefaultParagraphFont"/>
    <w:rsid w:val="004E6FC1"/>
  </w:style>
  <w:style w:type="character" w:customStyle="1" w:styleId="viiyi">
    <w:name w:val="viiyi"/>
    <w:basedOn w:val="DefaultParagraphFont"/>
    <w:rsid w:val="004E6FC1"/>
  </w:style>
  <w:style w:type="character" w:customStyle="1" w:styleId="q4iawc">
    <w:name w:val="q4iawc"/>
    <w:basedOn w:val="DefaultParagraphFont"/>
    <w:rsid w:val="004E6FC1"/>
  </w:style>
  <w:style w:type="character" w:customStyle="1" w:styleId="UnresolvedMention3">
    <w:name w:val="Unresolved Mention3"/>
    <w:basedOn w:val="DefaultParagraphFont"/>
    <w:uiPriority w:val="99"/>
    <w:semiHidden/>
    <w:unhideWhenUsed/>
    <w:rsid w:val="004E6FC1"/>
    <w:rPr>
      <w:color w:val="605E5C"/>
      <w:shd w:val="clear" w:color="auto" w:fill="E1DFDD"/>
    </w:rPr>
  </w:style>
  <w:style w:type="character" w:customStyle="1" w:styleId="UnresolvedMention4">
    <w:name w:val="Unresolved Mention4"/>
    <w:basedOn w:val="DefaultParagraphFont"/>
    <w:uiPriority w:val="99"/>
    <w:semiHidden/>
    <w:unhideWhenUsed/>
    <w:rsid w:val="004E6FC1"/>
    <w:rPr>
      <w:color w:val="605E5C"/>
      <w:shd w:val="clear" w:color="auto" w:fill="E1DFDD"/>
    </w:rPr>
  </w:style>
  <w:style w:type="paragraph" w:customStyle="1" w:styleId="trt0xe">
    <w:name w:val="trt0xe"/>
    <w:basedOn w:val="Normal"/>
    <w:rsid w:val="004E6FC1"/>
    <w:pPr>
      <w:spacing w:before="100" w:beforeAutospacing="1" w:after="100" w:afterAutospacing="1" w:line="240" w:lineRule="auto"/>
    </w:pPr>
    <w:rPr>
      <w:rFonts w:ascii="Times New Roman" w:eastAsia="Times New Roman" w:hAnsi="Times New Roman" w:cs="Times New Roman"/>
      <w:sz w:val="24"/>
      <w:szCs w:val="24"/>
      <w:lang w:val="en-AE" w:eastAsia="en-AE"/>
    </w:rPr>
  </w:style>
  <w:style w:type="character" w:customStyle="1" w:styleId="UnresolvedMention5">
    <w:name w:val="Unresolved Mention5"/>
    <w:basedOn w:val="DefaultParagraphFont"/>
    <w:uiPriority w:val="99"/>
    <w:semiHidden/>
    <w:unhideWhenUsed/>
    <w:rsid w:val="004E6FC1"/>
    <w:rPr>
      <w:color w:val="605E5C"/>
      <w:shd w:val="clear" w:color="auto" w:fill="E1DFDD"/>
    </w:rPr>
  </w:style>
  <w:style w:type="character" w:customStyle="1" w:styleId="UnresolvedMention6">
    <w:name w:val="Unresolved Mention6"/>
    <w:basedOn w:val="DefaultParagraphFont"/>
    <w:uiPriority w:val="99"/>
    <w:semiHidden/>
    <w:unhideWhenUsed/>
    <w:rsid w:val="004E6FC1"/>
    <w:rPr>
      <w:color w:val="605E5C"/>
      <w:shd w:val="clear" w:color="auto" w:fill="E1DFDD"/>
    </w:rPr>
  </w:style>
  <w:style w:type="character" w:customStyle="1" w:styleId="cskcde">
    <w:name w:val="cskcde"/>
    <w:basedOn w:val="DefaultParagraphFont"/>
    <w:rsid w:val="004E6FC1"/>
  </w:style>
  <w:style w:type="character" w:customStyle="1" w:styleId="hgkelc">
    <w:name w:val="hgkelc"/>
    <w:basedOn w:val="DefaultParagraphFont"/>
    <w:rsid w:val="004E6FC1"/>
  </w:style>
  <w:style w:type="character" w:customStyle="1" w:styleId="kx21rb">
    <w:name w:val="kx21rb"/>
    <w:basedOn w:val="DefaultParagraphFont"/>
    <w:rsid w:val="004E6FC1"/>
  </w:style>
  <w:style w:type="character" w:customStyle="1" w:styleId="UnresolvedMention7">
    <w:name w:val="Unresolved Mention7"/>
    <w:basedOn w:val="DefaultParagraphFont"/>
    <w:uiPriority w:val="99"/>
    <w:semiHidden/>
    <w:unhideWhenUsed/>
    <w:rsid w:val="004E6FC1"/>
    <w:rPr>
      <w:color w:val="605E5C"/>
      <w:shd w:val="clear" w:color="auto" w:fill="E1DFDD"/>
    </w:rPr>
  </w:style>
  <w:style w:type="character" w:customStyle="1" w:styleId="UnresolvedMention8">
    <w:name w:val="Unresolved Mention8"/>
    <w:basedOn w:val="DefaultParagraphFont"/>
    <w:uiPriority w:val="99"/>
    <w:semiHidden/>
    <w:unhideWhenUsed/>
    <w:rsid w:val="004E6FC1"/>
    <w:rPr>
      <w:color w:val="605E5C"/>
      <w:shd w:val="clear" w:color="auto" w:fill="E1DFDD"/>
    </w:rPr>
  </w:style>
  <w:style w:type="character" w:customStyle="1" w:styleId="UnresolvedMention9">
    <w:name w:val="Unresolved Mention9"/>
    <w:basedOn w:val="DefaultParagraphFont"/>
    <w:uiPriority w:val="99"/>
    <w:semiHidden/>
    <w:unhideWhenUsed/>
    <w:rsid w:val="004E6FC1"/>
    <w:rPr>
      <w:color w:val="605E5C"/>
      <w:shd w:val="clear" w:color="auto" w:fill="E1DFDD"/>
    </w:rPr>
  </w:style>
  <w:style w:type="character" w:customStyle="1" w:styleId="UnresolvedMention10">
    <w:name w:val="Unresolved Mention10"/>
    <w:basedOn w:val="DefaultParagraphFont"/>
    <w:uiPriority w:val="99"/>
    <w:semiHidden/>
    <w:unhideWhenUsed/>
    <w:rsid w:val="004E6FC1"/>
    <w:rPr>
      <w:color w:val="605E5C"/>
      <w:shd w:val="clear" w:color="auto" w:fill="E1DFDD"/>
    </w:rPr>
  </w:style>
  <w:style w:type="character" w:customStyle="1" w:styleId="UnresolvedMention11">
    <w:name w:val="Unresolved Mention11"/>
    <w:basedOn w:val="DefaultParagraphFont"/>
    <w:uiPriority w:val="99"/>
    <w:semiHidden/>
    <w:unhideWhenUsed/>
    <w:rsid w:val="004E6FC1"/>
    <w:rPr>
      <w:color w:val="605E5C"/>
      <w:shd w:val="clear" w:color="auto" w:fill="E1DFDD"/>
    </w:rPr>
  </w:style>
  <w:style w:type="paragraph" w:customStyle="1" w:styleId="TableParagraph">
    <w:name w:val="Table Paragraph"/>
    <w:basedOn w:val="Normal"/>
    <w:uiPriority w:val="1"/>
    <w:qFormat/>
    <w:rsid w:val="004E6FC1"/>
    <w:pPr>
      <w:widowControl w:val="0"/>
      <w:autoSpaceDE w:val="0"/>
      <w:autoSpaceDN w:val="0"/>
      <w:spacing w:after="0" w:line="240" w:lineRule="auto"/>
      <w:jc w:val="center"/>
    </w:pPr>
    <w:rPr>
      <w:rFonts w:ascii="Times New Roman" w:eastAsia="Times New Roman" w:hAnsi="Times New Roman" w:cs="Times New Roman"/>
      <w:lang w:eastAsia="en-US"/>
    </w:rPr>
  </w:style>
  <w:style w:type="character" w:customStyle="1" w:styleId="UnresolvedMention12">
    <w:name w:val="Unresolved Mention12"/>
    <w:basedOn w:val="DefaultParagraphFont"/>
    <w:uiPriority w:val="99"/>
    <w:semiHidden/>
    <w:unhideWhenUsed/>
    <w:rsid w:val="004E6FC1"/>
    <w:rPr>
      <w:color w:val="605E5C"/>
      <w:shd w:val="clear" w:color="auto" w:fill="E1DFDD"/>
    </w:rPr>
  </w:style>
  <w:style w:type="paragraph" w:styleId="EndnoteText">
    <w:name w:val="endnote text"/>
    <w:basedOn w:val="Normal"/>
    <w:link w:val="EndnoteTextChar"/>
    <w:uiPriority w:val="99"/>
    <w:semiHidden/>
    <w:unhideWhenUsed/>
    <w:rsid w:val="000466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660F"/>
    <w:rPr>
      <w:rFonts w:asciiTheme="minorHAnsi" w:eastAsiaTheme="minorEastAsia" w:hAnsiTheme="minorHAnsi" w:cstheme="minorBidi"/>
    </w:rPr>
  </w:style>
  <w:style w:type="character" w:styleId="EndnoteReference">
    <w:name w:val="endnote reference"/>
    <w:basedOn w:val="DefaultParagraphFont"/>
    <w:uiPriority w:val="99"/>
    <w:semiHidden/>
    <w:unhideWhenUsed/>
    <w:rsid w:val="0004660F"/>
    <w:rPr>
      <w:vertAlign w:val="superscript"/>
    </w:rPr>
  </w:style>
  <w:style w:type="character" w:styleId="UnresolvedMention">
    <w:name w:val="Unresolved Mention"/>
    <w:basedOn w:val="DefaultParagraphFont"/>
    <w:uiPriority w:val="99"/>
    <w:semiHidden/>
    <w:unhideWhenUsed/>
    <w:rsid w:val="007B1AF0"/>
    <w:rPr>
      <w:color w:val="605E5C"/>
      <w:shd w:val="clear" w:color="auto" w:fill="E1DFDD"/>
    </w:rPr>
  </w:style>
  <w:style w:type="character" w:customStyle="1" w:styleId="uv3um">
    <w:name w:val="uv3um"/>
    <w:basedOn w:val="DefaultParagraphFont"/>
    <w:rsid w:val="006B6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627">
      <w:bodyDiv w:val="1"/>
      <w:marLeft w:val="0"/>
      <w:marRight w:val="0"/>
      <w:marTop w:val="0"/>
      <w:marBottom w:val="0"/>
      <w:divBdr>
        <w:top w:val="none" w:sz="0" w:space="0" w:color="auto"/>
        <w:left w:val="none" w:sz="0" w:space="0" w:color="auto"/>
        <w:bottom w:val="none" w:sz="0" w:space="0" w:color="auto"/>
        <w:right w:val="none" w:sz="0" w:space="0" w:color="auto"/>
      </w:divBdr>
    </w:div>
    <w:div w:id="15692389">
      <w:bodyDiv w:val="1"/>
      <w:marLeft w:val="0"/>
      <w:marRight w:val="0"/>
      <w:marTop w:val="0"/>
      <w:marBottom w:val="0"/>
      <w:divBdr>
        <w:top w:val="none" w:sz="0" w:space="0" w:color="auto"/>
        <w:left w:val="none" w:sz="0" w:space="0" w:color="auto"/>
        <w:bottom w:val="none" w:sz="0" w:space="0" w:color="auto"/>
        <w:right w:val="none" w:sz="0" w:space="0" w:color="auto"/>
      </w:divBdr>
    </w:div>
    <w:div w:id="19212164">
      <w:bodyDiv w:val="1"/>
      <w:marLeft w:val="0"/>
      <w:marRight w:val="0"/>
      <w:marTop w:val="0"/>
      <w:marBottom w:val="0"/>
      <w:divBdr>
        <w:top w:val="none" w:sz="0" w:space="0" w:color="auto"/>
        <w:left w:val="none" w:sz="0" w:space="0" w:color="auto"/>
        <w:bottom w:val="none" w:sz="0" w:space="0" w:color="auto"/>
        <w:right w:val="none" w:sz="0" w:space="0" w:color="auto"/>
      </w:divBdr>
    </w:div>
    <w:div w:id="20478547">
      <w:bodyDiv w:val="1"/>
      <w:marLeft w:val="0"/>
      <w:marRight w:val="0"/>
      <w:marTop w:val="0"/>
      <w:marBottom w:val="0"/>
      <w:divBdr>
        <w:top w:val="none" w:sz="0" w:space="0" w:color="auto"/>
        <w:left w:val="none" w:sz="0" w:space="0" w:color="auto"/>
        <w:bottom w:val="none" w:sz="0" w:space="0" w:color="auto"/>
        <w:right w:val="none" w:sz="0" w:space="0" w:color="auto"/>
      </w:divBdr>
    </w:div>
    <w:div w:id="60300852">
      <w:bodyDiv w:val="1"/>
      <w:marLeft w:val="0"/>
      <w:marRight w:val="0"/>
      <w:marTop w:val="0"/>
      <w:marBottom w:val="0"/>
      <w:divBdr>
        <w:top w:val="none" w:sz="0" w:space="0" w:color="auto"/>
        <w:left w:val="none" w:sz="0" w:space="0" w:color="auto"/>
        <w:bottom w:val="none" w:sz="0" w:space="0" w:color="auto"/>
        <w:right w:val="none" w:sz="0" w:space="0" w:color="auto"/>
      </w:divBdr>
    </w:div>
    <w:div w:id="61298833">
      <w:bodyDiv w:val="1"/>
      <w:marLeft w:val="0"/>
      <w:marRight w:val="0"/>
      <w:marTop w:val="0"/>
      <w:marBottom w:val="0"/>
      <w:divBdr>
        <w:top w:val="none" w:sz="0" w:space="0" w:color="auto"/>
        <w:left w:val="none" w:sz="0" w:space="0" w:color="auto"/>
        <w:bottom w:val="none" w:sz="0" w:space="0" w:color="auto"/>
        <w:right w:val="none" w:sz="0" w:space="0" w:color="auto"/>
      </w:divBdr>
    </w:div>
    <w:div w:id="86850308">
      <w:bodyDiv w:val="1"/>
      <w:marLeft w:val="0"/>
      <w:marRight w:val="0"/>
      <w:marTop w:val="0"/>
      <w:marBottom w:val="0"/>
      <w:divBdr>
        <w:top w:val="none" w:sz="0" w:space="0" w:color="auto"/>
        <w:left w:val="none" w:sz="0" w:space="0" w:color="auto"/>
        <w:bottom w:val="none" w:sz="0" w:space="0" w:color="auto"/>
        <w:right w:val="none" w:sz="0" w:space="0" w:color="auto"/>
      </w:divBdr>
    </w:div>
    <w:div w:id="95446210">
      <w:bodyDiv w:val="1"/>
      <w:marLeft w:val="0"/>
      <w:marRight w:val="0"/>
      <w:marTop w:val="0"/>
      <w:marBottom w:val="0"/>
      <w:divBdr>
        <w:top w:val="none" w:sz="0" w:space="0" w:color="auto"/>
        <w:left w:val="none" w:sz="0" w:space="0" w:color="auto"/>
        <w:bottom w:val="none" w:sz="0" w:space="0" w:color="auto"/>
        <w:right w:val="none" w:sz="0" w:space="0" w:color="auto"/>
      </w:divBdr>
    </w:div>
    <w:div w:id="120458993">
      <w:bodyDiv w:val="1"/>
      <w:marLeft w:val="0"/>
      <w:marRight w:val="0"/>
      <w:marTop w:val="0"/>
      <w:marBottom w:val="0"/>
      <w:divBdr>
        <w:top w:val="none" w:sz="0" w:space="0" w:color="auto"/>
        <w:left w:val="none" w:sz="0" w:space="0" w:color="auto"/>
        <w:bottom w:val="none" w:sz="0" w:space="0" w:color="auto"/>
        <w:right w:val="none" w:sz="0" w:space="0" w:color="auto"/>
      </w:divBdr>
    </w:div>
    <w:div w:id="160898391">
      <w:bodyDiv w:val="1"/>
      <w:marLeft w:val="0"/>
      <w:marRight w:val="0"/>
      <w:marTop w:val="0"/>
      <w:marBottom w:val="0"/>
      <w:divBdr>
        <w:top w:val="none" w:sz="0" w:space="0" w:color="auto"/>
        <w:left w:val="none" w:sz="0" w:space="0" w:color="auto"/>
        <w:bottom w:val="none" w:sz="0" w:space="0" w:color="auto"/>
        <w:right w:val="none" w:sz="0" w:space="0" w:color="auto"/>
      </w:divBdr>
    </w:div>
    <w:div w:id="174225183">
      <w:bodyDiv w:val="1"/>
      <w:marLeft w:val="0"/>
      <w:marRight w:val="0"/>
      <w:marTop w:val="0"/>
      <w:marBottom w:val="0"/>
      <w:divBdr>
        <w:top w:val="none" w:sz="0" w:space="0" w:color="auto"/>
        <w:left w:val="none" w:sz="0" w:space="0" w:color="auto"/>
        <w:bottom w:val="none" w:sz="0" w:space="0" w:color="auto"/>
        <w:right w:val="none" w:sz="0" w:space="0" w:color="auto"/>
      </w:divBdr>
    </w:div>
    <w:div w:id="204800377">
      <w:bodyDiv w:val="1"/>
      <w:marLeft w:val="0"/>
      <w:marRight w:val="0"/>
      <w:marTop w:val="0"/>
      <w:marBottom w:val="0"/>
      <w:divBdr>
        <w:top w:val="none" w:sz="0" w:space="0" w:color="auto"/>
        <w:left w:val="none" w:sz="0" w:space="0" w:color="auto"/>
        <w:bottom w:val="none" w:sz="0" w:space="0" w:color="auto"/>
        <w:right w:val="none" w:sz="0" w:space="0" w:color="auto"/>
      </w:divBdr>
    </w:div>
    <w:div w:id="208229426">
      <w:bodyDiv w:val="1"/>
      <w:marLeft w:val="0"/>
      <w:marRight w:val="0"/>
      <w:marTop w:val="0"/>
      <w:marBottom w:val="0"/>
      <w:divBdr>
        <w:top w:val="none" w:sz="0" w:space="0" w:color="auto"/>
        <w:left w:val="none" w:sz="0" w:space="0" w:color="auto"/>
        <w:bottom w:val="none" w:sz="0" w:space="0" w:color="auto"/>
        <w:right w:val="none" w:sz="0" w:space="0" w:color="auto"/>
      </w:divBdr>
    </w:div>
    <w:div w:id="220941359">
      <w:bodyDiv w:val="1"/>
      <w:marLeft w:val="0"/>
      <w:marRight w:val="0"/>
      <w:marTop w:val="0"/>
      <w:marBottom w:val="0"/>
      <w:divBdr>
        <w:top w:val="none" w:sz="0" w:space="0" w:color="auto"/>
        <w:left w:val="none" w:sz="0" w:space="0" w:color="auto"/>
        <w:bottom w:val="none" w:sz="0" w:space="0" w:color="auto"/>
        <w:right w:val="none" w:sz="0" w:space="0" w:color="auto"/>
      </w:divBdr>
    </w:div>
    <w:div w:id="348335943">
      <w:bodyDiv w:val="1"/>
      <w:marLeft w:val="0"/>
      <w:marRight w:val="0"/>
      <w:marTop w:val="0"/>
      <w:marBottom w:val="0"/>
      <w:divBdr>
        <w:top w:val="none" w:sz="0" w:space="0" w:color="auto"/>
        <w:left w:val="none" w:sz="0" w:space="0" w:color="auto"/>
        <w:bottom w:val="none" w:sz="0" w:space="0" w:color="auto"/>
        <w:right w:val="none" w:sz="0" w:space="0" w:color="auto"/>
      </w:divBdr>
    </w:div>
    <w:div w:id="387462039">
      <w:bodyDiv w:val="1"/>
      <w:marLeft w:val="0"/>
      <w:marRight w:val="0"/>
      <w:marTop w:val="0"/>
      <w:marBottom w:val="0"/>
      <w:divBdr>
        <w:top w:val="none" w:sz="0" w:space="0" w:color="auto"/>
        <w:left w:val="none" w:sz="0" w:space="0" w:color="auto"/>
        <w:bottom w:val="none" w:sz="0" w:space="0" w:color="auto"/>
        <w:right w:val="none" w:sz="0" w:space="0" w:color="auto"/>
      </w:divBdr>
    </w:div>
    <w:div w:id="418796867">
      <w:bodyDiv w:val="1"/>
      <w:marLeft w:val="0"/>
      <w:marRight w:val="0"/>
      <w:marTop w:val="0"/>
      <w:marBottom w:val="0"/>
      <w:divBdr>
        <w:top w:val="none" w:sz="0" w:space="0" w:color="auto"/>
        <w:left w:val="none" w:sz="0" w:space="0" w:color="auto"/>
        <w:bottom w:val="none" w:sz="0" w:space="0" w:color="auto"/>
        <w:right w:val="none" w:sz="0" w:space="0" w:color="auto"/>
      </w:divBdr>
    </w:div>
    <w:div w:id="460390901">
      <w:bodyDiv w:val="1"/>
      <w:marLeft w:val="0"/>
      <w:marRight w:val="0"/>
      <w:marTop w:val="0"/>
      <w:marBottom w:val="0"/>
      <w:divBdr>
        <w:top w:val="none" w:sz="0" w:space="0" w:color="auto"/>
        <w:left w:val="none" w:sz="0" w:space="0" w:color="auto"/>
        <w:bottom w:val="none" w:sz="0" w:space="0" w:color="auto"/>
        <w:right w:val="none" w:sz="0" w:space="0" w:color="auto"/>
      </w:divBdr>
    </w:div>
    <w:div w:id="469136761">
      <w:bodyDiv w:val="1"/>
      <w:marLeft w:val="0"/>
      <w:marRight w:val="0"/>
      <w:marTop w:val="0"/>
      <w:marBottom w:val="0"/>
      <w:divBdr>
        <w:top w:val="none" w:sz="0" w:space="0" w:color="auto"/>
        <w:left w:val="none" w:sz="0" w:space="0" w:color="auto"/>
        <w:bottom w:val="none" w:sz="0" w:space="0" w:color="auto"/>
        <w:right w:val="none" w:sz="0" w:space="0" w:color="auto"/>
      </w:divBdr>
    </w:div>
    <w:div w:id="470557221">
      <w:bodyDiv w:val="1"/>
      <w:marLeft w:val="0"/>
      <w:marRight w:val="0"/>
      <w:marTop w:val="0"/>
      <w:marBottom w:val="0"/>
      <w:divBdr>
        <w:top w:val="none" w:sz="0" w:space="0" w:color="auto"/>
        <w:left w:val="none" w:sz="0" w:space="0" w:color="auto"/>
        <w:bottom w:val="none" w:sz="0" w:space="0" w:color="auto"/>
        <w:right w:val="none" w:sz="0" w:space="0" w:color="auto"/>
      </w:divBdr>
    </w:div>
    <w:div w:id="554776111">
      <w:bodyDiv w:val="1"/>
      <w:marLeft w:val="0"/>
      <w:marRight w:val="0"/>
      <w:marTop w:val="0"/>
      <w:marBottom w:val="0"/>
      <w:divBdr>
        <w:top w:val="none" w:sz="0" w:space="0" w:color="auto"/>
        <w:left w:val="none" w:sz="0" w:space="0" w:color="auto"/>
        <w:bottom w:val="none" w:sz="0" w:space="0" w:color="auto"/>
        <w:right w:val="none" w:sz="0" w:space="0" w:color="auto"/>
      </w:divBdr>
    </w:div>
    <w:div w:id="595484363">
      <w:bodyDiv w:val="1"/>
      <w:marLeft w:val="0"/>
      <w:marRight w:val="0"/>
      <w:marTop w:val="0"/>
      <w:marBottom w:val="0"/>
      <w:divBdr>
        <w:top w:val="none" w:sz="0" w:space="0" w:color="auto"/>
        <w:left w:val="none" w:sz="0" w:space="0" w:color="auto"/>
        <w:bottom w:val="none" w:sz="0" w:space="0" w:color="auto"/>
        <w:right w:val="none" w:sz="0" w:space="0" w:color="auto"/>
      </w:divBdr>
    </w:div>
    <w:div w:id="602685636">
      <w:bodyDiv w:val="1"/>
      <w:marLeft w:val="0"/>
      <w:marRight w:val="0"/>
      <w:marTop w:val="0"/>
      <w:marBottom w:val="0"/>
      <w:divBdr>
        <w:top w:val="none" w:sz="0" w:space="0" w:color="auto"/>
        <w:left w:val="none" w:sz="0" w:space="0" w:color="auto"/>
        <w:bottom w:val="none" w:sz="0" w:space="0" w:color="auto"/>
        <w:right w:val="none" w:sz="0" w:space="0" w:color="auto"/>
      </w:divBdr>
    </w:div>
    <w:div w:id="617447033">
      <w:bodyDiv w:val="1"/>
      <w:marLeft w:val="0"/>
      <w:marRight w:val="0"/>
      <w:marTop w:val="0"/>
      <w:marBottom w:val="0"/>
      <w:divBdr>
        <w:top w:val="none" w:sz="0" w:space="0" w:color="auto"/>
        <w:left w:val="none" w:sz="0" w:space="0" w:color="auto"/>
        <w:bottom w:val="none" w:sz="0" w:space="0" w:color="auto"/>
        <w:right w:val="none" w:sz="0" w:space="0" w:color="auto"/>
      </w:divBdr>
    </w:div>
    <w:div w:id="629285823">
      <w:bodyDiv w:val="1"/>
      <w:marLeft w:val="0"/>
      <w:marRight w:val="0"/>
      <w:marTop w:val="0"/>
      <w:marBottom w:val="0"/>
      <w:divBdr>
        <w:top w:val="none" w:sz="0" w:space="0" w:color="auto"/>
        <w:left w:val="none" w:sz="0" w:space="0" w:color="auto"/>
        <w:bottom w:val="none" w:sz="0" w:space="0" w:color="auto"/>
        <w:right w:val="none" w:sz="0" w:space="0" w:color="auto"/>
      </w:divBdr>
      <w:divsChild>
        <w:div w:id="255596181">
          <w:marLeft w:val="0"/>
          <w:marRight w:val="0"/>
          <w:marTop w:val="0"/>
          <w:marBottom w:val="150"/>
          <w:divBdr>
            <w:top w:val="single" w:sz="12" w:space="2" w:color="000000"/>
            <w:left w:val="none" w:sz="0" w:space="0" w:color="auto"/>
            <w:bottom w:val="single" w:sz="12" w:space="2" w:color="000000"/>
            <w:right w:val="none" w:sz="0" w:space="0" w:color="auto"/>
          </w:divBdr>
        </w:div>
        <w:div w:id="1893230925">
          <w:marLeft w:val="0"/>
          <w:marRight w:val="0"/>
          <w:marTop w:val="0"/>
          <w:marBottom w:val="150"/>
          <w:divBdr>
            <w:top w:val="single" w:sz="12" w:space="2" w:color="000000"/>
            <w:left w:val="none" w:sz="0" w:space="0" w:color="auto"/>
            <w:bottom w:val="single" w:sz="12" w:space="2" w:color="000000"/>
            <w:right w:val="none" w:sz="0" w:space="0" w:color="auto"/>
          </w:divBdr>
        </w:div>
        <w:div w:id="1650285847">
          <w:marLeft w:val="0"/>
          <w:marRight w:val="0"/>
          <w:marTop w:val="0"/>
          <w:marBottom w:val="150"/>
          <w:divBdr>
            <w:top w:val="single" w:sz="12" w:space="2" w:color="000000"/>
            <w:left w:val="none" w:sz="0" w:space="0" w:color="auto"/>
            <w:bottom w:val="single" w:sz="12" w:space="2" w:color="000000"/>
            <w:right w:val="none" w:sz="0" w:space="0" w:color="auto"/>
          </w:divBdr>
        </w:div>
        <w:div w:id="1388602520">
          <w:marLeft w:val="0"/>
          <w:marRight w:val="0"/>
          <w:marTop w:val="0"/>
          <w:marBottom w:val="0"/>
          <w:divBdr>
            <w:top w:val="none" w:sz="0" w:space="0" w:color="auto"/>
            <w:left w:val="none" w:sz="0" w:space="0" w:color="auto"/>
            <w:bottom w:val="none" w:sz="0" w:space="0" w:color="auto"/>
            <w:right w:val="none" w:sz="0" w:space="0" w:color="auto"/>
          </w:divBdr>
        </w:div>
        <w:div w:id="933321088">
          <w:marLeft w:val="0"/>
          <w:marRight w:val="0"/>
          <w:marTop w:val="0"/>
          <w:marBottom w:val="0"/>
          <w:divBdr>
            <w:top w:val="none" w:sz="0" w:space="0" w:color="auto"/>
            <w:left w:val="none" w:sz="0" w:space="0" w:color="auto"/>
            <w:bottom w:val="none" w:sz="0" w:space="0" w:color="auto"/>
            <w:right w:val="none" w:sz="0" w:space="0" w:color="auto"/>
          </w:divBdr>
        </w:div>
        <w:div w:id="765808778">
          <w:marLeft w:val="0"/>
          <w:marRight w:val="0"/>
          <w:marTop w:val="0"/>
          <w:marBottom w:val="0"/>
          <w:divBdr>
            <w:top w:val="none" w:sz="0" w:space="0" w:color="auto"/>
            <w:left w:val="none" w:sz="0" w:space="0" w:color="auto"/>
            <w:bottom w:val="none" w:sz="0" w:space="0" w:color="auto"/>
            <w:right w:val="none" w:sz="0" w:space="0" w:color="auto"/>
          </w:divBdr>
        </w:div>
        <w:div w:id="1858305103">
          <w:marLeft w:val="0"/>
          <w:marRight w:val="0"/>
          <w:marTop w:val="0"/>
          <w:marBottom w:val="0"/>
          <w:divBdr>
            <w:top w:val="none" w:sz="0" w:space="0" w:color="auto"/>
            <w:left w:val="none" w:sz="0" w:space="0" w:color="auto"/>
            <w:bottom w:val="none" w:sz="0" w:space="0" w:color="auto"/>
            <w:right w:val="none" w:sz="0" w:space="0" w:color="auto"/>
          </w:divBdr>
        </w:div>
        <w:div w:id="249508104">
          <w:marLeft w:val="0"/>
          <w:marRight w:val="0"/>
          <w:marTop w:val="0"/>
          <w:marBottom w:val="0"/>
          <w:divBdr>
            <w:top w:val="none" w:sz="0" w:space="0" w:color="auto"/>
            <w:left w:val="none" w:sz="0" w:space="0" w:color="auto"/>
            <w:bottom w:val="none" w:sz="0" w:space="0" w:color="auto"/>
            <w:right w:val="none" w:sz="0" w:space="0" w:color="auto"/>
          </w:divBdr>
        </w:div>
        <w:div w:id="215628144">
          <w:marLeft w:val="0"/>
          <w:marRight w:val="0"/>
          <w:marTop w:val="0"/>
          <w:marBottom w:val="0"/>
          <w:divBdr>
            <w:top w:val="none" w:sz="0" w:space="0" w:color="auto"/>
            <w:left w:val="none" w:sz="0" w:space="0" w:color="auto"/>
            <w:bottom w:val="none" w:sz="0" w:space="0" w:color="auto"/>
            <w:right w:val="none" w:sz="0" w:space="0" w:color="auto"/>
          </w:divBdr>
        </w:div>
        <w:div w:id="584581262">
          <w:marLeft w:val="0"/>
          <w:marRight w:val="0"/>
          <w:marTop w:val="0"/>
          <w:marBottom w:val="0"/>
          <w:divBdr>
            <w:top w:val="none" w:sz="0" w:space="0" w:color="auto"/>
            <w:left w:val="none" w:sz="0" w:space="0" w:color="auto"/>
            <w:bottom w:val="none" w:sz="0" w:space="0" w:color="auto"/>
            <w:right w:val="none" w:sz="0" w:space="0" w:color="auto"/>
          </w:divBdr>
        </w:div>
        <w:div w:id="1211958764">
          <w:marLeft w:val="0"/>
          <w:marRight w:val="0"/>
          <w:marTop w:val="0"/>
          <w:marBottom w:val="0"/>
          <w:divBdr>
            <w:top w:val="none" w:sz="0" w:space="0" w:color="auto"/>
            <w:left w:val="none" w:sz="0" w:space="0" w:color="auto"/>
            <w:bottom w:val="none" w:sz="0" w:space="0" w:color="auto"/>
            <w:right w:val="none" w:sz="0" w:space="0" w:color="auto"/>
          </w:divBdr>
        </w:div>
        <w:div w:id="679627164">
          <w:marLeft w:val="0"/>
          <w:marRight w:val="0"/>
          <w:marTop w:val="0"/>
          <w:marBottom w:val="0"/>
          <w:divBdr>
            <w:top w:val="none" w:sz="0" w:space="0" w:color="auto"/>
            <w:left w:val="none" w:sz="0" w:space="0" w:color="auto"/>
            <w:bottom w:val="none" w:sz="0" w:space="0" w:color="auto"/>
            <w:right w:val="none" w:sz="0" w:space="0" w:color="auto"/>
          </w:divBdr>
        </w:div>
        <w:div w:id="1945533602">
          <w:marLeft w:val="0"/>
          <w:marRight w:val="0"/>
          <w:marTop w:val="0"/>
          <w:marBottom w:val="0"/>
          <w:divBdr>
            <w:top w:val="none" w:sz="0" w:space="0" w:color="auto"/>
            <w:left w:val="none" w:sz="0" w:space="0" w:color="auto"/>
            <w:bottom w:val="none" w:sz="0" w:space="0" w:color="auto"/>
            <w:right w:val="none" w:sz="0" w:space="0" w:color="auto"/>
          </w:divBdr>
        </w:div>
        <w:div w:id="137429136">
          <w:marLeft w:val="0"/>
          <w:marRight w:val="0"/>
          <w:marTop w:val="0"/>
          <w:marBottom w:val="0"/>
          <w:divBdr>
            <w:top w:val="none" w:sz="0" w:space="0" w:color="auto"/>
            <w:left w:val="none" w:sz="0" w:space="0" w:color="auto"/>
            <w:bottom w:val="none" w:sz="0" w:space="0" w:color="auto"/>
            <w:right w:val="none" w:sz="0" w:space="0" w:color="auto"/>
          </w:divBdr>
        </w:div>
        <w:div w:id="452288940">
          <w:marLeft w:val="0"/>
          <w:marRight w:val="0"/>
          <w:marTop w:val="0"/>
          <w:marBottom w:val="0"/>
          <w:divBdr>
            <w:top w:val="none" w:sz="0" w:space="0" w:color="auto"/>
            <w:left w:val="none" w:sz="0" w:space="0" w:color="auto"/>
            <w:bottom w:val="none" w:sz="0" w:space="0" w:color="auto"/>
            <w:right w:val="none" w:sz="0" w:space="0" w:color="auto"/>
          </w:divBdr>
        </w:div>
        <w:div w:id="837158785">
          <w:marLeft w:val="0"/>
          <w:marRight w:val="0"/>
          <w:marTop w:val="0"/>
          <w:marBottom w:val="0"/>
          <w:divBdr>
            <w:top w:val="none" w:sz="0" w:space="0" w:color="auto"/>
            <w:left w:val="none" w:sz="0" w:space="0" w:color="auto"/>
            <w:bottom w:val="none" w:sz="0" w:space="0" w:color="auto"/>
            <w:right w:val="none" w:sz="0" w:space="0" w:color="auto"/>
          </w:divBdr>
        </w:div>
        <w:div w:id="1898861592">
          <w:marLeft w:val="0"/>
          <w:marRight w:val="0"/>
          <w:marTop w:val="0"/>
          <w:marBottom w:val="0"/>
          <w:divBdr>
            <w:top w:val="none" w:sz="0" w:space="0" w:color="auto"/>
            <w:left w:val="none" w:sz="0" w:space="0" w:color="auto"/>
            <w:bottom w:val="none" w:sz="0" w:space="0" w:color="auto"/>
            <w:right w:val="none" w:sz="0" w:space="0" w:color="auto"/>
          </w:divBdr>
        </w:div>
        <w:div w:id="828718964">
          <w:marLeft w:val="0"/>
          <w:marRight w:val="0"/>
          <w:marTop w:val="0"/>
          <w:marBottom w:val="0"/>
          <w:divBdr>
            <w:top w:val="none" w:sz="0" w:space="0" w:color="auto"/>
            <w:left w:val="none" w:sz="0" w:space="0" w:color="auto"/>
            <w:bottom w:val="none" w:sz="0" w:space="0" w:color="auto"/>
            <w:right w:val="none" w:sz="0" w:space="0" w:color="auto"/>
          </w:divBdr>
        </w:div>
        <w:div w:id="1656033287">
          <w:marLeft w:val="0"/>
          <w:marRight w:val="0"/>
          <w:marTop w:val="0"/>
          <w:marBottom w:val="0"/>
          <w:divBdr>
            <w:top w:val="none" w:sz="0" w:space="0" w:color="auto"/>
            <w:left w:val="none" w:sz="0" w:space="0" w:color="auto"/>
            <w:bottom w:val="none" w:sz="0" w:space="0" w:color="auto"/>
            <w:right w:val="none" w:sz="0" w:space="0" w:color="auto"/>
          </w:divBdr>
        </w:div>
        <w:div w:id="1464159112">
          <w:marLeft w:val="0"/>
          <w:marRight w:val="0"/>
          <w:marTop w:val="0"/>
          <w:marBottom w:val="0"/>
          <w:divBdr>
            <w:top w:val="none" w:sz="0" w:space="0" w:color="auto"/>
            <w:left w:val="none" w:sz="0" w:space="0" w:color="auto"/>
            <w:bottom w:val="none" w:sz="0" w:space="0" w:color="auto"/>
            <w:right w:val="none" w:sz="0" w:space="0" w:color="auto"/>
          </w:divBdr>
        </w:div>
        <w:div w:id="943461507">
          <w:marLeft w:val="0"/>
          <w:marRight w:val="0"/>
          <w:marTop w:val="0"/>
          <w:marBottom w:val="0"/>
          <w:divBdr>
            <w:top w:val="none" w:sz="0" w:space="0" w:color="auto"/>
            <w:left w:val="none" w:sz="0" w:space="0" w:color="auto"/>
            <w:bottom w:val="none" w:sz="0" w:space="0" w:color="auto"/>
            <w:right w:val="none" w:sz="0" w:space="0" w:color="auto"/>
          </w:divBdr>
        </w:div>
        <w:div w:id="1646204099">
          <w:marLeft w:val="0"/>
          <w:marRight w:val="0"/>
          <w:marTop w:val="0"/>
          <w:marBottom w:val="0"/>
          <w:divBdr>
            <w:top w:val="none" w:sz="0" w:space="0" w:color="auto"/>
            <w:left w:val="none" w:sz="0" w:space="0" w:color="auto"/>
            <w:bottom w:val="none" w:sz="0" w:space="0" w:color="auto"/>
            <w:right w:val="none" w:sz="0" w:space="0" w:color="auto"/>
          </w:divBdr>
        </w:div>
        <w:div w:id="2023510073">
          <w:marLeft w:val="0"/>
          <w:marRight w:val="0"/>
          <w:marTop w:val="0"/>
          <w:marBottom w:val="0"/>
          <w:divBdr>
            <w:top w:val="none" w:sz="0" w:space="0" w:color="auto"/>
            <w:left w:val="none" w:sz="0" w:space="0" w:color="auto"/>
            <w:bottom w:val="none" w:sz="0" w:space="0" w:color="auto"/>
            <w:right w:val="none" w:sz="0" w:space="0" w:color="auto"/>
          </w:divBdr>
        </w:div>
        <w:div w:id="1166630036">
          <w:marLeft w:val="0"/>
          <w:marRight w:val="0"/>
          <w:marTop w:val="0"/>
          <w:marBottom w:val="0"/>
          <w:divBdr>
            <w:top w:val="none" w:sz="0" w:space="0" w:color="auto"/>
            <w:left w:val="none" w:sz="0" w:space="0" w:color="auto"/>
            <w:bottom w:val="none" w:sz="0" w:space="0" w:color="auto"/>
            <w:right w:val="none" w:sz="0" w:space="0" w:color="auto"/>
          </w:divBdr>
        </w:div>
      </w:divsChild>
    </w:div>
    <w:div w:id="650059103">
      <w:bodyDiv w:val="1"/>
      <w:marLeft w:val="0"/>
      <w:marRight w:val="0"/>
      <w:marTop w:val="0"/>
      <w:marBottom w:val="0"/>
      <w:divBdr>
        <w:top w:val="none" w:sz="0" w:space="0" w:color="auto"/>
        <w:left w:val="none" w:sz="0" w:space="0" w:color="auto"/>
        <w:bottom w:val="none" w:sz="0" w:space="0" w:color="auto"/>
        <w:right w:val="none" w:sz="0" w:space="0" w:color="auto"/>
      </w:divBdr>
    </w:div>
    <w:div w:id="659652417">
      <w:bodyDiv w:val="1"/>
      <w:marLeft w:val="0"/>
      <w:marRight w:val="0"/>
      <w:marTop w:val="0"/>
      <w:marBottom w:val="0"/>
      <w:divBdr>
        <w:top w:val="none" w:sz="0" w:space="0" w:color="auto"/>
        <w:left w:val="none" w:sz="0" w:space="0" w:color="auto"/>
        <w:bottom w:val="none" w:sz="0" w:space="0" w:color="auto"/>
        <w:right w:val="none" w:sz="0" w:space="0" w:color="auto"/>
      </w:divBdr>
    </w:div>
    <w:div w:id="683170974">
      <w:bodyDiv w:val="1"/>
      <w:marLeft w:val="0"/>
      <w:marRight w:val="0"/>
      <w:marTop w:val="0"/>
      <w:marBottom w:val="0"/>
      <w:divBdr>
        <w:top w:val="none" w:sz="0" w:space="0" w:color="auto"/>
        <w:left w:val="none" w:sz="0" w:space="0" w:color="auto"/>
        <w:bottom w:val="none" w:sz="0" w:space="0" w:color="auto"/>
        <w:right w:val="none" w:sz="0" w:space="0" w:color="auto"/>
      </w:divBdr>
    </w:div>
    <w:div w:id="697043016">
      <w:bodyDiv w:val="1"/>
      <w:marLeft w:val="0"/>
      <w:marRight w:val="0"/>
      <w:marTop w:val="0"/>
      <w:marBottom w:val="0"/>
      <w:divBdr>
        <w:top w:val="none" w:sz="0" w:space="0" w:color="auto"/>
        <w:left w:val="none" w:sz="0" w:space="0" w:color="auto"/>
        <w:bottom w:val="none" w:sz="0" w:space="0" w:color="auto"/>
        <w:right w:val="none" w:sz="0" w:space="0" w:color="auto"/>
      </w:divBdr>
    </w:div>
    <w:div w:id="705183008">
      <w:bodyDiv w:val="1"/>
      <w:marLeft w:val="0"/>
      <w:marRight w:val="0"/>
      <w:marTop w:val="0"/>
      <w:marBottom w:val="0"/>
      <w:divBdr>
        <w:top w:val="none" w:sz="0" w:space="0" w:color="auto"/>
        <w:left w:val="none" w:sz="0" w:space="0" w:color="auto"/>
        <w:bottom w:val="none" w:sz="0" w:space="0" w:color="auto"/>
        <w:right w:val="none" w:sz="0" w:space="0" w:color="auto"/>
      </w:divBdr>
    </w:div>
    <w:div w:id="705645351">
      <w:bodyDiv w:val="1"/>
      <w:marLeft w:val="0"/>
      <w:marRight w:val="0"/>
      <w:marTop w:val="0"/>
      <w:marBottom w:val="0"/>
      <w:divBdr>
        <w:top w:val="none" w:sz="0" w:space="0" w:color="auto"/>
        <w:left w:val="none" w:sz="0" w:space="0" w:color="auto"/>
        <w:bottom w:val="none" w:sz="0" w:space="0" w:color="auto"/>
        <w:right w:val="none" w:sz="0" w:space="0" w:color="auto"/>
      </w:divBdr>
    </w:div>
    <w:div w:id="709113639">
      <w:bodyDiv w:val="1"/>
      <w:marLeft w:val="0"/>
      <w:marRight w:val="0"/>
      <w:marTop w:val="0"/>
      <w:marBottom w:val="0"/>
      <w:divBdr>
        <w:top w:val="none" w:sz="0" w:space="0" w:color="auto"/>
        <w:left w:val="none" w:sz="0" w:space="0" w:color="auto"/>
        <w:bottom w:val="none" w:sz="0" w:space="0" w:color="auto"/>
        <w:right w:val="none" w:sz="0" w:space="0" w:color="auto"/>
      </w:divBdr>
    </w:div>
    <w:div w:id="710884158">
      <w:bodyDiv w:val="1"/>
      <w:marLeft w:val="0"/>
      <w:marRight w:val="0"/>
      <w:marTop w:val="0"/>
      <w:marBottom w:val="0"/>
      <w:divBdr>
        <w:top w:val="none" w:sz="0" w:space="0" w:color="auto"/>
        <w:left w:val="none" w:sz="0" w:space="0" w:color="auto"/>
        <w:bottom w:val="none" w:sz="0" w:space="0" w:color="auto"/>
        <w:right w:val="none" w:sz="0" w:space="0" w:color="auto"/>
      </w:divBdr>
    </w:div>
    <w:div w:id="766122165">
      <w:bodyDiv w:val="1"/>
      <w:marLeft w:val="0"/>
      <w:marRight w:val="0"/>
      <w:marTop w:val="0"/>
      <w:marBottom w:val="0"/>
      <w:divBdr>
        <w:top w:val="none" w:sz="0" w:space="0" w:color="auto"/>
        <w:left w:val="none" w:sz="0" w:space="0" w:color="auto"/>
        <w:bottom w:val="none" w:sz="0" w:space="0" w:color="auto"/>
        <w:right w:val="none" w:sz="0" w:space="0" w:color="auto"/>
      </w:divBdr>
    </w:div>
    <w:div w:id="787165865">
      <w:bodyDiv w:val="1"/>
      <w:marLeft w:val="0"/>
      <w:marRight w:val="0"/>
      <w:marTop w:val="0"/>
      <w:marBottom w:val="0"/>
      <w:divBdr>
        <w:top w:val="none" w:sz="0" w:space="0" w:color="auto"/>
        <w:left w:val="none" w:sz="0" w:space="0" w:color="auto"/>
        <w:bottom w:val="none" w:sz="0" w:space="0" w:color="auto"/>
        <w:right w:val="none" w:sz="0" w:space="0" w:color="auto"/>
      </w:divBdr>
    </w:div>
    <w:div w:id="800610888">
      <w:bodyDiv w:val="1"/>
      <w:marLeft w:val="0"/>
      <w:marRight w:val="0"/>
      <w:marTop w:val="0"/>
      <w:marBottom w:val="0"/>
      <w:divBdr>
        <w:top w:val="none" w:sz="0" w:space="0" w:color="auto"/>
        <w:left w:val="none" w:sz="0" w:space="0" w:color="auto"/>
        <w:bottom w:val="none" w:sz="0" w:space="0" w:color="auto"/>
        <w:right w:val="none" w:sz="0" w:space="0" w:color="auto"/>
      </w:divBdr>
    </w:div>
    <w:div w:id="816842910">
      <w:bodyDiv w:val="1"/>
      <w:marLeft w:val="0"/>
      <w:marRight w:val="0"/>
      <w:marTop w:val="0"/>
      <w:marBottom w:val="0"/>
      <w:divBdr>
        <w:top w:val="none" w:sz="0" w:space="0" w:color="auto"/>
        <w:left w:val="none" w:sz="0" w:space="0" w:color="auto"/>
        <w:bottom w:val="none" w:sz="0" w:space="0" w:color="auto"/>
        <w:right w:val="none" w:sz="0" w:space="0" w:color="auto"/>
      </w:divBdr>
    </w:div>
    <w:div w:id="840583294">
      <w:bodyDiv w:val="1"/>
      <w:marLeft w:val="0"/>
      <w:marRight w:val="0"/>
      <w:marTop w:val="0"/>
      <w:marBottom w:val="0"/>
      <w:divBdr>
        <w:top w:val="none" w:sz="0" w:space="0" w:color="auto"/>
        <w:left w:val="none" w:sz="0" w:space="0" w:color="auto"/>
        <w:bottom w:val="none" w:sz="0" w:space="0" w:color="auto"/>
        <w:right w:val="none" w:sz="0" w:space="0" w:color="auto"/>
      </w:divBdr>
    </w:div>
    <w:div w:id="841773565">
      <w:bodyDiv w:val="1"/>
      <w:marLeft w:val="0"/>
      <w:marRight w:val="0"/>
      <w:marTop w:val="0"/>
      <w:marBottom w:val="0"/>
      <w:divBdr>
        <w:top w:val="none" w:sz="0" w:space="0" w:color="auto"/>
        <w:left w:val="none" w:sz="0" w:space="0" w:color="auto"/>
        <w:bottom w:val="none" w:sz="0" w:space="0" w:color="auto"/>
        <w:right w:val="none" w:sz="0" w:space="0" w:color="auto"/>
      </w:divBdr>
    </w:div>
    <w:div w:id="845826184">
      <w:bodyDiv w:val="1"/>
      <w:marLeft w:val="0"/>
      <w:marRight w:val="0"/>
      <w:marTop w:val="0"/>
      <w:marBottom w:val="0"/>
      <w:divBdr>
        <w:top w:val="none" w:sz="0" w:space="0" w:color="auto"/>
        <w:left w:val="none" w:sz="0" w:space="0" w:color="auto"/>
        <w:bottom w:val="none" w:sz="0" w:space="0" w:color="auto"/>
        <w:right w:val="none" w:sz="0" w:space="0" w:color="auto"/>
      </w:divBdr>
    </w:div>
    <w:div w:id="873885385">
      <w:bodyDiv w:val="1"/>
      <w:marLeft w:val="0"/>
      <w:marRight w:val="0"/>
      <w:marTop w:val="0"/>
      <w:marBottom w:val="0"/>
      <w:divBdr>
        <w:top w:val="none" w:sz="0" w:space="0" w:color="auto"/>
        <w:left w:val="none" w:sz="0" w:space="0" w:color="auto"/>
        <w:bottom w:val="none" w:sz="0" w:space="0" w:color="auto"/>
        <w:right w:val="none" w:sz="0" w:space="0" w:color="auto"/>
      </w:divBdr>
    </w:div>
    <w:div w:id="899368015">
      <w:bodyDiv w:val="1"/>
      <w:marLeft w:val="0"/>
      <w:marRight w:val="0"/>
      <w:marTop w:val="0"/>
      <w:marBottom w:val="0"/>
      <w:divBdr>
        <w:top w:val="none" w:sz="0" w:space="0" w:color="auto"/>
        <w:left w:val="none" w:sz="0" w:space="0" w:color="auto"/>
        <w:bottom w:val="none" w:sz="0" w:space="0" w:color="auto"/>
        <w:right w:val="none" w:sz="0" w:space="0" w:color="auto"/>
      </w:divBdr>
    </w:div>
    <w:div w:id="914122846">
      <w:bodyDiv w:val="1"/>
      <w:marLeft w:val="0"/>
      <w:marRight w:val="0"/>
      <w:marTop w:val="0"/>
      <w:marBottom w:val="0"/>
      <w:divBdr>
        <w:top w:val="none" w:sz="0" w:space="0" w:color="auto"/>
        <w:left w:val="none" w:sz="0" w:space="0" w:color="auto"/>
        <w:bottom w:val="none" w:sz="0" w:space="0" w:color="auto"/>
        <w:right w:val="none" w:sz="0" w:space="0" w:color="auto"/>
      </w:divBdr>
    </w:div>
    <w:div w:id="926694038">
      <w:bodyDiv w:val="1"/>
      <w:marLeft w:val="0"/>
      <w:marRight w:val="0"/>
      <w:marTop w:val="0"/>
      <w:marBottom w:val="0"/>
      <w:divBdr>
        <w:top w:val="none" w:sz="0" w:space="0" w:color="auto"/>
        <w:left w:val="none" w:sz="0" w:space="0" w:color="auto"/>
        <w:bottom w:val="none" w:sz="0" w:space="0" w:color="auto"/>
        <w:right w:val="none" w:sz="0" w:space="0" w:color="auto"/>
      </w:divBdr>
    </w:div>
    <w:div w:id="979841921">
      <w:bodyDiv w:val="1"/>
      <w:marLeft w:val="0"/>
      <w:marRight w:val="0"/>
      <w:marTop w:val="0"/>
      <w:marBottom w:val="0"/>
      <w:divBdr>
        <w:top w:val="none" w:sz="0" w:space="0" w:color="auto"/>
        <w:left w:val="none" w:sz="0" w:space="0" w:color="auto"/>
        <w:bottom w:val="none" w:sz="0" w:space="0" w:color="auto"/>
        <w:right w:val="none" w:sz="0" w:space="0" w:color="auto"/>
      </w:divBdr>
    </w:div>
    <w:div w:id="1012151728">
      <w:bodyDiv w:val="1"/>
      <w:marLeft w:val="0"/>
      <w:marRight w:val="0"/>
      <w:marTop w:val="0"/>
      <w:marBottom w:val="0"/>
      <w:divBdr>
        <w:top w:val="none" w:sz="0" w:space="0" w:color="auto"/>
        <w:left w:val="none" w:sz="0" w:space="0" w:color="auto"/>
        <w:bottom w:val="none" w:sz="0" w:space="0" w:color="auto"/>
        <w:right w:val="none" w:sz="0" w:space="0" w:color="auto"/>
      </w:divBdr>
    </w:div>
    <w:div w:id="1061515167">
      <w:bodyDiv w:val="1"/>
      <w:marLeft w:val="0"/>
      <w:marRight w:val="0"/>
      <w:marTop w:val="0"/>
      <w:marBottom w:val="0"/>
      <w:divBdr>
        <w:top w:val="none" w:sz="0" w:space="0" w:color="auto"/>
        <w:left w:val="none" w:sz="0" w:space="0" w:color="auto"/>
        <w:bottom w:val="none" w:sz="0" w:space="0" w:color="auto"/>
        <w:right w:val="none" w:sz="0" w:space="0" w:color="auto"/>
      </w:divBdr>
    </w:div>
    <w:div w:id="1097285403">
      <w:bodyDiv w:val="1"/>
      <w:marLeft w:val="0"/>
      <w:marRight w:val="0"/>
      <w:marTop w:val="0"/>
      <w:marBottom w:val="0"/>
      <w:divBdr>
        <w:top w:val="none" w:sz="0" w:space="0" w:color="auto"/>
        <w:left w:val="none" w:sz="0" w:space="0" w:color="auto"/>
        <w:bottom w:val="none" w:sz="0" w:space="0" w:color="auto"/>
        <w:right w:val="none" w:sz="0" w:space="0" w:color="auto"/>
      </w:divBdr>
    </w:div>
    <w:div w:id="1104108827">
      <w:bodyDiv w:val="1"/>
      <w:marLeft w:val="0"/>
      <w:marRight w:val="0"/>
      <w:marTop w:val="0"/>
      <w:marBottom w:val="0"/>
      <w:divBdr>
        <w:top w:val="none" w:sz="0" w:space="0" w:color="auto"/>
        <w:left w:val="none" w:sz="0" w:space="0" w:color="auto"/>
        <w:bottom w:val="none" w:sz="0" w:space="0" w:color="auto"/>
        <w:right w:val="none" w:sz="0" w:space="0" w:color="auto"/>
      </w:divBdr>
    </w:div>
    <w:div w:id="1129055015">
      <w:bodyDiv w:val="1"/>
      <w:marLeft w:val="0"/>
      <w:marRight w:val="0"/>
      <w:marTop w:val="0"/>
      <w:marBottom w:val="0"/>
      <w:divBdr>
        <w:top w:val="none" w:sz="0" w:space="0" w:color="auto"/>
        <w:left w:val="none" w:sz="0" w:space="0" w:color="auto"/>
        <w:bottom w:val="none" w:sz="0" w:space="0" w:color="auto"/>
        <w:right w:val="none" w:sz="0" w:space="0" w:color="auto"/>
      </w:divBdr>
      <w:divsChild>
        <w:div w:id="703406573">
          <w:marLeft w:val="0"/>
          <w:marRight w:val="0"/>
          <w:marTop w:val="0"/>
          <w:marBottom w:val="0"/>
          <w:divBdr>
            <w:top w:val="none" w:sz="0" w:space="0" w:color="auto"/>
            <w:left w:val="none" w:sz="0" w:space="0" w:color="auto"/>
            <w:bottom w:val="none" w:sz="0" w:space="0" w:color="auto"/>
            <w:right w:val="none" w:sz="0" w:space="0" w:color="auto"/>
          </w:divBdr>
        </w:div>
        <w:div w:id="194392112">
          <w:marLeft w:val="0"/>
          <w:marRight w:val="0"/>
          <w:marTop w:val="0"/>
          <w:marBottom w:val="0"/>
          <w:divBdr>
            <w:top w:val="none" w:sz="0" w:space="0" w:color="auto"/>
            <w:left w:val="none" w:sz="0" w:space="0" w:color="auto"/>
            <w:bottom w:val="none" w:sz="0" w:space="0" w:color="auto"/>
            <w:right w:val="none" w:sz="0" w:space="0" w:color="auto"/>
          </w:divBdr>
        </w:div>
        <w:div w:id="1233085189">
          <w:marLeft w:val="0"/>
          <w:marRight w:val="0"/>
          <w:marTop w:val="0"/>
          <w:marBottom w:val="0"/>
          <w:divBdr>
            <w:top w:val="none" w:sz="0" w:space="0" w:color="auto"/>
            <w:left w:val="none" w:sz="0" w:space="0" w:color="auto"/>
            <w:bottom w:val="none" w:sz="0" w:space="0" w:color="auto"/>
            <w:right w:val="none" w:sz="0" w:space="0" w:color="auto"/>
          </w:divBdr>
        </w:div>
        <w:div w:id="1310162422">
          <w:marLeft w:val="0"/>
          <w:marRight w:val="0"/>
          <w:marTop w:val="0"/>
          <w:marBottom w:val="0"/>
          <w:divBdr>
            <w:top w:val="none" w:sz="0" w:space="0" w:color="auto"/>
            <w:left w:val="none" w:sz="0" w:space="0" w:color="auto"/>
            <w:bottom w:val="none" w:sz="0" w:space="0" w:color="auto"/>
            <w:right w:val="none" w:sz="0" w:space="0" w:color="auto"/>
          </w:divBdr>
        </w:div>
        <w:div w:id="2088385109">
          <w:marLeft w:val="0"/>
          <w:marRight w:val="0"/>
          <w:marTop w:val="0"/>
          <w:marBottom w:val="0"/>
          <w:divBdr>
            <w:top w:val="none" w:sz="0" w:space="0" w:color="auto"/>
            <w:left w:val="none" w:sz="0" w:space="0" w:color="auto"/>
            <w:bottom w:val="none" w:sz="0" w:space="0" w:color="auto"/>
            <w:right w:val="none" w:sz="0" w:space="0" w:color="auto"/>
          </w:divBdr>
        </w:div>
        <w:div w:id="1951550902">
          <w:marLeft w:val="0"/>
          <w:marRight w:val="0"/>
          <w:marTop w:val="0"/>
          <w:marBottom w:val="0"/>
          <w:divBdr>
            <w:top w:val="none" w:sz="0" w:space="0" w:color="auto"/>
            <w:left w:val="none" w:sz="0" w:space="0" w:color="auto"/>
            <w:bottom w:val="none" w:sz="0" w:space="0" w:color="auto"/>
            <w:right w:val="none" w:sz="0" w:space="0" w:color="auto"/>
          </w:divBdr>
        </w:div>
        <w:div w:id="1748727597">
          <w:marLeft w:val="0"/>
          <w:marRight w:val="0"/>
          <w:marTop w:val="0"/>
          <w:marBottom w:val="0"/>
          <w:divBdr>
            <w:top w:val="none" w:sz="0" w:space="0" w:color="auto"/>
            <w:left w:val="none" w:sz="0" w:space="0" w:color="auto"/>
            <w:bottom w:val="none" w:sz="0" w:space="0" w:color="auto"/>
            <w:right w:val="none" w:sz="0" w:space="0" w:color="auto"/>
          </w:divBdr>
        </w:div>
        <w:div w:id="856500895">
          <w:marLeft w:val="0"/>
          <w:marRight w:val="0"/>
          <w:marTop w:val="0"/>
          <w:marBottom w:val="0"/>
          <w:divBdr>
            <w:top w:val="none" w:sz="0" w:space="0" w:color="auto"/>
            <w:left w:val="none" w:sz="0" w:space="0" w:color="auto"/>
            <w:bottom w:val="none" w:sz="0" w:space="0" w:color="auto"/>
            <w:right w:val="none" w:sz="0" w:space="0" w:color="auto"/>
          </w:divBdr>
        </w:div>
        <w:div w:id="815684147">
          <w:marLeft w:val="0"/>
          <w:marRight w:val="0"/>
          <w:marTop w:val="0"/>
          <w:marBottom w:val="0"/>
          <w:divBdr>
            <w:top w:val="none" w:sz="0" w:space="0" w:color="auto"/>
            <w:left w:val="none" w:sz="0" w:space="0" w:color="auto"/>
            <w:bottom w:val="none" w:sz="0" w:space="0" w:color="auto"/>
            <w:right w:val="none" w:sz="0" w:space="0" w:color="auto"/>
          </w:divBdr>
        </w:div>
        <w:div w:id="1756970811">
          <w:marLeft w:val="0"/>
          <w:marRight w:val="0"/>
          <w:marTop w:val="0"/>
          <w:marBottom w:val="0"/>
          <w:divBdr>
            <w:top w:val="none" w:sz="0" w:space="0" w:color="auto"/>
            <w:left w:val="none" w:sz="0" w:space="0" w:color="auto"/>
            <w:bottom w:val="none" w:sz="0" w:space="0" w:color="auto"/>
            <w:right w:val="none" w:sz="0" w:space="0" w:color="auto"/>
          </w:divBdr>
        </w:div>
        <w:div w:id="1431465346">
          <w:marLeft w:val="0"/>
          <w:marRight w:val="0"/>
          <w:marTop w:val="0"/>
          <w:marBottom w:val="0"/>
          <w:divBdr>
            <w:top w:val="none" w:sz="0" w:space="0" w:color="auto"/>
            <w:left w:val="none" w:sz="0" w:space="0" w:color="auto"/>
            <w:bottom w:val="none" w:sz="0" w:space="0" w:color="auto"/>
            <w:right w:val="none" w:sz="0" w:space="0" w:color="auto"/>
          </w:divBdr>
        </w:div>
        <w:div w:id="918635423">
          <w:marLeft w:val="0"/>
          <w:marRight w:val="0"/>
          <w:marTop w:val="0"/>
          <w:marBottom w:val="0"/>
          <w:divBdr>
            <w:top w:val="none" w:sz="0" w:space="0" w:color="auto"/>
            <w:left w:val="none" w:sz="0" w:space="0" w:color="auto"/>
            <w:bottom w:val="none" w:sz="0" w:space="0" w:color="auto"/>
            <w:right w:val="none" w:sz="0" w:space="0" w:color="auto"/>
          </w:divBdr>
        </w:div>
        <w:div w:id="1372726837">
          <w:marLeft w:val="0"/>
          <w:marRight w:val="0"/>
          <w:marTop w:val="0"/>
          <w:marBottom w:val="0"/>
          <w:divBdr>
            <w:top w:val="none" w:sz="0" w:space="0" w:color="auto"/>
            <w:left w:val="none" w:sz="0" w:space="0" w:color="auto"/>
            <w:bottom w:val="none" w:sz="0" w:space="0" w:color="auto"/>
            <w:right w:val="none" w:sz="0" w:space="0" w:color="auto"/>
          </w:divBdr>
        </w:div>
        <w:div w:id="1080372460">
          <w:marLeft w:val="0"/>
          <w:marRight w:val="0"/>
          <w:marTop w:val="0"/>
          <w:marBottom w:val="0"/>
          <w:divBdr>
            <w:top w:val="none" w:sz="0" w:space="0" w:color="auto"/>
            <w:left w:val="none" w:sz="0" w:space="0" w:color="auto"/>
            <w:bottom w:val="none" w:sz="0" w:space="0" w:color="auto"/>
            <w:right w:val="none" w:sz="0" w:space="0" w:color="auto"/>
          </w:divBdr>
        </w:div>
        <w:div w:id="1889874966">
          <w:marLeft w:val="0"/>
          <w:marRight w:val="0"/>
          <w:marTop w:val="0"/>
          <w:marBottom w:val="0"/>
          <w:divBdr>
            <w:top w:val="none" w:sz="0" w:space="0" w:color="auto"/>
            <w:left w:val="none" w:sz="0" w:space="0" w:color="auto"/>
            <w:bottom w:val="none" w:sz="0" w:space="0" w:color="auto"/>
            <w:right w:val="none" w:sz="0" w:space="0" w:color="auto"/>
          </w:divBdr>
        </w:div>
        <w:div w:id="1049231886">
          <w:marLeft w:val="0"/>
          <w:marRight w:val="0"/>
          <w:marTop w:val="0"/>
          <w:marBottom w:val="0"/>
          <w:divBdr>
            <w:top w:val="none" w:sz="0" w:space="0" w:color="auto"/>
            <w:left w:val="none" w:sz="0" w:space="0" w:color="auto"/>
            <w:bottom w:val="none" w:sz="0" w:space="0" w:color="auto"/>
            <w:right w:val="none" w:sz="0" w:space="0" w:color="auto"/>
          </w:divBdr>
        </w:div>
        <w:div w:id="1516453729">
          <w:marLeft w:val="0"/>
          <w:marRight w:val="0"/>
          <w:marTop w:val="0"/>
          <w:marBottom w:val="0"/>
          <w:divBdr>
            <w:top w:val="none" w:sz="0" w:space="0" w:color="auto"/>
            <w:left w:val="none" w:sz="0" w:space="0" w:color="auto"/>
            <w:bottom w:val="none" w:sz="0" w:space="0" w:color="auto"/>
            <w:right w:val="none" w:sz="0" w:space="0" w:color="auto"/>
          </w:divBdr>
        </w:div>
        <w:div w:id="102388259">
          <w:marLeft w:val="0"/>
          <w:marRight w:val="0"/>
          <w:marTop w:val="0"/>
          <w:marBottom w:val="0"/>
          <w:divBdr>
            <w:top w:val="none" w:sz="0" w:space="0" w:color="auto"/>
            <w:left w:val="none" w:sz="0" w:space="0" w:color="auto"/>
            <w:bottom w:val="none" w:sz="0" w:space="0" w:color="auto"/>
            <w:right w:val="none" w:sz="0" w:space="0" w:color="auto"/>
          </w:divBdr>
        </w:div>
        <w:div w:id="655960778">
          <w:marLeft w:val="0"/>
          <w:marRight w:val="0"/>
          <w:marTop w:val="0"/>
          <w:marBottom w:val="0"/>
          <w:divBdr>
            <w:top w:val="none" w:sz="0" w:space="0" w:color="auto"/>
            <w:left w:val="none" w:sz="0" w:space="0" w:color="auto"/>
            <w:bottom w:val="none" w:sz="0" w:space="0" w:color="auto"/>
            <w:right w:val="none" w:sz="0" w:space="0" w:color="auto"/>
          </w:divBdr>
        </w:div>
        <w:div w:id="429471530">
          <w:marLeft w:val="0"/>
          <w:marRight w:val="0"/>
          <w:marTop w:val="0"/>
          <w:marBottom w:val="0"/>
          <w:divBdr>
            <w:top w:val="none" w:sz="0" w:space="0" w:color="auto"/>
            <w:left w:val="none" w:sz="0" w:space="0" w:color="auto"/>
            <w:bottom w:val="none" w:sz="0" w:space="0" w:color="auto"/>
            <w:right w:val="none" w:sz="0" w:space="0" w:color="auto"/>
          </w:divBdr>
        </w:div>
        <w:div w:id="1336883586">
          <w:marLeft w:val="0"/>
          <w:marRight w:val="0"/>
          <w:marTop w:val="0"/>
          <w:marBottom w:val="0"/>
          <w:divBdr>
            <w:top w:val="none" w:sz="0" w:space="0" w:color="auto"/>
            <w:left w:val="none" w:sz="0" w:space="0" w:color="auto"/>
            <w:bottom w:val="none" w:sz="0" w:space="0" w:color="auto"/>
            <w:right w:val="none" w:sz="0" w:space="0" w:color="auto"/>
          </w:divBdr>
        </w:div>
      </w:divsChild>
    </w:div>
    <w:div w:id="1149903017">
      <w:bodyDiv w:val="1"/>
      <w:marLeft w:val="0"/>
      <w:marRight w:val="0"/>
      <w:marTop w:val="0"/>
      <w:marBottom w:val="0"/>
      <w:divBdr>
        <w:top w:val="none" w:sz="0" w:space="0" w:color="auto"/>
        <w:left w:val="none" w:sz="0" w:space="0" w:color="auto"/>
        <w:bottom w:val="none" w:sz="0" w:space="0" w:color="auto"/>
        <w:right w:val="none" w:sz="0" w:space="0" w:color="auto"/>
      </w:divBdr>
    </w:div>
    <w:div w:id="1154687745">
      <w:bodyDiv w:val="1"/>
      <w:marLeft w:val="0"/>
      <w:marRight w:val="0"/>
      <w:marTop w:val="0"/>
      <w:marBottom w:val="0"/>
      <w:divBdr>
        <w:top w:val="none" w:sz="0" w:space="0" w:color="auto"/>
        <w:left w:val="none" w:sz="0" w:space="0" w:color="auto"/>
        <w:bottom w:val="none" w:sz="0" w:space="0" w:color="auto"/>
        <w:right w:val="none" w:sz="0" w:space="0" w:color="auto"/>
      </w:divBdr>
    </w:div>
    <w:div w:id="1158232171">
      <w:bodyDiv w:val="1"/>
      <w:marLeft w:val="0"/>
      <w:marRight w:val="0"/>
      <w:marTop w:val="0"/>
      <w:marBottom w:val="0"/>
      <w:divBdr>
        <w:top w:val="none" w:sz="0" w:space="0" w:color="auto"/>
        <w:left w:val="none" w:sz="0" w:space="0" w:color="auto"/>
        <w:bottom w:val="none" w:sz="0" w:space="0" w:color="auto"/>
        <w:right w:val="none" w:sz="0" w:space="0" w:color="auto"/>
      </w:divBdr>
    </w:div>
    <w:div w:id="1161894265">
      <w:bodyDiv w:val="1"/>
      <w:marLeft w:val="0"/>
      <w:marRight w:val="0"/>
      <w:marTop w:val="0"/>
      <w:marBottom w:val="0"/>
      <w:divBdr>
        <w:top w:val="none" w:sz="0" w:space="0" w:color="auto"/>
        <w:left w:val="none" w:sz="0" w:space="0" w:color="auto"/>
        <w:bottom w:val="none" w:sz="0" w:space="0" w:color="auto"/>
        <w:right w:val="none" w:sz="0" w:space="0" w:color="auto"/>
      </w:divBdr>
    </w:div>
    <w:div w:id="1164705948">
      <w:bodyDiv w:val="1"/>
      <w:marLeft w:val="0"/>
      <w:marRight w:val="0"/>
      <w:marTop w:val="0"/>
      <w:marBottom w:val="0"/>
      <w:divBdr>
        <w:top w:val="none" w:sz="0" w:space="0" w:color="auto"/>
        <w:left w:val="none" w:sz="0" w:space="0" w:color="auto"/>
        <w:bottom w:val="none" w:sz="0" w:space="0" w:color="auto"/>
        <w:right w:val="none" w:sz="0" w:space="0" w:color="auto"/>
      </w:divBdr>
    </w:div>
    <w:div w:id="1165777035">
      <w:bodyDiv w:val="1"/>
      <w:marLeft w:val="0"/>
      <w:marRight w:val="0"/>
      <w:marTop w:val="0"/>
      <w:marBottom w:val="0"/>
      <w:divBdr>
        <w:top w:val="none" w:sz="0" w:space="0" w:color="auto"/>
        <w:left w:val="none" w:sz="0" w:space="0" w:color="auto"/>
        <w:bottom w:val="none" w:sz="0" w:space="0" w:color="auto"/>
        <w:right w:val="none" w:sz="0" w:space="0" w:color="auto"/>
      </w:divBdr>
    </w:div>
    <w:div w:id="1167669797">
      <w:bodyDiv w:val="1"/>
      <w:marLeft w:val="0"/>
      <w:marRight w:val="0"/>
      <w:marTop w:val="0"/>
      <w:marBottom w:val="0"/>
      <w:divBdr>
        <w:top w:val="none" w:sz="0" w:space="0" w:color="auto"/>
        <w:left w:val="none" w:sz="0" w:space="0" w:color="auto"/>
        <w:bottom w:val="none" w:sz="0" w:space="0" w:color="auto"/>
        <w:right w:val="none" w:sz="0" w:space="0" w:color="auto"/>
      </w:divBdr>
    </w:div>
    <w:div w:id="1168013982">
      <w:bodyDiv w:val="1"/>
      <w:marLeft w:val="0"/>
      <w:marRight w:val="0"/>
      <w:marTop w:val="0"/>
      <w:marBottom w:val="0"/>
      <w:divBdr>
        <w:top w:val="none" w:sz="0" w:space="0" w:color="auto"/>
        <w:left w:val="none" w:sz="0" w:space="0" w:color="auto"/>
        <w:bottom w:val="none" w:sz="0" w:space="0" w:color="auto"/>
        <w:right w:val="none" w:sz="0" w:space="0" w:color="auto"/>
      </w:divBdr>
    </w:div>
    <w:div w:id="1184127262">
      <w:bodyDiv w:val="1"/>
      <w:marLeft w:val="0"/>
      <w:marRight w:val="0"/>
      <w:marTop w:val="0"/>
      <w:marBottom w:val="0"/>
      <w:divBdr>
        <w:top w:val="none" w:sz="0" w:space="0" w:color="auto"/>
        <w:left w:val="none" w:sz="0" w:space="0" w:color="auto"/>
        <w:bottom w:val="none" w:sz="0" w:space="0" w:color="auto"/>
        <w:right w:val="none" w:sz="0" w:space="0" w:color="auto"/>
      </w:divBdr>
    </w:div>
    <w:div w:id="1206724063">
      <w:bodyDiv w:val="1"/>
      <w:marLeft w:val="0"/>
      <w:marRight w:val="0"/>
      <w:marTop w:val="0"/>
      <w:marBottom w:val="0"/>
      <w:divBdr>
        <w:top w:val="none" w:sz="0" w:space="0" w:color="auto"/>
        <w:left w:val="none" w:sz="0" w:space="0" w:color="auto"/>
        <w:bottom w:val="none" w:sz="0" w:space="0" w:color="auto"/>
        <w:right w:val="none" w:sz="0" w:space="0" w:color="auto"/>
      </w:divBdr>
    </w:div>
    <w:div w:id="1243946994">
      <w:bodyDiv w:val="1"/>
      <w:marLeft w:val="0"/>
      <w:marRight w:val="0"/>
      <w:marTop w:val="0"/>
      <w:marBottom w:val="0"/>
      <w:divBdr>
        <w:top w:val="none" w:sz="0" w:space="0" w:color="auto"/>
        <w:left w:val="none" w:sz="0" w:space="0" w:color="auto"/>
        <w:bottom w:val="none" w:sz="0" w:space="0" w:color="auto"/>
        <w:right w:val="none" w:sz="0" w:space="0" w:color="auto"/>
      </w:divBdr>
    </w:div>
    <w:div w:id="1246112607">
      <w:bodyDiv w:val="1"/>
      <w:marLeft w:val="0"/>
      <w:marRight w:val="0"/>
      <w:marTop w:val="0"/>
      <w:marBottom w:val="0"/>
      <w:divBdr>
        <w:top w:val="none" w:sz="0" w:space="0" w:color="auto"/>
        <w:left w:val="none" w:sz="0" w:space="0" w:color="auto"/>
        <w:bottom w:val="none" w:sz="0" w:space="0" w:color="auto"/>
        <w:right w:val="none" w:sz="0" w:space="0" w:color="auto"/>
      </w:divBdr>
    </w:div>
    <w:div w:id="1268733482">
      <w:bodyDiv w:val="1"/>
      <w:marLeft w:val="0"/>
      <w:marRight w:val="0"/>
      <w:marTop w:val="0"/>
      <w:marBottom w:val="0"/>
      <w:divBdr>
        <w:top w:val="none" w:sz="0" w:space="0" w:color="auto"/>
        <w:left w:val="none" w:sz="0" w:space="0" w:color="auto"/>
        <w:bottom w:val="none" w:sz="0" w:space="0" w:color="auto"/>
        <w:right w:val="none" w:sz="0" w:space="0" w:color="auto"/>
      </w:divBdr>
    </w:div>
    <w:div w:id="1279680802">
      <w:bodyDiv w:val="1"/>
      <w:marLeft w:val="0"/>
      <w:marRight w:val="0"/>
      <w:marTop w:val="0"/>
      <w:marBottom w:val="0"/>
      <w:divBdr>
        <w:top w:val="none" w:sz="0" w:space="0" w:color="auto"/>
        <w:left w:val="none" w:sz="0" w:space="0" w:color="auto"/>
        <w:bottom w:val="none" w:sz="0" w:space="0" w:color="auto"/>
        <w:right w:val="none" w:sz="0" w:space="0" w:color="auto"/>
      </w:divBdr>
    </w:div>
    <w:div w:id="1280380459">
      <w:bodyDiv w:val="1"/>
      <w:marLeft w:val="0"/>
      <w:marRight w:val="0"/>
      <w:marTop w:val="0"/>
      <w:marBottom w:val="0"/>
      <w:divBdr>
        <w:top w:val="none" w:sz="0" w:space="0" w:color="auto"/>
        <w:left w:val="none" w:sz="0" w:space="0" w:color="auto"/>
        <w:bottom w:val="none" w:sz="0" w:space="0" w:color="auto"/>
        <w:right w:val="none" w:sz="0" w:space="0" w:color="auto"/>
      </w:divBdr>
    </w:div>
    <w:div w:id="1303658003">
      <w:bodyDiv w:val="1"/>
      <w:marLeft w:val="0"/>
      <w:marRight w:val="0"/>
      <w:marTop w:val="0"/>
      <w:marBottom w:val="0"/>
      <w:divBdr>
        <w:top w:val="none" w:sz="0" w:space="0" w:color="auto"/>
        <w:left w:val="none" w:sz="0" w:space="0" w:color="auto"/>
        <w:bottom w:val="none" w:sz="0" w:space="0" w:color="auto"/>
        <w:right w:val="none" w:sz="0" w:space="0" w:color="auto"/>
      </w:divBdr>
    </w:div>
    <w:div w:id="1308777504">
      <w:bodyDiv w:val="1"/>
      <w:marLeft w:val="0"/>
      <w:marRight w:val="0"/>
      <w:marTop w:val="0"/>
      <w:marBottom w:val="0"/>
      <w:divBdr>
        <w:top w:val="none" w:sz="0" w:space="0" w:color="auto"/>
        <w:left w:val="none" w:sz="0" w:space="0" w:color="auto"/>
        <w:bottom w:val="none" w:sz="0" w:space="0" w:color="auto"/>
        <w:right w:val="none" w:sz="0" w:space="0" w:color="auto"/>
      </w:divBdr>
    </w:div>
    <w:div w:id="1340933110">
      <w:bodyDiv w:val="1"/>
      <w:marLeft w:val="0"/>
      <w:marRight w:val="0"/>
      <w:marTop w:val="0"/>
      <w:marBottom w:val="0"/>
      <w:divBdr>
        <w:top w:val="none" w:sz="0" w:space="0" w:color="auto"/>
        <w:left w:val="none" w:sz="0" w:space="0" w:color="auto"/>
        <w:bottom w:val="none" w:sz="0" w:space="0" w:color="auto"/>
        <w:right w:val="none" w:sz="0" w:space="0" w:color="auto"/>
      </w:divBdr>
    </w:div>
    <w:div w:id="1398669999">
      <w:bodyDiv w:val="1"/>
      <w:marLeft w:val="0"/>
      <w:marRight w:val="0"/>
      <w:marTop w:val="0"/>
      <w:marBottom w:val="0"/>
      <w:divBdr>
        <w:top w:val="none" w:sz="0" w:space="0" w:color="auto"/>
        <w:left w:val="none" w:sz="0" w:space="0" w:color="auto"/>
        <w:bottom w:val="none" w:sz="0" w:space="0" w:color="auto"/>
        <w:right w:val="none" w:sz="0" w:space="0" w:color="auto"/>
      </w:divBdr>
    </w:div>
    <w:div w:id="1424105308">
      <w:bodyDiv w:val="1"/>
      <w:marLeft w:val="0"/>
      <w:marRight w:val="0"/>
      <w:marTop w:val="0"/>
      <w:marBottom w:val="0"/>
      <w:divBdr>
        <w:top w:val="none" w:sz="0" w:space="0" w:color="auto"/>
        <w:left w:val="none" w:sz="0" w:space="0" w:color="auto"/>
        <w:bottom w:val="none" w:sz="0" w:space="0" w:color="auto"/>
        <w:right w:val="none" w:sz="0" w:space="0" w:color="auto"/>
      </w:divBdr>
    </w:div>
    <w:div w:id="1427651544">
      <w:bodyDiv w:val="1"/>
      <w:marLeft w:val="0"/>
      <w:marRight w:val="0"/>
      <w:marTop w:val="0"/>
      <w:marBottom w:val="0"/>
      <w:divBdr>
        <w:top w:val="none" w:sz="0" w:space="0" w:color="auto"/>
        <w:left w:val="none" w:sz="0" w:space="0" w:color="auto"/>
        <w:bottom w:val="none" w:sz="0" w:space="0" w:color="auto"/>
        <w:right w:val="none" w:sz="0" w:space="0" w:color="auto"/>
      </w:divBdr>
    </w:div>
    <w:div w:id="1427842039">
      <w:bodyDiv w:val="1"/>
      <w:marLeft w:val="0"/>
      <w:marRight w:val="0"/>
      <w:marTop w:val="0"/>
      <w:marBottom w:val="0"/>
      <w:divBdr>
        <w:top w:val="none" w:sz="0" w:space="0" w:color="auto"/>
        <w:left w:val="none" w:sz="0" w:space="0" w:color="auto"/>
        <w:bottom w:val="none" w:sz="0" w:space="0" w:color="auto"/>
        <w:right w:val="none" w:sz="0" w:space="0" w:color="auto"/>
      </w:divBdr>
    </w:div>
    <w:div w:id="1436902312">
      <w:bodyDiv w:val="1"/>
      <w:marLeft w:val="0"/>
      <w:marRight w:val="0"/>
      <w:marTop w:val="0"/>
      <w:marBottom w:val="0"/>
      <w:divBdr>
        <w:top w:val="none" w:sz="0" w:space="0" w:color="auto"/>
        <w:left w:val="none" w:sz="0" w:space="0" w:color="auto"/>
        <w:bottom w:val="none" w:sz="0" w:space="0" w:color="auto"/>
        <w:right w:val="none" w:sz="0" w:space="0" w:color="auto"/>
      </w:divBdr>
    </w:div>
    <w:div w:id="1453742031">
      <w:bodyDiv w:val="1"/>
      <w:marLeft w:val="0"/>
      <w:marRight w:val="0"/>
      <w:marTop w:val="0"/>
      <w:marBottom w:val="0"/>
      <w:divBdr>
        <w:top w:val="none" w:sz="0" w:space="0" w:color="auto"/>
        <w:left w:val="none" w:sz="0" w:space="0" w:color="auto"/>
        <w:bottom w:val="none" w:sz="0" w:space="0" w:color="auto"/>
        <w:right w:val="none" w:sz="0" w:space="0" w:color="auto"/>
      </w:divBdr>
    </w:div>
    <w:div w:id="1457677333">
      <w:bodyDiv w:val="1"/>
      <w:marLeft w:val="0"/>
      <w:marRight w:val="0"/>
      <w:marTop w:val="0"/>
      <w:marBottom w:val="0"/>
      <w:divBdr>
        <w:top w:val="none" w:sz="0" w:space="0" w:color="auto"/>
        <w:left w:val="none" w:sz="0" w:space="0" w:color="auto"/>
        <w:bottom w:val="none" w:sz="0" w:space="0" w:color="auto"/>
        <w:right w:val="none" w:sz="0" w:space="0" w:color="auto"/>
      </w:divBdr>
    </w:div>
    <w:div w:id="1465586907">
      <w:bodyDiv w:val="1"/>
      <w:marLeft w:val="0"/>
      <w:marRight w:val="0"/>
      <w:marTop w:val="0"/>
      <w:marBottom w:val="0"/>
      <w:divBdr>
        <w:top w:val="none" w:sz="0" w:space="0" w:color="auto"/>
        <w:left w:val="none" w:sz="0" w:space="0" w:color="auto"/>
        <w:bottom w:val="none" w:sz="0" w:space="0" w:color="auto"/>
        <w:right w:val="none" w:sz="0" w:space="0" w:color="auto"/>
      </w:divBdr>
    </w:div>
    <w:div w:id="1473060725">
      <w:bodyDiv w:val="1"/>
      <w:marLeft w:val="0"/>
      <w:marRight w:val="0"/>
      <w:marTop w:val="0"/>
      <w:marBottom w:val="0"/>
      <w:divBdr>
        <w:top w:val="none" w:sz="0" w:space="0" w:color="auto"/>
        <w:left w:val="none" w:sz="0" w:space="0" w:color="auto"/>
        <w:bottom w:val="none" w:sz="0" w:space="0" w:color="auto"/>
        <w:right w:val="none" w:sz="0" w:space="0" w:color="auto"/>
      </w:divBdr>
    </w:div>
    <w:div w:id="1478372794">
      <w:bodyDiv w:val="1"/>
      <w:marLeft w:val="0"/>
      <w:marRight w:val="0"/>
      <w:marTop w:val="0"/>
      <w:marBottom w:val="0"/>
      <w:divBdr>
        <w:top w:val="none" w:sz="0" w:space="0" w:color="auto"/>
        <w:left w:val="none" w:sz="0" w:space="0" w:color="auto"/>
        <w:bottom w:val="none" w:sz="0" w:space="0" w:color="auto"/>
        <w:right w:val="none" w:sz="0" w:space="0" w:color="auto"/>
      </w:divBdr>
    </w:div>
    <w:div w:id="1482498128">
      <w:bodyDiv w:val="1"/>
      <w:marLeft w:val="0"/>
      <w:marRight w:val="0"/>
      <w:marTop w:val="0"/>
      <w:marBottom w:val="0"/>
      <w:divBdr>
        <w:top w:val="none" w:sz="0" w:space="0" w:color="auto"/>
        <w:left w:val="none" w:sz="0" w:space="0" w:color="auto"/>
        <w:bottom w:val="none" w:sz="0" w:space="0" w:color="auto"/>
        <w:right w:val="none" w:sz="0" w:space="0" w:color="auto"/>
      </w:divBdr>
    </w:div>
    <w:div w:id="1488017230">
      <w:bodyDiv w:val="1"/>
      <w:marLeft w:val="0"/>
      <w:marRight w:val="0"/>
      <w:marTop w:val="0"/>
      <w:marBottom w:val="0"/>
      <w:divBdr>
        <w:top w:val="none" w:sz="0" w:space="0" w:color="auto"/>
        <w:left w:val="none" w:sz="0" w:space="0" w:color="auto"/>
        <w:bottom w:val="none" w:sz="0" w:space="0" w:color="auto"/>
        <w:right w:val="none" w:sz="0" w:space="0" w:color="auto"/>
      </w:divBdr>
    </w:div>
    <w:div w:id="1520316145">
      <w:bodyDiv w:val="1"/>
      <w:marLeft w:val="0"/>
      <w:marRight w:val="0"/>
      <w:marTop w:val="0"/>
      <w:marBottom w:val="0"/>
      <w:divBdr>
        <w:top w:val="none" w:sz="0" w:space="0" w:color="auto"/>
        <w:left w:val="none" w:sz="0" w:space="0" w:color="auto"/>
        <w:bottom w:val="none" w:sz="0" w:space="0" w:color="auto"/>
        <w:right w:val="none" w:sz="0" w:space="0" w:color="auto"/>
      </w:divBdr>
    </w:div>
    <w:div w:id="1537964820">
      <w:bodyDiv w:val="1"/>
      <w:marLeft w:val="0"/>
      <w:marRight w:val="0"/>
      <w:marTop w:val="0"/>
      <w:marBottom w:val="0"/>
      <w:divBdr>
        <w:top w:val="none" w:sz="0" w:space="0" w:color="auto"/>
        <w:left w:val="none" w:sz="0" w:space="0" w:color="auto"/>
        <w:bottom w:val="none" w:sz="0" w:space="0" w:color="auto"/>
        <w:right w:val="none" w:sz="0" w:space="0" w:color="auto"/>
      </w:divBdr>
    </w:div>
    <w:div w:id="1543665102">
      <w:bodyDiv w:val="1"/>
      <w:marLeft w:val="0"/>
      <w:marRight w:val="0"/>
      <w:marTop w:val="0"/>
      <w:marBottom w:val="0"/>
      <w:divBdr>
        <w:top w:val="none" w:sz="0" w:space="0" w:color="auto"/>
        <w:left w:val="none" w:sz="0" w:space="0" w:color="auto"/>
        <w:bottom w:val="none" w:sz="0" w:space="0" w:color="auto"/>
        <w:right w:val="none" w:sz="0" w:space="0" w:color="auto"/>
      </w:divBdr>
    </w:div>
    <w:div w:id="1544974786">
      <w:bodyDiv w:val="1"/>
      <w:marLeft w:val="0"/>
      <w:marRight w:val="0"/>
      <w:marTop w:val="0"/>
      <w:marBottom w:val="0"/>
      <w:divBdr>
        <w:top w:val="none" w:sz="0" w:space="0" w:color="auto"/>
        <w:left w:val="none" w:sz="0" w:space="0" w:color="auto"/>
        <w:bottom w:val="none" w:sz="0" w:space="0" w:color="auto"/>
        <w:right w:val="none" w:sz="0" w:space="0" w:color="auto"/>
      </w:divBdr>
    </w:div>
    <w:div w:id="1623926860">
      <w:bodyDiv w:val="1"/>
      <w:marLeft w:val="0"/>
      <w:marRight w:val="0"/>
      <w:marTop w:val="0"/>
      <w:marBottom w:val="0"/>
      <w:divBdr>
        <w:top w:val="none" w:sz="0" w:space="0" w:color="auto"/>
        <w:left w:val="none" w:sz="0" w:space="0" w:color="auto"/>
        <w:bottom w:val="none" w:sz="0" w:space="0" w:color="auto"/>
        <w:right w:val="none" w:sz="0" w:space="0" w:color="auto"/>
      </w:divBdr>
    </w:div>
    <w:div w:id="1635480600">
      <w:bodyDiv w:val="1"/>
      <w:marLeft w:val="0"/>
      <w:marRight w:val="0"/>
      <w:marTop w:val="0"/>
      <w:marBottom w:val="0"/>
      <w:divBdr>
        <w:top w:val="none" w:sz="0" w:space="0" w:color="auto"/>
        <w:left w:val="none" w:sz="0" w:space="0" w:color="auto"/>
        <w:bottom w:val="none" w:sz="0" w:space="0" w:color="auto"/>
        <w:right w:val="none" w:sz="0" w:space="0" w:color="auto"/>
      </w:divBdr>
    </w:div>
    <w:div w:id="1653171693">
      <w:bodyDiv w:val="1"/>
      <w:marLeft w:val="0"/>
      <w:marRight w:val="0"/>
      <w:marTop w:val="0"/>
      <w:marBottom w:val="0"/>
      <w:divBdr>
        <w:top w:val="none" w:sz="0" w:space="0" w:color="auto"/>
        <w:left w:val="none" w:sz="0" w:space="0" w:color="auto"/>
        <w:bottom w:val="none" w:sz="0" w:space="0" w:color="auto"/>
        <w:right w:val="none" w:sz="0" w:space="0" w:color="auto"/>
      </w:divBdr>
    </w:div>
    <w:div w:id="1683118325">
      <w:bodyDiv w:val="1"/>
      <w:marLeft w:val="0"/>
      <w:marRight w:val="0"/>
      <w:marTop w:val="0"/>
      <w:marBottom w:val="0"/>
      <w:divBdr>
        <w:top w:val="none" w:sz="0" w:space="0" w:color="auto"/>
        <w:left w:val="none" w:sz="0" w:space="0" w:color="auto"/>
        <w:bottom w:val="none" w:sz="0" w:space="0" w:color="auto"/>
        <w:right w:val="none" w:sz="0" w:space="0" w:color="auto"/>
      </w:divBdr>
    </w:div>
    <w:div w:id="1709722010">
      <w:bodyDiv w:val="1"/>
      <w:marLeft w:val="0"/>
      <w:marRight w:val="0"/>
      <w:marTop w:val="0"/>
      <w:marBottom w:val="0"/>
      <w:divBdr>
        <w:top w:val="none" w:sz="0" w:space="0" w:color="auto"/>
        <w:left w:val="none" w:sz="0" w:space="0" w:color="auto"/>
        <w:bottom w:val="none" w:sz="0" w:space="0" w:color="auto"/>
        <w:right w:val="none" w:sz="0" w:space="0" w:color="auto"/>
      </w:divBdr>
    </w:div>
    <w:div w:id="1720856179">
      <w:bodyDiv w:val="1"/>
      <w:marLeft w:val="0"/>
      <w:marRight w:val="0"/>
      <w:marTop w:val="0"/>
      <w:marBottom w:val="0"/>
      <w:divBdr>
        <w:top w:val="none" w:sz="0" w:space="0" w:color="auto"/>
        <w:left w:val="none" w:sz="0" w:space="0" w:color="auto"/>
        <w:bottom w:val="none" w:sz="0" w:space="0" w:color="auto"/>
        <w:right w:val="none" w:sz="0" w:space="0" w:color="auto"/>
      </w:divBdr>
    </w:div>
    <w:div w:id="1786535590">
      <w:bodyDiv w:val="1"/>
      <w:marLeft w:val="0"/>
      <w:marRight w:val="0"/>
      <w:marTop w:val="0"/>
      <w:marBottom w:val="0"/>
      <w:divBdr>
        <w:top w:val="none" w:sz="0" w:space="0" w:color="auto"/>
        <w:left w:val="none" w:sz="0" w:space="0" w:color="auto"/>
        <w:bottom w:val="none" w:sz="0" w:space="0" w:color="auto"/>
        <w:right w:val="none" w:sz="0" w:space="0" w:color="auto"/>
      </w:divBdr>
    </w:div>
    <w:div w:id="1827090340">
      <w:bodyDiv w:val="1"/>
      <w:marLeft w:val="0"/>
      <w:marRight w:val="0"/>
      <w:marTop w:val="0"/>
      <w:marBottom w:val="0"/>
      <w:divBdr>
        <w:top w:val="none" w:sz="0" w:space="0" w:color="auto"/>
        <w:left w:val="none" w:sz="0" w:space="0" w:color="auto"/>
        <w:bottom w:val="none" w:sz="0" w:space="0" w:color="auto"/>
        <w:right w:val="none" w:sz="0" w:space="0" w:color="auto"/>
      </w:divBdr>
    </w:div>
    <w:div w:id="1839732246">
      <w:bodyDiv w:val="1"/>
      <w:marLeft w:val="0"/>
      <w:marRight w:val="0"/>
      <w:marTop w:val="0"/>
      <w:marBottom w:val="0"/>
      <w:divBdr>
        <w:top w:val="none" w:sz="0" w:space="0" w:color="auto"/>
        <w:left w:val="none" w:sz="0" w:space="0" w:color="auto"/>
        <w:bottom w:val="none" w:sz="0" w:space="0" w:color="auto"/>
        <w:right w:val="none" w:sz="0" w:space="0" w:color="auto"/>
      </w:divBdr>
    </w:div>
    <w:div w:id="1849060287">
      <w:bodyDiv w:val="1"/>
      <w:marLeft w:val="0"/>
      <w:marRight w:val="0"/>
      <w:marTop w:val="0"/>
      <w:marBottom w:val="0"/>
      <w:divBdr>
        <w:top w:val="none" w:sz="0" w:space="0" w:color="auto"/>
        <w:left w:val="none" w:sz="0" w:space="0" w:color="auto"/>
        <w:bottom w:val="none" w:sz="0" w:space="0" w:color="auto"/>
        <w:right w:val="none" w:sz="0" w:space="0" w:color="auto"/>
      </w:divBdr>
    </w:div>
    <w:div w:id="1895458336">
      <w:bodyDiv w:val="1"/>
      <w:marLeft w:val="0"/>
      <w:marRight w:val="0"/>
      <w:marTop w:val="0"/>
      <w:marBottom w:val="0"/>
      <w:divBdr>
        <w:top w:val="none" w:sz="0" w:space="0" w:color="auto"/>
        <w:left w:val="none" w:sz="0" w:space="0" w:color="auto"/>
        <w:bottom w:val="none" w:sz="0" w:space="0" w:color="auto"/>
        <w:right w:val="none" w:sz="0" w:space="0" w:color="auto"/>
      </w:divBdr>
    </w:div>
    <w:div w:id="1912159123">
      <w:bodyDiv w:val="1"/>
      <w:marLeft w:val="0"/>
      <w:marRight w:val="0"/>
      <w:marTop w:val="0"/>
      <w:marBottom w:val="0"/>
      <w:divBdr>
        <w:top w:val="none" w:sz="0" w:space="0" w:color="auto"/>
        <w:left w:val="none" w:sz="0" w:space="0" w:color="auto"/>
        <w:bottom w:val="none" w:sz="0" w:space="0" w:color="auto"/>
        <w:right w:val="none" w:sz="0" w:space="0" w:color="auto"/>
      </w:divBdr>
    </w:div>
    <w:div w:id="1937519978">
      <w:bodyDiv w:val="1"/>
      <w:marLeft w:val="0"/>
      <w:marRight w:val="0"/>
      <w:marTop w:val="0"/>
      <w:marBottom w:val="0"/>
      <w:divBdr>
        <w:top w:val="none" w:sz="0" w:space="0" w:color="auto"/>
        <w:left w:val="none" w:sz="0" w:space="0" w:color="auto"/>
        <w:bottom w:val="none" w:sz="0" w:space="0" w:color="auto"/>
        <w:right w:val="none" w:sz="0" w:space="0" w:color="auto"/>
      </w:divBdr>
    </w:div>
    <w:div w:id="1952125076">
      <w:bodyDiv w:val="1"/>
      <w:marLeft w:val="0"/>
      <w:marRight w:val="0"/>
      <w:marTop w:val="0"/>
      <w:marBottom w:val="0"/>
      <w:divBdr>
        <w:top w:val="none" w:sz="0" w:space="0" w:color="auto"/>
        <w:left w:val="none" w:sz="0" w:space="0" w:color="auto"/>
        <w:bottom w:val="none" w:sz="0" w:space="0" w:color="auto"/>
        <w:right w:val="none" w:sz="0" w:space="0" w:color="auto"/>
      </w:divBdr>
    </w:div>
    <w:div w:id="1953317877">
      <w:bodyDiv w:val="1"/>
      <w:marLeft w:val="0"/>
      <w:marRight w:val="0"/>
      <w:marTop w:val="0"/>
      <w:marBottom w:val="0"/>
      <w:divBdr>
        <w:top w:val="none" w:sz="0" w:space="0" w:color="auto"/>
        <w:left w:val="none" w:sz="0" w:space="0" w:color="auto"/>
        <w:bottom w:val="none" w:sz="0" w:space="0" w:color="auto"/>
        <w:right w:val="none" w:sz="0" w:space="0" w:color="auto"/>
      </w:divBdr>
    </w:div>
    <w:div w:id="2018580866">
      <w:bodyDiv w:val="1"/>
      <w:marLeft w:val="0"/>
      <w:marRight w:val="0"/>
      <w:marTop w:val="0"/>
      <w:marBottom w:val="0"/>
      <w:divBdr>
        <w:top w:val="none" w:sz="0" w:space="0" w:color="auto"/>
        <w:left w:val="none" w:sz="0" w:space="0" w:color="auto"/>
        <w:bottom w:val="none" w:sz="0" w:space="0" w:color="auto"/>
        <w:right w:val="none" w:sz="0" w:space="0" w:color="auto"/>
      </w:divBdr>
    </w:div>
    <w:div w:id="2039349451">
      <w:bodyDiv w:val="1"/>
      <w:marLeft w:val="0"/>
      <w:marRight w:val="0"/>
      <w:marTop w:val="0"/>
      <w:marBottom w:val="0"/>
      <w:divBdr>
        <w:top w:val="none" w:sz="0" w:space="0" w:color="auto"/>
        <w:left w:val="none" w:sz="0" w:space="0" w:color="auto"/>
        <w:bottom w:val="none" w:sz="0" w:space="0" w:color="auto"/>
        <w:right w:val="none" w:sz="0" w:space="0" w:color="auto"/>
      </w:divBdr>
    </w:div>
    <w:div w:id="2043437845">
      <w:bodyDiv w:val="1"/>
      <w:marLeft w:val="0"/>
      <w:marRight w:val="0"/>
      <w:marTop w:val="0"/>
      <w:marBottom w:val="0"/>
      <w:divBdr>
        <w:top w:val="none" w:sz="0" w:space="0" w:color="auto"/>
        <w:left w:val="none" w:sz="0" w:space="0" w:color="auto"/>
        <w:bottom w:val="none" w:sz="0" w:space="0" w:color="auto"/>
        <w:right w:val="none" w:sz="0" w:space="0" w:color="auto"/>
      </w:divBdr>
    </w:div>
    <w:div w:id="2091079371">
      <w:bodyDiv w:val="1"/>
      <w:marLeft w:val="0"/>
      <w:marRight w:val="0"/>
      <w:marTop w:val="0"/>
      <w:marBottom w:val="0"/>
      <w:divBdr>
        <w:top w:val="none" w:sz="0" w:space="0" w:color="auto"/>
        <w:left w:val="none" w:sz="0" w:space="0" w:color="auto"/>
        <w:bottom w:val="none" w:sz="0" w:space="0" w:color="auto"/>
        <w:right w:val="none" w:sz="0" w:space="0" w:color="auto"/>
      </w:divBdr>
    </w:div>
    <w:div w:id="2094429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dubaided.gov.ae" TargetMode="External"/><Relationship Id="rId21" Type="http://schemas.openxmlformats.org/officeDocument/2006/relationships/hyperlink" Target="https://www.adia.ae/" TargetMode="External"/><Relationship Id="rId63" Type="http://schemas.openxmlformats.org/officeDocument/2006/relationships/hyperlink" Target="http://en.wikipedia.org/wiki/United_Nations_Industrial_Development_Organization" TargetMode="External"/><Relationship Id="rId159" Type="http://schemas.openxmlformats.org/officeDocument/2006/relationships/hyperlink" Target="https://www.diez.ae/" TargetMode="External"/><Relationship Id="rId170" Type="http://schemas.openxmlformats.org/officeDocument/2006/relationships/hyperlink" Target="https://dda.gov.ae/en/registration-licensing/setting-up-a-business" TargetMode="External"/><Relationship Id="rId226" Type="http://schemas.openxmlformats.org/officeDocument/2006/relationships/hyperlink" Target="http://www.galadarilaw.com/" TargetMode="External"/><Relationship Id="rId268" Type="http://schemas.openxmlformats.org/officeDocument/2006/relationships/footer" Target="footer1.xml"/><Relationship Id="rId11" Type="http://schemas.openxmlformats.org/officeDocument/2006/relationships/image" Target="media/image3.png"/><Relationship Id="rId32" Type="http://schemas.openxmlformats.org/officeDocument/2006/relationships/hyperlink" Target="http://en.wikipedia.org/wiki/International_Atomic_Energy_Agency" TargetMode="External"/><Relationship Id="rId53" Type="http://schemas.openxmlformats.org/officeDocument/2006/relationships/hyperlink" Target="http://en.wikipedia.org/wiki/League_of_Arab_States" TargetMode="External"/><Relationship Id="rId74" Type="http://schemas.openxmlformats.org/officeDocument/2006/relationships/hyperlink" Target="https://u.ae/en" TargetMode="External"/><Relationship Id="rId128" Type="http://schemas.openxmlformats.org/officeDocument/2006/relationships/hyperlink" Target="mailto:info.md@md.uaqgov.ae" TargetMode="External"/><Relationship Id="rId149" Type="http://schemas.openxmlformats.org/officeDocument/2006/relationships/hyperlink" Target="https://nip.ae/" TargetMode="External"/><Relationship Id="rId5" Type="http://schemas.openxmlformats.org/officeDocument/2006/relationships/settings" Target="settings.xml"/><Relationship Id="rId95" Type="http://schemas.openxmlformats.org/officeDocument/2006/relationships/hyperlink" Target="https://www.adports.ae/core-business/ports-terminals/ports/zayed-port/" TargetMode="External"/><Relationship Id="rId160" Type="http://schemas.openxmlformats.org/officeDocument/2006/relationships/hyperlink" Target="mailto:inquiries@dso.ae" TargetMode="External"/><Relationship Id="rId181" Type="http://schemas.openxmlformats.org/officeDocument/2006/relationships/hyperlink" Target="https://dubaidesigndistrict.com/" TargetMode="External"/><Relationship Id="rId216" Type="http://schemas.openxmlformats.org/officeDocument/2006/relationships/hyperlink" Target="http://www.tamimi.com" TargetMode="External"/><Relationship Id="rId237" Type="http://schemas.openxmlformats.org/officeDocument/2006/relationships/hyperlink" Target="mailto:I.Petras@altamimi.com" TargetMode="External"/><Relationship Id="rId258" Type="http://schemas.openxmlformats.org/officeDocument/2006/relationships/hyperlink" Target="http://www.khaleejtimes.com/" TargetMode="External"/><Relationship Id="rId22" Type="http://schemas.openxmlformats.org/officeDocument/2006/relationships/hyperlink" Target="https://icd.gov.ae/" TargetMode="External"/><Relationship Id="rId43" Type="http://schemas.openxmlformats.org/officeDocument/2006/relationships/hyperlink" Target="http://en.wikipedia.org/wiki/International_Labour_Organization" TargetMode="External"/><Relationship Id="rId64" Type="http://schemas.openxmlformats.org/officeDocument/2006/relationships/hyperlink" Target="http://en.wikipedia.org/wiki/Universal_Postal_Union" TargetMode="External"/><Relationship Id="rId118" Type="http://schemas.openxmlformats.org/officeDocument/2006/relationships/hyperlink" Target="http://www.visitdubai.com" TargetMode="External"/><Relationship Id="rId139" Type="http://schemas.openxmlformats.org/officeDocument/2006/relationships/hyperlink" Target="https://www.kezadgroup.com/free-zone/" TargetMode="External"/><Relationship Id="rId85" Type="http://schemas.openxmlformats.org/officeDocument/2006/relationships/hyperlink" Target="https://fcsc.gov.ae/en-us" TargetMode="External"/><Relationship Id="rId150" Type="http://schemas.openxmlformats.org/officeDocument/2006/relationships/hyperlink" Target="mailto:customercare@dmcc.ae" TargetMode="External"/><Relationship Id="rId171" Type="http://schemas.openxmlformats.org/officeDocument/2006/relationships/hyperlink" Target="https://dpc.ae/" TargetMode="External"/><Relationship Id="rId192" Type="http://schemas.openxmlformats.org/officeDocument/2006/relationships/hyperlink" Target="mailto:info@saif-zone.com" TargetMode="External"/><Relationship Id="rId206" Type="http://schemas.openxmlformats.org/officeDocument/2006/relationships/hyperlink" Target="mailto:freezone@emirates.net.ae" TargetMode="External"/><Relationship Id="rId227" Type="http://schemas.openxmlformats.org/officeDocument/2006/relationships/hyperlink" Target="http://www.ha-lawfirm.net/" TargetMode="External"/><Relationship Id="rId248" Type="http://schemas.openxmlformats.org/officeDocument/2006/relationships/hyperlink" Target="mailto:Alexandros.Roussos@gtlaw.com" TargetMode="External"/><Relationship Id="rId269" Type="http://schemas.openxmlformats.org/officeDocument/2006/relationships/fontTable" Target="fontTable.xml"/><Relationship Id="rId12" Type="http://schemas.openxmlformats.org/officeDocument/2006/relationships/image" Target="media/image4.png"/><Relationship Id="rId33" Type="http://schemas.openxmlformats.org/officeDocument/2006/relationships/hyperlink" Target="http://en.wikipedia.org/wiki/International_Bank_for_Reconstruction_and_Development" TargetMode="External"/><Relationship Id="rId108" Type="http://schemas.openxmlformats.org/officeDocument/2006/relationships/hyperlink" Target="mailto:eservices@adeconomy.ae" TargetMode="External"/><Relationship Id="rId129" Type="http://schemas.openxmlformats.org/officeDocument/2006/relationships/hyperlink" Target="http://md.uaq.ae/en/home.html" TargetMode="External"/><Relationship Id="rId54" Type="http://schemas.openxmlformats.org/officeDocument/2006/relationships/hyperlink" Target="http://en.wikipedia.org/wiki/Multilateral_Investment_Guarantee_Agency" TargetMode="External"/><Relationship Id="rId75" Type="http://schemas.openxmlformats.org/officeDocument/2006/relationships/hyperlink" Target="https://uaecabinet.ae/en" TargetMode="External"/><Relationship Id="rId96" Type="http://schemas.openxmlformats.org/officeDocument/2006/relationships/hyperlink" Target="https://www.dpworld.com/en/uae/ports-and-terminals/jebel-ali-port" TargetMode="External"/><Relationship Id="rId140" Type="http://schemas.openxmlformats.org/officeDocument/2006/relationships/hyperlink" Target="mailto:info@adafz.ae" TargetMode="External"/><Relationship Id="rId161" Type="http://schemas.openxmlformats.org/officeDocument/2006/relationships/hyperlink" Target="http://www.dsoa.ae" TargetMode="External"/><Relationship Id="rId182" Type="http://schemas.openxmlformats.org/officeDocument/2006/relationships/hyperlink" Target="mailto:info@dhcc.ae" TargetMode="External"/><Relationship Id="rId217" Type="http://schemas.openxmlformats.org/officeDocument/2006/relationships/hyperlink" Target="http://www.awiglaw.ae/" TargetMode="External"/><Relationship Id="rId6" Type="http://schemas.openxmlformats.org/officeDocument/2006/relationships/webSettings" Target="webSettings.xml"/><Relationship Id="rId238" Type="http://schemas.openxmlformats.org/officeDocument/2006/relationships/hyperlink" Target="http://www.altamimi.com" TargetMode="External"/><Relationship Id="rId259" Type="http://schemas.openxmlformats.org/officeDocument/2006/relationships/hyperlink" Target="https://english.alarabiya.net/" TargetMode="External"/><Relationship Id="rId23" Type="http://schemas.openxmlformats.org/officeDocument/2006/relationships/hyperlink" Target="https://www.mubadala.com/" TargetMode="External"/><Relationship Id="rId119" Type="http://schemas.openxmlformats.org/officeDocument/2006/relationships/hyperlink" Target="https://www.visitdubai.com/en/department-of-tourism" TargetMode="External"/><Relationship Id="rId270" Type="http://schemas.openxmlformats.org/officeDocument/2006/relationships/theme" Target="theme/theme1.xml"/><Relationship Id="rId44" Type="http://schemas.openxmlformats.org/officeDocument/2006/relationships/hyperlink" Target="http://en.wikipedia.org/wiki/International_Maritime_Organization" TargetMode="External"/><Relationship Id="rId65" Type="http://schemas.openxmlformats.org/officeDocument/2006/relationships/hyperlink" Target="http://en.wikipedia.org/wiki/World_Customs_Organization" TargetMode="External"/><Relationship Id="rId86" Type="http://schemas.openxmlformats.org/officeDocument/2006/relationships/hyperlink" Target="https://scad.ae" TargetMode="External"/><Relationship Id="rId130" Type="http://schemas.openxmlformats.org/officeDocument/2006/relationships/hyperlink" Target="mailto:info@uaqded.gov.ae" TargetMode="External"/><Relationship Id="rId151" Type="http://schemas.openxmlformats.org/officeDocument/2006/relationships/hyperlink" Target="http://www.dmcc.ae" TargetMode="External"/><Relationship Id="rId172" Type="http://schemas.openxmlformats.org/officeDocument/2006/relationships/hyperlink" Target="https://dda.gov.ae/en/registration-licensing/setting-up-a-business" TargetMode="External"/><Relationship Id="rId193" Type="http://schemas.openxmlformats.org/officeDocument/2006/relationships/hyperlink" Target="http://www.saif-zone.com" TargetMode="External"/><Relationship Id="rId207" Type="http://schemas.openxmlformats.org/officeDocument/2006/relationships/hyperlink" Target="http://www.fujairahfreezone.com" TargetMode="External"/><Relationship Id="rId228" Type="http://schemas.openxmlformats.org/officeDocument/2006/relationships/hyperlink" Target="http://www.jamesberrylaw.com/" TargetMode="External"/><Relationship Id="rId249" Type="http://schemas.openxmlformats.org/officeDocument/2006/relationships/hyperlink" Target="mailto:j.paravalos@insightuae.com" TargetMode="External"/><Relationship Id="rId13" Type="http://schemas.openxmlformats.org/officeDocument/2006/relationships/hyperlink" Target="https://u.ae/en/about-the-uae/strategies-initiatives-and-awards/strategies-plans-and-visions/innovation-and-future-shaping/we-the-uae-2031-vision" TargetMode="External"/><Relationship Id="rId109" Type="http://schemas.openxmlformats.org/officeDocument/2006/relationships/hyperlink" Target="https://ded.abudhabi.ae/en" TargetMode="External"/><Relationship Id="rId260" Type="http://schemas.openxmlformats.org/officeDocument/2006/relationships/hyperlink" Target="https://www.agbi.com/" TargetMode="External"/><Relationship Id="rId34" Type="http://schemas.openxmlformats.org/officeDocument/2006/relationships/hyperlink" Target="http://en.wikipedia.org/wiki/International_Chamber_of_Commerce" TargetMode="External"/><Relationship Id="rId55" Type="http://schemas.openxmlformats.org/officeDocument/2006/relationships/hyperlink" Target="http://en.wikipedia.org/wiki/Nonaligned_Movement" TargetMode="External"/><Relationship Id="rId76" Type="http://schemas.openxmlformats.org/officeDocument/2006/relationships/hyperlink" Target="https://u.ae/en/about-the-uae/the-uae-government/the-local-governments-of-the-seven-emirates" TargetMode="External"/><Relationship Id="rId97" Type="http://schemas.openxmlformats.org/officeDocument/2006/relationships/hyperlink" Target="http://www.abudhabiairport.ae" TargetMode="External"/><Relationship Id="rId120" Type="http://schemas.openxmlformats.org/officeDocument/2006/relationships/hyperlink" Target="mailto:customer.relationship@trk.pcfc.ae" TargetMode="External"/><Relationship Id="rId141" Type="http://schemas.openxmlformats.org/officeDocument/2006/relationships/hyperlink" Target="http://www.adafz.ae" TargetMode="External"/><Relationship Id="rId7" Type="http://schemas.openxmlformats.org/officeDocument/2006/relationships/footnotes" Target="footnotes.xml"/><Relationship Id="rId162" Type="http://schemas.openxmlformats.org/officeDocument/2006/relationships/hyperlink" Target="https://www.diez.ae/" TargetMode="External"/><Relationship Id="rId183" Type="http://schemas.openxmlformats.org/officeDocument/2006/relationships/hyperlink" Target="http://www.dhcc.ae" TargetMode="External"/><Relationship Id="rId218" Type="http://schemas.openxmlformats.org/officeDocument/2006/relationships/hyperlink" Target="http://www.allenovery.com/" TargetMode="External"/><Relationship Id="rId239" Type="http://schemas.openxmlformats.org/officeDocument/2006/relationships/hyperlink" Target="mailto:george.chrysospathis@allenovery.com" TargetMode="External"/><Relationship Id="rId250" Type="http://schemas.openxmlformats.org/officeDocument/2006/relationships/hyperlink" Target="http://www.insightuae.com" TargetMode="External"/><Relationship Id="rId24" Type="http://schemas.openxmlformats.org/officeDocument/2006/relationships/hyperlink" Target="https://www.adq.ae/" TargetMode="External"/><Relationship Id="rId45" Type="http://schemas.openxmlformats.org/officeDocument/2006/relationships/hyperlink" Target="http://en.wikipedia.org/wiki/International_Mobile_Satellite_Organization" TargetMode="External"/><Relationship Id="rId66" Type="http://schemas.openxmlformats.org/officeDocument/2006/relationships/hyperlink" Target="http://en.wikipedia.org/wiki/World_Federation_of_Trade_Unions" TargetMode="External"/><Relationship Id="rId87" Type="http://schemas.openxmlformats.org/officeDocument/2006/relationships/hyperlink" Target="http://www.dsc.gov.ae" TargetMode="External"/><Relationship Id="rId110" Type="http://schemas.openxmlformats.org/officeDocument/2006/relationships/hyperlink" Target="mailto:bd@zonescorp.com" TargetMode="External"/><Relationship Id="rId131" Type="http://schemas.openxmlformats.org/officeDocument/2006/relationships/hyperlink" Target="http://ded.uaq.ae/" TargetMode="External"/><Relationship Id="rId152" Type="http://schemas.openxmlformats.org/officeDocument/2006/relationships/hyperlink" Target="mailto:info@dmca.ae" TargetMode="External"/><Relationship Id="rId173" Type="http://schemas.openxmlformats.org/officeDocument/2006/relationships/hyperlink" Target="http://www.dubaistudiocity.ae" TargetMode="External"/><Relationship Id="rId194" Type="http://schemas.openxmlformats.org/officeDocument/2006/relationships/hyperlink" Target="mailto:sales@hfza.ae" TargetMode="External"/><Relationship Id="rId208" Type="http://schemas.openxmlformats.org/officeDocument/2006/relationships/hyperlink" Target="https://creativecity.ae/" TargetMode="External"/><Relationship Id="rId229" Type="http://schemas.openxmlformats.org/officeDocument/2006/relationships/hyperlink" Target="http://www.almidfalawyers.com/" TargetMode="External"/><Relationship Id="rId240" Type="http://schemas.openxmlformats.org/officeDocument/2006/relationships/hyperlink" Target="http://www.allenovery.com" TargetMode="External"/><Relationship Id="rId261" Type="http://schemas.openxmlformats.org/officeDocument/2006/relationships/hyperlink" Target="http://www.zawya.com" TargetMode="External"/><Relationship Id="rId14" Type="http://schemas.openxmlformats.org/officeDocument/2006/relationships/hyperlink" Target="https://u.ae/en/about-the-uae/strategies-initiatives-and-awards/strategies-plans-and-visions/innovation-and-future-shaping/uae-centennial-2071" TargetMode="External"/><Relationship Id="rId35" Type="http://schemas.openxmlformats.org/officeDocument/2006/relationships/hyperlink" Target="http://en.wikipedia.org/wiki/International_Civil_Aviation_Organization" TargetMode="External"/><Relationship Id="rId56" Type="http://schemas.openxmlformats.org/officeDocument/2006/relationships/hyperlink" Target="http://en.wikipedia.org/wiki/Organisation_of_Islamic_Cooperation" TargetMode="External"/><Relationship Id="rId77" Type="http://schemas.openxmlformats.org/officeDocument/2006/relationships/hyperlink" Target="https://www.tamm.abudhabi/" TargetMode="External"/><Relationship Id="rId100" Type="http://schemas.openxmlformats.org/officeDocument/2006/relationships/hyperlink" Target="http://www.abudhabichamber.ae/" TargetMode="External"/><Relationship Id="rId8" Type="http://schemas.openxmlformats.org/officeDocument/2006/relationships/endnotes" Target="endnotes.xml"/><Relationship Id="rId98" Type="http://schemas.openxmlformats.org/officeDocument/2006/relationships/hyperlink" Target="http://www.dubaiairports.ae/" TargetMode="External"/><Relationship Id="rId121" Type="http://schemas.openxmlformats.org/officeDocument/2006/relationships/hyperlink" Target="http://www.trakhees.ae" TargetMode="External"/><Relationship Id="rId142" Type="http://schemas.openxmlformats.org/officeDocument/2006/relationships/hyperlink" Target="http://www.masdarcity.ae" TargetMode="External"/><Relationship Id="rId163" Type="http://schemas.openxmlformats.org/officeDocument/2006/relationships/hyperlink" Target="https://www.dubaicommercity.ae/" TargetMode="External"/><Relationship Id="rId184" Type="http://schemas.openxmlformats.org/officeDocument/2006/relationships/hyperlink" Target="mailto:INFO@DUBAISOUTH.AE" TargetMode="External"/><Relationship Id="rId219" Type="http://schemas.openxmlformats.org/officeDocument/2006/relationships/hyperlink" Target="https://bracewell.com/" TargetMode="External"/><Relationship Id="rId230" Type="http://schemas.openxmlformats.org/officeDocument/2006/relationships/hyperlink" Target="http://www.samiragargash.com/" TargetMode="External"/><Relationship Id="rId251" Type="http://schemas.openxmlformats.org/officeDocument/2006/relationships/hyperlink" Target="mailto:joseph@hcs-corporate.com" TargetMode="External"/><Relationship Id="rId25" Type="http://schemas.openxmlformats.org/officeDocument/2006/relationships/hyperlink" Target="https://www.eia.gov.ae/" TargetMode="External"/><Relationship Id="rId46" Type="http://schemas.openxmlformats.org/officeDocument/2006/relationships/hyperlink" Target="http://en.wikipedia.org/wiki/International_Monetary_Fund" TargetMode="External"/><Relationship Id="rId67" Type="http://schemas.openxmlformats.org/officeDocument/2006/relationships/hyperlink" Target="http://en.wikipedia.org/wiki/World_Health_Organization" TargetMode="External"/><Relationship Id="rId88" Type="http://schemas.openxmlformats.org/officeDocument/2006/relationships/hyperlink" Target="http://www.tasheel.ae" TargetMode="External"/><Relationship Id="rId111" Type="http://schemas.openxmlformats.org/officeDocument/2006/relationships/hyperlink" Target="http://www.zonescorp.com" TargetMode="External"/><Relationship Id="rId132" Type="http://schemas.openxmlformats.org/officeDocument/2006/relationships/hyperlink" Target="mailto:info@mun.rak.ae" TargetMode="External"/><Relationship Id="rId153" Type="http://schemas.openxmlformats.org/officeDocument/2006/relationships/hyperlink" Target="http://www.dmca.ae" TargetMode="External"/><Relationship Id="rId174" Type="http://schemas.openxmlformats.org/officeDocument/2006/relationships/hyperlink" Target="https://dda.gov.ae/en/registration-licensing/setting-up-a-business" TargetMode="External"/><Relationship Id="rId195" Type="http://schemas.openxmlformats.org/officeDocument/2006/relationships/hyperlink" Target="http://www.hfza.ae" TargetMode="External"/><Relationship Id="rId209" Type="http://schemas.openxmlformats.org/officeDocument/2006/relationships/hyperlink" Target="http://www.hilalassociates.com/" TargetMode="External"/><Relationship Id="rId220" Type="http://schemas.openxmlformats.org/officeDocument/2006/relationships/hyperlink" Target="http://www.bsabh.com" TargetMode="External"/><Relationship Id="rId241" Type="http://schemas.openxmlformats.org/officeDocument/2006/relationships/hyperlink" Target="mailto:marcos.spanos@bakermckenzie.com" TargetMode="External"/><Relationship Id="rId15" Type="http://schemas.openxmlformats.org/officeDocument/2006/relationships/hyperlink" Target="https://u.ae/en/about-the-uae/strategies-initiatives-and-awards/strategies-plans-and-visions/industry-science-and-technology/the-uae-industrial-strategy" TargetMode="External"/><Relationship Id="rId36" Type="http://schemas.openxmlformats.org/officeDocument/2006/relationships/hyperlink" Target="http://en.wikipedia.org/wiki/International_Criminal_Court" TargetMode="External"/><Relationship Id="rId57" Type="http://schemas.openxmlformats.org/officeDocument/2006/relationships/hyperlink" Target="http://en.wikipedia.org/wiki/Organization_for_the_Prohibition_of_Chemical_Weapons" TargetMode="External"/><Relationship Id="rId262" Type="http://schemas.openxmlformats.org/officeDocument/2006/relationships/hyperlink" Target="https://www.arabianbusiness.com/" TargetMode="External"/><Relationship Id="rId78" Type="http://schemas.openxmlformats.org/officeDocument/2006/relationships/hyperlink" Target="https://www.digitaldubai.ae/" TargetMode="External"/><Relationship Id="rId99" Type="http://schemas.openxmlformats.org/officeDocument/2006/relationships/hyperlink" Target="http://www.fcciuae.ae/" TargetMode="External"/><Relationship Id="rId101" Type="http://schemas.openxmlformats.org/officeDocument/2006/relationships/hyperlink" Target="http://www.dubaichamber.com/" TargetMode="External"/><Relationship Id="rId122" Type="http://schemas.openxmlformats.org/officeDocument/2006/relationships/hyperlink" Target="mailto:info@shjmun.gov.ae" TargetMode="External"/><Relationship Id="rId143" Type="http://schemas.openxmlformats.org/officeDocument/2006/relationships/hyperlink" Target="https://www.adgm.com/" TargetMode="External"/><Relationship Id="rId164" Type="http://schemas.openxmlformats.org/officeDocument/2006/relationships/hyperlink" Target="https://dda.gov.ae/en/registration-licensing/setting-up-a-business" TargetMode="External"/><Relationship Id="rId185" Type="http://schemas.openxmlformats.org/officeDocument/2006/relationships/hyperlink" Target="https://www.dubaisouth.ae/" TargetMode="External"/><Relationship Id="rId9" Type="http://schemas.openxmlformats.org/officeDocument/2006/relationships/image" Target="media/image1.png"/><Relationship Id="rId210" Type="http://schemas.openxmlformats.org/officeDocument/2006/relationships/hyperlink" Target="http://www.abbasalhwaiassociates.ae/" TargetMode="External"/><Relationship Id="rId26" Type="http://schemas.openxmlformats.org/officeDocument/2006/relationships/hyperlink" Target="http://en.wikipedia.org/wiki/Arab_Bank_for_Economic_Development_in_Africa" TargetMode="External"/><Relationship Id="rId231" Type="http://schemas.openxmlformats.org/officeDocument/2006/relationships/hyperlink" Target="http://www.simmons-simmons.com" TargetMode="External"/><Relationship Id="rId252" Type="http://schemas.openxmlformats.org/officeDocument/2006/relationships/hyperlink" Target="http://www.hcs-corporate.com" TargetMode="External"/><Relationship Id="rId47" Type="http://schemas.openxmlformats.org/officeDocument/2006/relationships/hyperlink" Target="http://en.wikipedia.org/wiki/International_Olympic_Committee" TargetMode="External"/><Relationship Id="rId68" Type="http://schemas.openxmlformats.org/officeDocument/2006/relationships/hyperlink" Target="http://en.wikipedia.org/wiki/World_Intellectual_Property_Organization" TargetMode="External"/><Relationship Id="rId89" Type="http://schemas.openxmlformats.org/officeDocument/2006/relationships/hyperlink" Target="http://www.dubaitrade.ae" TargetMode="External"/><Relationship Id="rId112" Type="http://schemas.openxmlformats.org/officeDocument/2006/relationships/hyperlink" Target="http://tcaabudhabi.ae" TargetMode="External"/><Relationship Id="rId133" Type="http://schemas.openxmlformats.org/officeDocument/2006/relationships/hyperlink" Target="http://www.mun.rak.ae" TargetMode="External"/><Relationship Id="rId154" Type="http://schemas.openxmlformats.org/officeDocument/2006/relationships/hyperlink" Target="http://www.difc.ae" TargetMode="External"/><Relationship Id="rId175" Type="http://schemas.openxmlformats.org/officeDocument/2006/relationships/hyperlink" Target="http://www.dkp.ae/" TargetMode="External"/><Relationship Id="rId196" Type="http://schemas.openxmlformats.org/officeDocument/2006/relationships/hyperlink" Target="https://www.shams.ae/" TargetMode="External"/><Relationship Id="rId200" Type="http://schemas.openxmlformats.org/officeDocument/2006/relationships/hyperlink" Target="https://www.amcfz.ae/en/" TargetMode="External"/><Relationship Id="rId16" Type="http://schemas.openxmlformats.org/officeDocument/2006/relationships/hyperlink" Target="https://u.ae/en/about-the-uae/strategies-initiatives-and-awards/strategies-plans-and-visions/industry-science-and-technology/the-national-in-country-value-icv-program" TargetMode="External"/><Relationship Id="rId221" Type="http://schemas.openxmlformats.org/officeDocument/2006/relationships/hyperlink" Target="http://www.busitlegal.com/" TargetMode="External"/><Relationship Id="rId242" Type="http://schemas.openxmlformats.org/officeDocument/2006/relationships/hyperlink" Target="https://www.bakermckenzie.com/en/locations/emea/united-arab-emirates" TargetMode="External"/><Relationship Id="rId263" Type="http://schemas.openxmlformats.org/officeDocument/2006/relationships/hyperlink" Target="https://thearabianpost.com/" TargetMode="External"/><Relationship Id="rId37" Type="http://schemas.openxmlformats.org/officeDocument/2006/relationships/hyperlink" Target="http://en.wikipedia.org/wiki/International_Criminal_Police_Organization" TargetMode="External"/><Relationship Id="rId58" Type="http://schemas.openxmlformats.org/officeDocument/2006/relationships/hyperlink" Target="http://en.wikipedia.org/wiki/Organization_of_Arab_Petroleum_Exporting_Countries" TargetMode="External"/><Relationship Id="rId79" Type="http://schemas.openxmlformats.org/officeDocument/2006/relationships/hyperlink" Target="http://www.sharjah.ae" TargetMode="External"/><Relationship Id="rId102" Type="http://schemas.openxmlformats.org/officeDocument/2006/relationships/hyperlink" Target="http://www.sharjah.gov.ae/" TargetMode="External"/><Relationship Id="rId123" Type="http://schemas.openxmlformats.org/officeDocument/2006/relationships/hyperlink" Target="https://portal.shjmun.gov.ae" TargetMode="External"/><Relationship Id="rId144" Type="http://schemas.openxmlformats.org/officeDocument/2006/relationships/hyperlink" Target="mailto:info@twofour54.com" TargetMode="External"/><Relationship Id="rId90" Type="http://schemas.openxmlformats.org/officeDocument/2006/relationships/hyperlink" Target="http://www.customs.ae" TargetMode="External"/><Relationship Id="rId165" Type="http://schemas.openxmlformats.org/officeDocument/2006/relationships/hyperlink" Target="http://www.dubaiinternetcity.com" TargetMode="External"/><Relationship Id="rId186" Type="http://schemas.openxmlformats.org/officeDocument/2006/relationships/hyperlink" Target="https://www.goldanddiamondpark.com/about/" TargetMode="External"/><Relationship Id="rId211" Type="http://schemas.openxmlformats.org/officeDocument/2006/relationships/hyperlink" Target="http://www.agip.com/" TargetMode="External"/><Relationship Id="rId232" Type="http://schemas.openxmlformats.org/officeDocument/2006/relationships/hyperlink" Target="http://www.trenchlaw.com/" TargetMode="External"/><Relationship Id="rId253" Type="http://schemas.openxmlformats.org/officeDocument/2006/relationships/hyperlink" Target="mailto:Paul.Katsouris@shlegal.com" TargetMode="External"/><Relationship Id="rId27" Type="http://schemas.openxmlformats.org/officeDocument/2006/relationships/hyperlink" Target="http://en.wikipedia.org/wiki/Arab_Fund_for_Economic_and_Social_Development" TargetMode="External"/><Relationship Id="rId48" Type="http://schemas.openxmlformats.org/officeDocument/2006/relationships/hyperlink" Target="http://en.wikipedia.org/wiki/International_Red_Cross_and_Red_Crescent_Movement" TargetMode="External"/><Relationship Id="rId69" Type="http://schemas.openxmlformats.org/officeDocument/2006/relationships/hyperlink" Target="http://en.wikipedia.org/wiki/World_Meteorological_Organization" TargetMode="External"/><Relationship Id="rId113" Type="http://schemas.openxmlformats.org/officeDocument/2006/relationships/hyperlink" Target="https://www.dpm.gov.abudhabi/en/aam" TargetMode="External"/><Relationship Id="rId134" Type="http://schemas.openxmlformats.org/officeDocument/2006/relationships/hyperlink" Target="mailto:rakded@economic.rak.ae" TargetMode="External"/><Relationship Id="rId80" Type="http://schemas.openxmlformats.org/officeDocument/2006/relationships/hyperlink" Target="http://www.ajman.ae" TargetMode="External"/><Relationship Id="rId155" Type="http://schemas.openxmlformats.org/officeDocument/2006/relationships/hyperlink" Target="https://www.dwtc.com/en/free-zone" TargetMode="External"/><Relationship Id="rId176" Type="http://schemas.openxmlformats.org/officeDocument/2006/relationships/hyperlink" Target="https://dda.gov.ae/en/registration-licensing/setting-up-a-business" TargetMode="External"/><Relationship Id="rId197" Type="http://schemas.openxmlformats.org/officeDocument/2006/relationships/hyperlink" Target="https://spcfz.ae/" TargetMode="External"/><Relationship Id="rId201" Type="http://schemas.openxmlformats.org/officeDocument/2006/relationships/hyperlink" Target="mailto:info@uaqftz.com" TargetMode="External"/><Relationship Id="rId222" Type="http://schemas.openxmlformats.org/officeDocument/2006/relationships/hyperlink" Target="http://www.cliffordchance.com" TargetMode="External"/><Relationship Id="rId243" Type="http://schemas.openxmlformats.org/officeDocument/2006/relationships/hyperlink" Target="mailto:fbregianni@rtfm.gr" TargetMode="External"/><Relationship Id="rId264" Type="http://schemas.openxmlformats.org/officeDocument/2006/relationships/hyperlink" Target="https://gulfbusiness.com/section/world/middle-east/uae/" TargetMode="External"/><Relationship Id="rId17" Type="http://schemas.openxmlformats.org/officeDocument/2006/relationships/hyperlink" Target="https://u.ae/en/about-the-uae/uae-in-the-future/projects-of-the-50" TargetMode="External"/><Relationship Id="rId38" Type="http://schemas.openxmlformats.org/officeDocument/2006/relationships/hyperlink" Target="http://en.wikipedia.org/wiki/International_Development_Association" TargetMode="External"/><Relationship Id="rId59" Type="http://schemas.openxmlformats.org/officeDocument/2006/relationships/hyperlink" Target="http://en.wikipedia.org/wiki/Organization_of_Petroleum_Exporting_Countries" TargetMode="External"/><Relationship Id="rId103" Type="http://schemas.openxmlformats.org/officeDocument/2006/relationships/hyperlink" Target="http://www.fujcci.ae/" TargetMode="External"/><Relationship Id="rId124" Type="http://schemas.openxmlformats.org/officeDocument/2006/relationships/hyperlink" Target="mailto:sedd@sedd.gov.ae" TargetMode="External"/><Relationship Id="rId70" Type="http://schemas.openxmlformats.org/officeDocument/2006/relationships/hyperlink" Target="http://en.wikipedia.org/wiki/World_Trade_Organization" TargetMode="External"/><Relationship Id="rId91" Type="http://schemas.openxmlformats.org/officeDocument/2006/relationships/hyperlink" Target="http://www.adcustoms.gov.ae" TargetMode="External"/><Relationship Id="rId145" Type="http://schemas.openxmlformats.org/officeDocument/2006/relationships/hyperlink" Target="http://www.twofour54.com" TargetMode="External"/><Relationship Id="rId166" Type="http://schemas.openxmlformats.org/officeDocument/2006/relationships/hyperlink" Target="https://dda.gov.ae/en/registration-licensing/setting-up-a-business" TargetMode="External"/><Relationship Id="rId187" Type="http://schemas.openxmlformats.org/officeDocument/2006/relationships/hyperlink" Target="https://www.meydanfz.ae/" TargetMode="External"/><Relationship Id="rId1" Type="http://schemas.openxmlformats.org/officeDocument/2006/relationships/customXml" Target="../customXml/item1.xml"/><Relationship Id="rId212" Type="http://schemas.openxmlformats.org/officeDocument/2006/relationships/hyperlink" Target="http://www.afridi-angell.com/" TargetMode="External"/><Relationship Id="rId233" Type="http://schemas.openxmlformats.org/officeDocument/2006/relationships/hyperlink" Target="http://www.trowers.com/" TargetMode="External"/><Relationship Id="rId254" Type="http://schemas.openxmlformats.org/officeDocument/2006/relationships/hyperlink" Target="http://www.shlegal.com" TargetMode="External"/><Relationship Id="rId28" Type="http://schemas.openxmlformats.org/officeDocument/2006/relationships/hyperlink" Target="http://en.wikipedia.org/wiki/Arab_Monetary_Fund" TargetMode="External"/><Relationship Id="rId49" Type="http://schemas.openxmlformats.org/officeDocument/2006/relationships/hyperlink" Target="http://en.wikipedia.org/wiki/International_Telecommunication_Union" TargetMode="External"/><Relationship Id="rId114" Type="http://schemas.openxmlformats.org/officeDocument/2006/relationships/hyperlink" Target="mailto:info@dm.gov.ae" TargetMode="External"/><Relationship Id="rId60" Type="http://schemas.openxmlformats.org/officeDocument/2006/relationships/hyperlink" Target="http://en.wikipedia.org/wiki/United_Nations" TargetMode="External"/><Relationship Id="rId81" Type="http://schemas.openxmlformats.org/officeDocument/2006/relationships/hyperlink" Target="http://www.uaq.ae" TargetMode="External"/><Relationship Id="rId135" Type="http://schemas.openxmlformats.org/officeDocument/2006/relationships/hyperlink" Target="http://www.ded.rak.ae" TargetMode="External"/><Relationship Id="rId156" Type="http://schemas.openxmlformats.org/officeDocument/2006/relationships/hyperlink" Target="https://www.diez.ae/" TargetMode="External"/><Relationship Id="rId177" Type="http://schemas.openxmlformats.org/officeDocument/2006/relationships/hyperlink" Target="http://www.diacedu.ae" TargetMode="External"/><Relationship Id="rId198" Type="http://schemas.openxmlformats.org/officeDocument/2006/relationships/hyperlink" Target="mailto:info@afza.gov.ae" TargetMode="External"/><Relationship Id="rId202" Type="http://schemas.openxmlformats.org/officeDocument/2006/relationships/hyperlink" Target="https://uaqftz.com/" TargetMode="External"/><Relationship Id="rId223" Type="http://schemas.openxmlformats.org/officeDocument/2006/relationships/hyperlink" Target="http://www.clydeco.com" TargetMode="External"/><Relationship Id="rId244" Type="http://schemas.openxmlformats.org/officeDocument/2006/relationships/hyperlink" Target="mailto:antonios.dimitracopoulos@bsabh.com" TargetMode="External"/><Relationship Id="rId18" Type="http://schemas.openxmlformats.org/officeDocument/2006/relationships/hyperlink" Target="https://nafis.gov.ae/" TargetMode="External"/><Relationship Id="rId39" Type="http://schemas.openxmlformats.org/officeDocument/2006/relationships/hyperlink" Target="http://en.wikipedia.org/wiki/International_Federation_of_Red_Cross_and_Red_Crescent_Societies" TargetMode="External"/><Relationship Id="rId265" Type="http://schemas.openxmlformats.org/officeDocument/2006/relationships/hyperlink" Target="http://www.meed.com" TargetMode="External"/><Relationship Id="rId50" Type="http://schemas.openxmlformats.org/officeDocument/2006/relationships/hyperlink" Target="http://en.wikipedia.org/wiki/International_Telecommunications_Satellite_Organization" TargetMode="External"/><Relationship Id="rId104" Type="http://schemas.openxmlformats.org/officeDocument/2006/relationships/hyperlink" Target="http://www.rakchamber.ae" TargetMode="External"/><Relationship Id="rId125" Type="http://schemas.openxmlformats.org/officeDocument/2006/relationships/hyperlink" Target="http://www.sedd.ae" TargetMode="External"/><Relationship Id="rId146" Type="http://schemas.openxmlformats.org/officeDocument/2006/relationships/hyperlink" Target="mailto:Faisal.Jassem@jafza.ae" TargetMode="External"/><Relationship Id="rId167" Type="http://schemas.openxmlformats.org/officeDocument/2006/relationships/hyperlink" Target="http://www.dubaioutsourcecity.ae/" TargetMode="External"/><Relationship Id="rId188" Type="http://schemas.openxmlformats.org/officeDocument/2006/relationships/hyperlink" Target="mailto:info@dragonmart.ae" TargetMode="External"/><Relationship Id="rId71" Type="http://schemas.openxmlformats.org/officeDocument/2006/relationships/hyperlink" Target="http://en.wikipedia.org/wiki/International_Organization_for_Standardization" TargetMode="External"/><Relationship Id="rId92" Type="http://schemas.openxmlformats.org/officeDocument/2006/relationships/hyperlink" Target="http://www.dubaicustoms.gov.ae" TargetMode="External"/><Relationship Id="rId213" Type="http://schemas.openxmlformats.org/officeDocument/2006/relationships/hyperlink" Target="http://www.albaharadvocates.ae" TargetMode="External"/><Relationship Id="rId234" Type="http://schemas.openxmlformats.org/officeDocument/2006/relationships/hyperlink" Target="http://zayedalshamsi.ae" TargetMode="External"/><Relationship Id="rId2" Type="http://schemas.openxmlformats.org/officeDocument/2006/relationships/customXml" Target="../customXml/item2.xml"/><Relationship Id="rId29" Type="http://schemas.openxmlformats.org/officeDocument/2006/relationships/hyperlink" Target="http://en.wikipedia.org/wiki/Cooperation_Council_for_the_Arab_States_of_the_Gulf" TargetMode="External"/><Relationship Id="rId255" Type="http://schemas.openxmlformats.org/officeDocument/2006/relationships/hyperlink" Target="http://wam.ae/en" TargetMode="External"/><Relationship Id="rId40" Type="http://schemas.openxmlformats.org/officeDocument/2006/relationships/hyperlink" Target="http://en.wikipedia.org/wiki/International_Finance_Corporation" TargetMode="External"/><Relationship Id="rId115" Type="http://schemas.openxmlformats.org/officeDocument/2006/relationships/hyperlink" Target="http://www.dm.gov.ae" TargetMode="External"/><Relationship Id="rId136" Type="http://schemas.openxmlformats.org/officeDocument/2006/relationships/hyperlink" Target="mailto:license@fujmun.gov.ae" TargetMode="External"/><Relationship Id="rId157" Type="http://schemas.openxmlformats.org/officeDocument/2006/relationships/hyperlink" Target="mailto:sales@dafz.ae" TargetMode="External"/><Relationship Id="rId178" Type="http://schemas.openxmlformats.org/officeDocument/2006/relationships/hyperlink" Target="https://dda.gov.ae/en/registration-licensing/setting-up-a-business" TargetMode="External"/><Relationship Id="rId61" Type="http://schemas.openxmlformats.org/officeDocument/2006/relationships/hyperlink" Target="http://en.wikipedia.org/wiki/United_Nations_Conference_on_Trade_and_Development" TargetMode="External"/><Relationship Id="rId82" Type="http://schemas.openxmlformats.org/officeDocument/2006/relationships/hyperlink" Target="http://www.rak.ae" TargetMode="External"/><Relationship Id="rId199" Type="http://schemas.openxmlformats.org/officeDocument/2006/relationships/hyperlink" Target="http://www.afza.gov.ae" TargetMode="External"/><Relationship Id="rId203" Type="http://schemas.openxmlformats.org/officeDocument/2006/relationships/hyperlink" Target="https://rakports.ae/ports/saqr-port-and-free-zone/" TargetMode="External"/><Relationship Id="rId19" Type="http://schemas.openxmlformats.org/officeDocument/2006/relationships/hyperlink" Target="https://u.ae/en/about-the-uae/strategies-initiatives-and-awards/strategies-plans-and-visions/industry-science-and-technology/national-space-programme" TargetMode="External"/><Relationship Id="rId224" Type="http://schemas.openxmlformats.org/officeDocument/2006/relationships/hyperlink" Target="https://www.clydeco.com/locations/office/abu-dhabi/location" TargetMode="External"/><Relationship Id="rId245" Type="http://schemas.openxmlformats.org/officeDocument/2006/relationships/hyperlink" Target="http://www.bsabh.com" TargetMode="External"/><Relationship Id="rId266" Type="http://schemas.openxmlformats.org/officeDocument/2006/relationships/hyperlink" Target="http://www.yellowpages.ae" TargetMode="External"/><Relationship Id="rId30" Type="http://schemas.openxmlformats.org/officeDocument/2006/relationships/hyperlink" Target="http://en.wikipedia.org/wiki/Food_and_Agriculture_Organization" TargetMode="External"/><Relationship Id="rId105" Type="http://schemas.openxmlformats.org/officeDocument/2006/relationships/hyperlink" Target="http://www.ajmanchamber.ae" TargetMode="External"/><Relationship Id="rId126" Type="http://schemas.openxmlformats.org/officeDocument/2006/relationships/hyperlink" Target="mailto:80070@am.gov.ae" TargetMode="External"/><Relationship Id="rId147" Type="http://schemas.openxmlformats.org/officeDocument/2006/relationships/hyperlink" Target="http://www.jafza.ae" TargetMode="External"/><Relationship Id="rId168" Type="http://schemas.openxmlformats.org/officeDocument/2006/relationships/hyperlink" Target="https://dda.gov.ae/en/registration-licensing/setting-up-a-business" TargetMode="External"/><Relationship Id="rId51" Type="http://schemas.openxmlformats.org/officeDocument/2006/relationships/hyperlink" Target="http://en.wikipedia.org/wiki/Inter-Parliamentary_Union" TargetMode="External"/><Relationship Id="rId72" Type="http://schemas.openxmlformats.org/officeDocument/2006/relationships/hyperlink" Target="mailto:gremb.abd@mfa.gr" TargetMode="External"/><Relationship Id="rId93" Type="http://schemas.openxmlformats.org/officeDocument/2006/relationships/hyperlink" Target="http://www.sharjahcustoms.gov.ae" TargetMode="External"/><Relationship Id="rId189" Type="http://schemas.openxmlformats.org/officeDocument/2006/relationships/hyperlink" Target="http://www.dragonmart.ae" TargetMode="External"/><Relationship Id="rId3" Type="http://schemas.openxmlformats.org/officeDocument/2006/relationships/numbering" Target="numbering.xml"/><Relationship Id="rId214" Type="http://schemas.openxmlformats.org/officeDocument/2006/relationships/hyperlink" Target="http://www.aljasmilaw.com" TargetMode="External"/><Relationship Id="rId235" Type="http://schemas.openxmlformats.org/officeDocument/2006/relationships/hyperlink" Target="mailto:mpalmou@afridi-angell.com" TargetMode="External"/><Relationship Id="rId256" Type="http://schemas.openxmlformats.org/officeDocument/2006/relationships/hyperlink" Target="http://www.thenational.ae/" TargetMode="External"/><Relationship Id="rId116" Type="http://schemas.openxmlformats.org/officeDocument/2006/relationships/hyperlink" Target="mailto:info@dubaided.gov.ae" TargetMode="External"/><Relationship Id="rId137" Type="http://schemas.openxmlformats.org/officeDocument/2006/relationships/hyperlink" Target="http://www.fujmun.gov.ae" TargetMode="External"/><Relationship Id="rId158" Type="http://schemas.openxmlformats.org/officeDocument/2006/relationships/hyperlink" Target="http://www.dafz.ae" TargetMode="External"/><Relationship Id="rId20" Type="http://schemas.openxmlformats.org/officeDocument/2006/relationships/hyperlink" Target="https://u.ae/en/information-and-services/visa-and-emirates-id/residence-visas" TargetMode="External"/><Relationship Id="rId41" Type="http://schemas.openxmlformats.org/officeDocument/2006/relationships/hyperlink" Target="http://en.wikipedia.org/wiki/International_Fund_for_Agricultural_Development" TargetMode="External"/><Relationship Id="rId62" Type="http://schemas.openxmlformats.org/officeDocument/2006/relationships/hyperlink" Target="http://en.wikipedia.org/wiki/United_Nations_Educational,_Scientific,_and_Cultural_Organization" TargetMode="External"/><Relationship Id="rId83" Type="http://schemas.openxmlformats.org/officeDocument/2006/relationships/hyperlink" Target="https://fujairah.ae/en/Pages/default.aspx" TargetMode="External"/><Relationship Id="rId179" Type="http://schemas.openxmlformats.org/officeDocument/2006/relationships/hyperlink" Target="mailto:info@dsp.ae" TargetMode="External"/><Relationship Id="rId190" Type="http://schemas.openxmlformats.org/officeDocument/2006/relationships/hyperlink" Target="mailto:info@ihc.ae" TargetMode="External"/><Relationship Id="rId204" Type="http://schemas.openxmlformats.org/officeDocument/2006/relationships/hyperlink" Target="mailto:info@rakez.com" TargetMode="External"/><Relationship Id="rId225" Type="http://schemas.openxmlformats.org/officeDocument/2006/relationships/hyperlink" Target="http://www.emiratesadvocates.com/" TargetMode="External"/><Relationship Id="rId246" Type="http://schemas.openxmlformats.org/officeDocument/2006/relationships/hyperlink" Target="mailto:thanos.karvelis@crsblaw.com" TargetMode="External"/><Relationship Id="rId267" Type="http://schemas.openxmlformats.org/officeDocument/2006/relationships/hyperlink" Target="http://www.dubizzle.com" TargetMode="External"/><Relationship Id="rId106" Type="http://schemas.openxmlformats.org/officeDocument/2006/relationships/hyperlink" Target="http://www.uaqchamber.ae/" TargetMode="External"/><Relationship Id="rId127" Type="http://schemas.openxmlformats.org/officeDocument/2006/relationships/hyperlink" Target="http://www.am.gov.ae" TargetMode="External"/><Relationship Id="rId10" Type="http://schemas.openxmlformats.org/officeDocument/2006/relationships/image" Target="media/image2.png"/><Relationship Id="rId31" Type="http://schemas.openxmlformats.org/officeDocument/2006/relationships/hyperlink" Target="http://en.wikipedia.org/wiki/Group_of_77" TargetMode="External"/><Relationship Id="rId52" Type="http://schemas.openxmlformats.org/officeDocument/2006/relationships/hyperlink" Target="http://en.wikipedia.org/wiki/Islamic_Development_Bank" TargetMode="External"/><Relationship Id="rId73" Type="http://schemas.openxmlformats.org/officeDocument/2006/relationships/hyperlink" Target="mailto:ecocom-dubai@mfa.gr" TargetMode="External"/><Relationship Id="rId94" Type="http://schemas.openxmlformats.org/officeDocument/2006/relationships/hyperlink" Target="https://www.adports.ae/core-business/ports-terminals/ports/khalifa-port/" TargetMode="External"/><Relationship Id="rId148" Type="http://schemas.openxmlformats.org/officeDocument/2006/relationships/hyperlink" Target="mailto:mktg@jafza.co.ae" TargetMode="External"/><Relationship Id="rId169" Type="http://schemas.openxmlformats.org/officeDocument/2006/relationships/hyperlink" Target="https://dmc.ae/" TargetMode="External"/><Relationship Id="rId4" Type="http://schemas.openxmlformats.org/officeDocument/2006/relationships/styles" Target="styles.xml"/><Relationship Id="rId180" Type="http://schemas.openxmlformats.org/officeDocument/2006/relationships/hyperlink" Target="http://www.dsp.ae/" TargetMode="External"/><Relationship Id="rId215" Type="http://schemas.openxmlformats.org/officeDocument/2006/relationships/hyperlink" Target="http://www.dubailaw.com/" TargetMode="External"/><Relationship Id="rId236" Type="http://schemas.openxmlformats.org/officeDocument/2006/relationships/hyperlink" Target="http://www.afridi-angell.com" TargetMode="External"/><Relationship Id="rId257" Type="http://schemas.openxmlformats.org/officeDocument/2006/relationships/hyperlink" Target="http://gulfnews.com/" TargetMode="External"/><Relationship Id="rId42" Type="http://schemas.openxmlformats.org/officeDocument/2006/relationships/hyperlink" Target="http://en.wikipedia.org/wiki/International_Hydrographic_Organization" TargetMode="External"/><Relationship Id="rId84" Type="http://schemas.openxmlformats.org/officeDocument/2006/relationships/hyperlink" Target="https://www.moec.gov.ae/en/free-zones" TargetMode="External"/><Relationship Id="rId138" Type="http://schemas.openxmlformats.org/officeDocument/2006/relationships/hyperlink" Target="https://www.kezadgroup.com/" TargetMode="External"/><Relationship Id="rId191" Type="http://schemas.openxmlformats.org/officeDocument/2006/relationships/hyperlink" Target="http://www.ihc.ae" TargetMode="External"/><Relationship Id="rId205" Type="http://schemas.openxmlformats.org/officeDocument/2006/relationships/hyperlink" Target="http://www.rakez.com" TargetMode="External"/><Relationship Id="rId247" Type="http://schemas.openxmlformats.org/officeDocument/2006/relationships/hyperlink" Target="mailto:dderempei@yahoo.com" TargetMode="External"/><Relationship Id="rId107" Type="http://schemas.openxmlformats.org/officeDocument/2006/relationships/hyperlink" Target="https://dmat.abudhabi.ae/en/ADM/Pages/Home.asp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scfuj.gov.ae/WebsiteFiles/Reports/1071/Chapter13FinancialandEconomicStatistics.pdf" TargetMode="External"/><Relationship Id="rId3" Type="http://schemas.openxmlformats.org/officeDocument/2006/relationships/hyperlink" Target="https://www.moec.gov.ae/en/free-zones" TargetMode="External"/><Relationship Id="rId7" Type="http://schemas.openxmlformats.org/officeDocument/2006/relationships/hyperlink" Target="https://www.fitchratings.com/research/sovereigns/fitch-affirms-ras-al-khaimah-at-a-outlook-stable-14-05-2025" TargetMode="External"/><Relationship Id="rId2" Type="http://schemas.openxmlformats.org/officeDocument/2006/relationships/hyperlink" Target="https://u.ae/en/about-the-uae/strategies-initiatives-and-awards/federal-governments-strategies-and-plans/uae-centennial-2071" TargetMode="External"/><Relationship Id="rId1" Type="http://schemas.openxmlformats.org/officeDocument/2006/relationships/hyperlink" Target="https://www.constituteproject.org/constitution/United_Arab_Emirates_2004.pdf" TargetMode="External"/><Relationship Id="rId6" Type="http://schemas.openxmlformats.org/officeDocument/2006/relationships/hyperlink" Target="https://disclosure.spglobal.com/ratings/en/regulatory/article/-/view/type/HTML/id/3341637" TargetMode="External"/><Relationship Id="rId5" Type="http://schemas.openxmlformats.org/officeDocument/2006/relationships/hyperlink" Target="https://u.ae/en/information-and-services/jobs/training-and-development/emiratisation" TargetMode="External"/><Relationship Id="rId4" Type="http://schemas.openxmlformats.org/officeDocument/2006/relationships/hyperlink" Target="https://moiat.gov.ae/-/media/site/moiat/media-kit/operation-300bn-media-kit-en.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8D9331-AE8B-4835-855B-654D0F0AC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4033</TotalTime>
  <Pages>81</Pages>
  <Words>35366</Words>
  <Characters>201588</Characters>
  <Application>Microsoft Office Word</Application>
  <DocSecurity>0</DocSecurity>
  <Lines>1679</Lines>
  <Paragraphs>472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Πρεσβεία της Ελλάδος στο Αμπού Ντάμπι  Γραφείο Οικονομικών και Εμπορικών Υποθέσεων Ντουμπάι</Company>
  <LinksUpToDate>false</LinksUpToDate>
  <CharactersWithSpaces>236482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479</cp:revision>
  <cp:lastPrinted>2026-07-16T07:05:00Z</cp:lastPrinted>
  <dcterms:created xsi:type="dcterms:W3CDTF">2026-06-23T09:40:00Z</dcterms:created>
  <dcterms:modified xsi:type="dcterms:W3CDTF">2026-07-16T07:17:00Z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